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4972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8100" cy="4972050"/>
                    </a:xfrm>
                    <a:prstGeom prst="rect">
                      <a:avLst/>
                    </a:prstGeom>
                    <a:noFill/>
                  </pic:spPr>
                </pic:pic>
              </a:graphicData>
            </a:graphic>
          </wp:anchor>
        </w:drawing>
        <w:t>2022 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right="3560"/>
        <w:spacing w:after="0" w:line="239" w:lineRule="auto"/>
        <w:rPr>
          <w:sz w:val="20"/>
          <w:szCs w:val="20"/>
          <w:color w:val="auto"/>
        </w:rPr>
      </w:pPr>
      <w:r>
        <w:rPr>
          <w:rFonts w:ascii="Arial" w:cs="Arial" w:eastAsia="Arial" w:hAnsi="Arial"/>
          <w:sz w:val="176"/>
          <w:szCs w:val="176"/>
          <w:color w:val="FFFFFF"/>
        </w:rPr>
        <w:t>For a balanced planet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-431165</wp:posOffset>
            </wp:positionH>
            <wp:positionV relativeFrom="paragraph">
              <wp:posOffset>-568325</wp:posOffset>
            </wp:positionV>
            <wp:extent cx="7658100" cy="4972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8100" cy="4972050"/>
                    </a:xfrm>
                    <a:prstGeom prst="rect">
                      <a:avLst/>
                    </a:prstGeom>
                    <a:noFill/>
                  </pic:spPr>
                </pic:pic>
              </a:graphicData>
            </a:graphic>
          </wp:anchor>
        </w:drawing>
      </w:r>
    </w:p>
    <w:p>
      <w:pPr>
        <w:sectPr>
          <w:pgSz w:w="12060" w:h="15660" w:orient="portrait"/>
          <w:cols w:equalWidth="0" w:num="1">
            <w:col w:w="10740"/>
          </w:cols>
          <w:pgMar w:left="680" w:top="714" w:right="640" w:bottom="1440" w:gutter="0" w:footer="0" w:header="0"/>
        </w:sectPr>
      </w:pPr>
    </w:p>
    <w:bookmarkStart w:id="1" w:name="page2"/>
    <w:bookmarkEnd w:id="1"/>
    <w:p>
      <w:pPr>
        <w:jc w:val="both"/>
        <w:spacing w:after="0" w:line="248" w:lineRule="auto"/>
        <w:rPr>
          <w:sz w:val="20"/>
          <w:szCs w:val="20"/>
          <w:color w:val="auto"/>
        </w:rPr>
      </w:pPr>
      <w:r>
        <w:rPr>
          <w:rFonts w:ascii="Arial" w:cs="Arial" w:eastAsia="Arial" w:hAnsi="Arial"/>
          <w:sz w:val="149"/>
          <w:szCs w:val="149"/>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t>Our purpose is to amazing technol unlocks access t for the benefit of</w:t>
      </w:r>
    </w:p>
    <w:p>
      <w:pPr>
        <w:spacing w:after="0" w:line="391" w:lineRule="exact"/>
        <w:rPr>
          <w:sz w:val="20"/>
          <w:szCs w:val="20"/>
          <w:color w:val="auto"/>
        </w:rPr>
      </w:pPr>
    </w:p>
    <w:p>
      <w:pPr>
        <w:ind w:left="80" w:right="8380"/>
        <w:spacing w:after="0" w:line="286" w:lineRule="auto"/>
        <w:rPr>
          <w:sz w:val="20"/>
          <w:szCs w:val="20"/>
          <w:color w:val="auto"/>
        </w:rPr>
      </w:pPr>
      <w:r>
        <w:rPr>
          <w:rFonts w:ascii="Arial" w:cs="Arial" w:eastAsia="Arial" w:hAnsi="Arial"/>
          <w:sz w:val="18"/>
          <w:szCs w:val="18"/>
          <w:b w:val="1"/>
          <w:bCs w:val="1"/>
          <w:color w:val="FFFFFF"/>
        </w:rPr>
        <w:t>As innovators, that’s been our mission for nearly 100 years. Today, it’s a global imperative. We are facing the world’s greatest balancing act—simultaneously reducing emissions while meeting the world’s growing energy demands.</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20"/>
          <w:szCs w:val="20"/>
          <w:color w:val="FFFFFF"/>
        </w:rPr>
        <w:t>We’re working on the answers.</w:t>
      </w:r>
    </w:p>
    <w:p>
      <w:pPr>
        <w:spacing w:after="0" w:line="10" w:lineRule="exact"/>
        <w:rPr>
          <w:sz w:val="20"/>
          <w:szCs w:val="20"/>
          <w:color w:val="auto"/>
        </w:rPr>
      </w:pPr>
    </w:p>
    <w:p>
      <w:pPr>
        <w:ind w:left="80" w:right="8160"/>
        <w:spacing w:after="0" w:line="296" w:lineRule="auto"/>
        <w:rPr>
          <w:sz w:val="20"/>
          <w:szCs w:val="20"/>
          <w:color w:val="auto"/>
        </w:rPr>
      </w:pPr>
      <w:r>
        <w:rPr>
          <w:rFonts w:ascii="Arial" w:cs="Arial" w:eastAsia="Arial" w:hAnsi="Arial"/>
          <w:sz w:val="18"/>
          <w:szCs w:val="18"/>
          <w:color w:val="FFFFFF"/>
        </w:rPr>
        <w:t>Every day, a step closer. Our collective future depends on decarbonizing the fossil fuel industry, while innovating a new energy landscape.</w:t>
      </w:r>
    </w:p>
    <w:p>
      <w:pPr>
        <w:spacing w:after="0" w:line="52" w:lineRule="exact"/>
        <w:rPr>
          <w:sz w:val="20"/>
          <w:szCs w:val="20"/>
          <w:color w:val="auto"/>
        </w:rPr>
      </w:pPr>
    </w:p>
    <w:p>
      <w:pPr>
        <w:ind w:left="80" w:right="8300"/>
        <w:spacing w:after="0" w:line="305" w:lineRule="auto"/>
        <w:rPr>
          <w:sz w:val="20"/>
          <w:szCs w:val="20"/>
          <w:color w:val="auto"/>
        </w:rPr>
      </w:pPr>
      <w:r>
        <w:rPr>
          <w:rFonts w:ascii="Arial" w:cs="Arial" w:eastAsia="Arial" w:hAnsi="Arial"/>
          <w:sz w:val="18"/>
          <w:szCs w:val="18"/>
          <w:color w:val="FFFFFF"/>
        </w:rPr>
        <w:t>It’s what drives us. Ensuring progress for people and the planet, on the journey to net zero and beyond.</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For a balanced planet.</w:t>
      </w:r>
    </w:p>
    <w:p>
      <w:pPr>
        <w:sectPr>
          <w:pgSz w:w="12060" w:h="15660" w:orient="portrait"/>
          <w:cols w:equalWidth="0" w:num="1">
            <w:col w:w="11500"/>
          </w:cols>
          <w:pgMar w:left="560" w:top="571" w:right="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Arial" w:cs="Arial" w:eastAsia="Arial" w:hAnsi="Arial"/>
          <w:sz w:val="19"/>
          <w:szCs w:val="19"/>
          <w:color w:val="FFFFFF"/>
        </w:rPr>
        <w:t>SLB 2022 Annual Report</w:t>
      </w:r>
    </w:p>
    <w:p>
      <w:pPr>
        <w:sectPr>
          <w:pgSz w:w="12060" w:h="15660" w:orient="portrait"/>
          <w:cols w:equalWidth="0" w:num="1">
            <w:col w:w="11500"/>
          </w:cols>
          <w:pgMar w:left="560" w:top="571" w:right="0" w:bottom="77" w:gutter="0" w:footer="0" w:header="0"/>
          <w:type w:val="continuous"/>
        </w:sectPr>
      </w:pPr>
    </w:p>
    <w:bookmarkStart w:id="2" w:name="page3"/>
    <w:bookmarkEnd w:id="2"/>
    <w:p>
      <w:pPr>
        <w:jc w:val="both"/>
        <w:ind w:right="1320" w:firstLine="612"/>
        <w:spacing w:after="0" w:line="257" w:lineRule="auto"/>
        <w:rPr>
          <w:sz w:val="20"/>
          <w:szCs w:val="20"/>
          <w:color w:val="auto"/>
        </w:rPr>
      </w:pPr>
      <w:r>
        <w:rPr>
          <w:rFonts w:ascii="Arial" w:cs="Arial" w:eastAsia="Arial" w:hAnsi="Arial"/>
          <w:sz w:val="145"/>
          <w:szCs w:val="145"/>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4663440" cy="9944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9944100"/>
                    </a:xfrm>
                    <a:prstGeom prst="rect">
                      <a:avLst/>
                    </a:prstGeom>
                    <a:noFill/>
                  </pic:spPr>
                </pic:pic>
              </a:graphicData>
            </a:graphic>
          </wp:anchor>
        </w:drawing>
        <w:t>create ogy that o energy, all.</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0014DC"/>
        </w:rPr>
        <w:t>Contents</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14DC"/>
        </w:rPr>
        <w:t>Overview</w:t>
      </w:r>
    </w:p>
    <w:p>
      <w:pPr>
        <w:spacing w:after="0" w:line="67" w:lineRule="exact"/>
        <w:rPr>
          <w:sz w:val="20"/>
          <w:szCs w:val="20"/>
          <w:color w:val="auto"/>
        </w:rPr>
      </w:pPr>
    </w:p>
    <w:p>
      <w:pPr>
        <w:ind w:left="440" w:hanging="400"/>
        <w:spacing w:after="0"/>
        <w:tabs>
          <w:tab w:leader="none" w:pos="440" w:val="left"/>
        </w:tabs>
        <w:numPr>
          <w:ilvl w:val="0"/>
          <w:numId w:val="1"/>
        </w:numPr>
        <w:rPr>
          <w:rFonts w:ascii="Arial" w:cs="Arial" w:eastAsia="Arial" w:hAnsi="Arial"/>
          <w:sz w:val="20"/>
          <w:szCs w:val="20"/>
          <w:b w:val="1"/>
          <w:bCs w:val="1"/>
          <w:color w:val="0014DC"/>
        </w:rPr>
      </w:pPr>
      <w:r>
        <w:rPr>
          <w:rFonts w:ascii="Arial" w:cs="Arial" w:eastAsia="Arial" w:hAnsi="Arial"/>
          <w:sz w:val="20"/>
          <w:szCs w:val="20"/>
          <w:color w:val="0014DC"/>
        </w:rPr>
        <w:t>→ At a glance</w:t>
      </w:r>
    </w:p>
    <w:p>
      <w:pPr>
        <w:spacing w:after="0" w:line="67" w:lineRule="exact"/>
        <w:rPr>
          <w:sz w:val="20"/>
          <w:szCs w:val="20"/>
          <w:color w:val="auto"/>
        </w:rPr>
      </w:pPr>
    </w:p>
    <w:p>
      <w:pPr>
        <w:ind w:left="440" w:hanging="400"/>
        <w:spacing w:after="0"/>
        <w:tabs>
          <w:tab w:leader="none" w:pos="440" w:val="left"/>
        </w:tabs>
        <w:numPr>
          <w:ilvl w:val="0"/>
          <w:numId w:val="2"/>
        </w:numPr>
        <w:rPr>
          <w:rFonts w:ascii="Arial" w:cs="Arial" w:eastAsia="Arial" w:hAnsi="Arial"/>
          <w:sz w:val="20"/>
          <w:szCs w:val="20"/>
          <w:b w:val="1"/>
          <w:bCs w:val="1"/>
          <w:color w:val="0014DC"/>
        </w:rPr>
      </w:pPr>
      <w:r>
        <w:rPr>
          <w:rFonts w:ascii="Arial" w:cs="Arial" w:eastAsia="Arial" w:hAnsi="Arial"/>
          <w:sz w:val="20"/>
          <w:szCs w:val="20"/>
          <w:color w:val="0014DC"/>
        </w:rPr>
        <w:t>→ Chief Executive</w:t>
      </w:r>
    </w:p>
    <w:p>
      <w:pPr>
        <w:spacing w:after="0" w:line="10" w:lineRule="exact"/>
        <w:rPr>
          <w:rFonts w:ascii="Arial" w:cs="Arial" w:eastAsia="Arial" w:hAnsi="Arial"/>
          <w:sz w:val="20"/>
          <w:szCs w:val="20"/>
          <w:b w:val="1"/>
          <w:bCs w:val="1"/>
          <w:color w:val="0014DC"/>
        </w:rPr>
      </w:pPr>
    </w:p>
    <w:p>
      <w:pPr>
        <w:ind w:left="720"/>
        <w:spacing w:after="0"/>
        <w:rPr>
          <w:rFonts w:ascii="Arial" w:cs="Arial" w:eastAsia="Arial" w:hAnsi="Arial"/>
          <w:sz w:val="20"/>
          <w:szCs w:val="20"/>
          <w:b w:val="1"/>
          <w:bCs w:val="1"/>
          <w:color w:val="0014DC"/>
        </w:rPr>
      </w:pPr>
      <w:r>
        <w:rPr>
          <w:rFonts w:ascii="Arial" w:cs="Arial" w:eastAsia="Arial" w:hAnsi="Arial"/>
          <w:sz w:val="20"/>
          <w:szCs w:val="20"/>
          <w:color w:val="0014DC"/>
        </w:rPr>
        <w:t>Officer's introduction</w:t>
      </w:r>
    </w:p>
    <w:p>
      <w:pPr>
        <w:spacing w:after="0" w:line="67" w:lineRule="exact"/>
        <w:rPr>
          <w:sz w:val="20"/>
          <w:szCs w:val="20"/>
          <w:color w:val="auto"/>
        </w:rPr>
      </w:pPr>
    </w:p>
    <w:p>
      <w:pPr>
        <w:ind w:left="440" w:hanging="400"/>
        <w:spacing w:after="0"/>
        <w:tabs>
          <w:tab w:leader="none" w:pos="440" w:val="left"/>
        </w:tabs>
        <w:numPr>
          <w:ilvl w:val="0"/>
          <w:numId w:val="3"/>
        </w:numPr>
        <w:rPr>
          <w:rFonts w:ascii="Arial" w:cs="Arial" w:eastAsia="Arial" w:hAnsi="Arial"/>
          <w:sz w:val="20"/>
          <w:szCs w:val="20"/>
          <w:b w:val="1"/>
          <w:bCs w:val="1"/>
          <w:color w:val="0014DC"/>
        </w:rPr>
      </w:pPr>
      <w:r>
        <w:rPr>
          <w:rFonts w:ascii="Arial" w:cs="Arial" w:eastAsia="Arial" w:hAnsi="Arial"/>
          <w:sz w:val="20"/>
          <w:szCs w:val="20"/>
          <w:color w:val="0014DC"/>
        </w:rPr>
        <w:t>→ Market trends</w:t>
      </w:r>
    </w:p>
    <w:p>
      <w:pPr>
        <w:spacing w:after="0" w:line="67" w:lineRule="exact"/>
        <w:rPr>
          <w:sz w:val="20"/>
          <w:szCs w:val="20"/>
          <w:color w:val="auto"/>
        </w:rPr>
      </w:pPr>
    </w:p>
    <w:p>
      <w:pPr>
        <w:jc w:val="right"/>
        <w:ind w:left="720" w:right="1080" w:hanging="680"/>
        <w:spacing w:after="0" w:line="302" w:lineRule="auto"/>
        <w:tabs>
          <w:tab w:leader="none" w:pos="437" w:val="left"/>
        </w:tabs>
        <w:numPr>
          <w:ilvl w:val="0"/>
          <w:numId w:val="4"/>
        </w:numPr>
        <w:rPr>
          <w:rFonts w:ascii="Arial" w:cs="Arial" w:eastAsia="Arial" w:hAnsi="Arial"/>
          <w:sz w:val="19"/>
          <w:szCs w:val="19"/>
          <w:b w:val="1"/>
          <w:bCs w:val="1"/>
          <w:color w:val="0014DC"/>
        </w:rPr>
      </w:pPr>
      <w:r>
        <w:rPr>
          <w:rFonts w:ascii="Arial" w:cs="Arial" w:eastAsia="Arial" w:hAnsi="Arial"/>
          <w:sz w:val="19"/>
          <w:szCs w:val="19"/>
          <w:color w:val="0014DC"/>
        </w:rPr>
        <w:t>→ Business strategy and sustainability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14DC"/>
        </w:rPr>
        <w:t>Strategic performance</w:t>
      </w:r>
    </w:p>
    <w:p>
      <w:pPr>
        <w:spacing w:after="0" w:line="67" w:lineRule="exact"/>
        <w:rPr>
          <w:sz w:val="20"/>
          <w:szCs w:val="20"/>
          <w:color w:val="auto"/>
        </w:rPr>
      </w:pPr>
    </w:p>
    <w:p>
      <w:pPr>
        <w:ind w:left="440" w:hanging="400"/>
        <w:spacing w:after="0"/>
        <w:tabs>
          <w:tab w:leader="none" w:pos="440" w:val="left"/>
        </w:tabs>
        <w:numPr>
          <w:ilvl w:val="0"/>
          <w:numId w:val="5"/>
        </w:numPr>
        <w:rPr>
          <w:rFonts w:ascii="Arial" w:cs="Arial" w:eastAsia="Arial" w:hAnsi="Arial"/>
          <w:sz w:val="20"/>
          <w:szCs w:val="20"/>
          <w:b w:val="1"/>
          <w:bCs w:val="1"/>
          <w:color w:val="0014DC"/>
        </w:rPr>
      </w:pPr>
      <w:r>
        <w:rPr>
          <w:rFonts w:ascii="Arial" w:cs="Arial" w:eastAsia="Arial" w:hAnsi="Arial"/>
          <w:sz w:val="20"/>
          <w:szCs w:val="20"/>
          <w:color w:val="0014DC"/>
        </w:rPr>
        <w:t>→ Core</w:t>
      </w:r>
    </w:p>
    <w:p>
      <w:pPr>
        <w:spacing w:after="0" w:line="66" w:lineRule="exact"/>
        <w:rPr>
          <w:rFonts w:ascii="Arial" w:cs="Arial" w:eastAsia="Arial" w:hAnsi="Arial"/>
          <w:sz w:val="20"/>
          <w:szCs w:val="20"/>
          <w:b w:val="1"/>
          <w:bCs w:val="1"/>
          <w:color w:val="0014DC"/>
        </w:rPr>
      </w:pPr>
    </w:p>
    <w:p>
      <w:pPr>
        <w:ind w:left="440" w:hanging="400"/>
        <w:spacing w:after="0"/>
        <w:tabs>
          <w:tab w:leader="none" w:pos="440" w:val="left"/>
        </w:tabs>
        <w:numPr>
          <w:ilvl w:val="0"/>
          <w:numId w:val="6"/>
        </w:numPr>
        <w:rPr>
          <w:rFonts w:ascii="Arial" w:cs="Arial" w:eastAsia="Arial" w:hAnsi="Arial"/>
          <w:sz w:val="20"/>
          <w:szCs w:val="20"/>
          <w:b w:val="1"/>
          <w:bCs w:val="1"/>
          <w:color w:val="0014DC"/>
        </w:rPr>
      </w:pPr>
      <w:r>
        <w:rPr>
          <w:rFonts w:ascii="Arial" w:cs="Arial" w:eastAsia="Arial" w:hAnsi="Arial"/>
          <w:sz w:val="20"/>
          <w:szCs w:val="20"/>
          <w:color w:val="0014DC"/>
        </w:rPr>
        <w:t>→ Digital</w:t>
      </w:r>
    </w:p>
    <w:p>
      <w:pPr>
        <w:spacing w:after="0" w:line="66" w:lineRule="exact"/>
        <w:rPr>
          <w:rFonts w:ascii="Arial" w:cs="Arial" w:eastAsia="Arial" w:hAnsi="Arial"/>
          <w:sz w:val="20"/>
          <w:szCs w:val="20"/>
          <w:b w:val="1"/>
          <w:bCs w:val="1"/>
          <w:color w:val="0014DC"/>
        </w:rPr>
      </w:pPr>
    </w:p>
    <w:p>
      <w:pPr>
        <w:ind w:left="440" w:hanging="400"/>
        <w:spacing w:after="0"/>
        <w:tabs>
          <w:tab w:leader="none" w:pos="440" w:val="left"/>
        </w:tabs>
        <w:numPr>
          <w:ilvl w:val="0"/>
          <w:numId w:val="7"/>
        </w:numPr>
        <w:rPr>
          <w:rFonts w:ascii="Arial" w:cs="Arial" w:eastAsia="Arial" w:hAnsi="Arial"/>
          <w:sz w:val="20"/>
          <w:szCs w:val="20"/>
          <w:b w:val="1"/>
          <w:bCs w:val="1"/>
          <w:color w:val="0014DC"/>
        </w:rPr>
      </w:pPr>
      <w:r>
        <w:rPr>
          <w:rFonts w:ascii="Arial" w:cs="Arial" w:eastAsia="Arial" w:hAnsi="Arial"/>
          <w:sz w:val="20"/>
          <w:szCs w:val="20"/>
          <w:color w:val="0014DC"/>
        </w:rPr>
        <w:t>→ New Energy</w:t>
      </w:r>
    </w:p>
    <w:p>
      <w:pPr>
        <w:spacing w:after="0" w:line="67" w:lineRule="exact"/>
        <w:rPr>
          <w:sz w:val="20"/>
          <w:szCs w:val="20"/>
          <w:color w:val="auto"/>
        </w:rPr>
      </w:pPr>
    </w:p>
    <w:p>
      <w:pPr>
        <w:ind w:left="720" w:right="940" w:hanging="680"/>
        <w:spacing w:after="0" w:line="294" w:lineRule="auto"/>
        <w:tabs>
          <w:tab w:leader="none" w:pos="437" w:val="left"/>
        </w:tabs>
        <w:numPr>
          <w:ilvl w:val="0"/>
          <w:numId w:val="8"/>
        </w:numPr>
        <w:rPr>
          <w:rFonts w:ascii="Arial" w:cs="Arial" w:eastAsia="Arial" w:hAnsi="Arial"/>
          <w:sz w:val="19"/>
          <w:szCs w:val="19"/>
          <w:b w:val="1"/>
          <w:bCs w:val="1"/>
          <w:color w:val="0014DC"/>
        </w:rPr>
      </w:pPr>
      <w:r>
        <w:rPr>
          <w:rFonts w:ascii="Arial" w:cs="Arial" w:eastAsia="Arial" w:hAnsi="Arial"/>
          <w:sz w:val="19"/>
          <w:szCs w:val="19"/>
          <w:color w:val="0014DC"/>
        </w:rPr>
        <w:t>→ Global deployment platform</w:t>
      </w:r>
    </w:p>
    <w:p>
      <w:pPr>
        <w:spacing w:after="0" w:line="1" w:lineRule="exact"/>
        <w:rPr>
          <w:sz w:val="20"/>
          <w:szCs w:val="20"/>
          <w:color w:val="auto"/>
        </w:rPr>
      </w:pPr>
    </w:p>
    <w:p>
      <w:pPr>
        <w:ind w:left="440" w:hanging="400"/>
        <w:spacing w:after="0"/>
        <w:tabs>
          <w:tab w:leader="none" w:pos="440" w:val="left"/>
        </w:tabs>
        <w:numPr>
          <w:ilvl w:val="0"/>
          <w:numId w:val="9"/>
        </w:numPr>
        <w:rPr>
          <w:rFonts w:ascii="Arial" w:cs="Arial" w:eastAsia="Arial" w:hAnsi="Arial"/>
          <w:sz w:val="20"/>
          <w:szCs w:val="20"/>
          <w:b w:val="1"/>
          <w:bCs w:val="1"/>
          <w:color w:val="0014DC"/>
        </w:rPr>
      </w:pPr>
      <w:r>
        <w:rPr>
          <w:rFonts w:ascii="Arial" w:cs="Arial" w:eastAsia="Arial" w:hAnsi="Arial"/>
          <w:sz w:val="20"/>
          <w:szCs w:val="20"/>
          <w:color w:val="0014DC"/>
        </w:rPr>
        <w:t>→ Financial commentary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14DC"/>
        </w:rPr>
        <w:t>A global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145415</wp:posOffset>
            </wp:positionV>
            <wp:extent cx="2065655" cy="1196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5655" cy="119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84"/>
          <w:szCs w:val="84"/>
          <w:color w:val="00D2DC"/>
        </w:rPr>
        <w:t>&gt;70</w:t>
      </w:r>
    </w:p>
    <w:p>
      <w:pPr>
        <w:spacing w:after="0" w:line="122" w:lineRule="exact"/>
        <w:rPr>
          <w:sz w:val="20"/>
          <w:szCs w:val="20"/>
          <w:color w:val="auto"/>
        </w:rPr>
      </w:pPr>
    </w:p>
    <w:p>
      <w:pPr>
        <w:ind w:left="40" w:right="680"/>
        <w:spacing w:after="0" w:line="321" w:lineRule="auto"/>
        <w:rPr>
          <w:sz w:val="20"/>
          <w:szCs w:val="20"/>
          <w:color w:val="auto"/>
        </w:rPr>
      </w:pPr>
      <w:r>
        <w:rPr>
          <w:rFonts w:ascii="Arial" w:cs="Arial" w:eastAsia="Arial" w:hAnsi="Arial"/>
          <w:sz w:val="15"/>
          <w:szCs w:val="15"/>
          <w:color w:val="auto"/>
        </w:rPr>
        <w:t xml:space="preserve">Our more than 70 </w:t>
      </w:r>
      <w:r>
        <w:rPr>
          <w:rFonts w:ascii="Arial" w:cs="Arial" w:eastAsia="Arial" w:hAnsi="Arial"/>
          <w:sz w:val="15"/>
          <w:szCs w:val="15"/>
          <w:b w:val="1"/>
          <w:bCs w:val="1"/>
          <w:color w:val="auto"/>
        </w:rPr>
        <w:t>global technology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centers </w:t>
      </w:r>
      <w:r>
        <w:rPr>
          <w:rFonts w:ascii="Arial" w:cs="Arial" w:eastAsia="Arial" w:hAnsi="Arial"/>
          <w:sz w:val="15"/>
          <w:szCs w:val="15"/>
          <w:color w:val="auto"/>
        </w:rPr>
        <w:t>drive innovation each day</w:t>
      </w:r>
    </w:p>
    <w:p>
      <w:pPr>
        <w:spacing w:after="0" w:line="86" w:lineRule="exact"/>
        <w:rPr>
          <w:sz w:val="20"/>
          <w:szCs w:val="20"/>
          <w:color w:val="auto"/>
        </w:rPr>
      </w:pPr>
    </w:p>
    <w:p>
      <w:pPr>
        <w:spacing w:after="0"/>
        <w:rPr>
          <w:sz w:val="20"/>
          <w:szCs w:val="20"/>
          <w:color w:val="auto"/>
        </w:rPr>
      </w:pPr>
      <w:r>
        <w:rPr>
          <w:rFonts w:ascii="Arial" w:cs="Arial" w:eastAsia="Arial" w:hAnsi="Arial"/>
          <w:sz w:val="84"/>
          <w:szCs w:val="84"/>
          <w:color w:val="00D2DC"/>
        </w:rPr>
        <w:t>&gt;100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-579120</wp:posOffset>
                </wp:positionV>
                <wp:extent cx="20720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0014DC"/>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45.5999pt" to="165.15pt,-45.5999pt" o:allowincell="f" strokecolor="#0014DC" strokeweight="0.5pt"/>
            </w:pict>
          </mc:Fallback>
        </mc:AlternateContent>
      </w:r>
    </w:p>
    <w:p>
      <w:pPr>
        <w:spacing w:after="0" w:line="103" w:lineRule="exact"/>
        <w:rPr>
          <w:sz w:val="20"/>
          <w:szCs w:val="20"/>
          <w:color w:val="auto"/>
        </w:rPr>
      </w:pPr>
    </w:p>
    <w:p>
      <w:pPr>
        <w:ind w:left="40" w:right="800"/>
        <w:spacing w:after="0" w:line="269" w:lineRule="auto"/>
        <w:rPr>
          <w:sz w:val="20"/>
          <w:szCs w:val="20"/>
          <w:color w:val="auto"/>
        </w:rPr>
      </w:pPr>
      <w:r>
        <w:rPr>
          <w:rFonts w:ascii="Arial" w:cs="Arial" w:eastAsia="Arial" w:hAnsi="Arial"/>
          <w:sz w:val="16"/>
          <w:szCs w:val="16"/>
          <w:color w:val="auto"/>
        </w:rPr>
        <w:t xml:space="preserve">We have a global footprint in more than </w:t>
      </w:r>
      <w:r>
        <w:rPr>
          <w:rFonts w:ascii="Arial" w:cs="Arial" w:eastAsia="Arial" w:hAnsi="Arial"/>
          <w:sz w:val="16"/>
          <w:szCs w:val="16"/>
          <w:b w:val="1"/>
          <w:bCs w:val="1"/>
          <w:color w:val="auto"/>
        </w:rPr>
        <w:t>100 countries</w:t>
      </w:r>
      <w:r>
        <w:rPr>
          <w:rFonts w:ascii="Arial" w:cs="Arial" w:eastAsia="Arial" w:hAnsi="Arial"/>
          <w:sz w:val="16"/>
          <w:szCs w:val="16"/>
          <w:color w:val="auto"/>
        </w:rPr>
        <w:t xml:space="preserve"> and employees representing almost twice as many nationalities</w:t>
      </w:r>
    </w:p>
    <w:p>
      <w:pPr>
        <w:spacing w:after="0" w:line="200" w:lineRule="exact"/>
        <w:rPr>
          <w:sz w:val="20"/>
          <w:szCs w:val="20"/>
          <w:color w:val="auto"/>
        </w:rPr>
      </w:pPr>
    </w:p>
    <w:p>
      <w:pPr>
        <w:sectPr>
          <w:pgSz w:w="12060" w:h="15660" w:orient="portrait"/>
          <w:cols w:equalWidth="0" w:num="2">
            <w:col w:w="7400" w:space="720"/>
            <w:col w:w="3300"/>
          </w:cols>
          <w:pgMar w:left="0" w:top="571" w:right="640"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300"/>
        <w:spacing w:after="0"/>
        <w:rPr>
          <w:sz w:val="20"/>
          <w:szCs w:val="20"/>
          <w:color w:val="auto"/>
        </w:rPr>
      </w:pPr>
      <w:r>
        <w:rPr>
          <w:rFonts w:ascii="Arial" w:cs="Arial" w:eastAsia="Arial" w:hAnsi="Arial"/>
          <w:sz w:val="20"/>
          <w:szCs w:val="20"/>
          <w:color w:val="0033A1"/>
        </w:rPr>
        <w:t>1</w:t>
      </w:r>
    </w:p>
    <w:p>
      <w:pPr>
        <w:sectPr>
          <w:pgSz w:w="12060" w:h="15660" w:orient="portrait"/>
          <w:cols w:equalWidth="0" w:num="1">
            <w:col w:w="11420"/>
          </w:cols>
          <w:pgMar w:left="0" w:top="571" w:right="640" w:bottom="65" w:gutter="0" w:footer="0" w:header="0"/>
          <w:type w:val="continuous"/>
        </w:sectPr>
      </w:pPr>
    </w:p>
    <w:bookmarkStart w:id="3" w:name="page4"/>
    <w:bookmarkEnd w:id="3"/>
    <w:p>
      <w:pPr>
        <w:ind w:left="140"/>
        <w:spacing w:after="0"/>
        <w:rPr>
          <w:sz w:val="20"/>
          <w:szCs w:val="20"/>
          <w:color w:val="auto"/>
        </w:rPr>
      </w:pPr>
      <w:r>
        <w:rPr>
          <w:rFonts w:ascii="Arial" w:cs="Arial" w:eastAsia="Arial" w:hAnsi="Arial"/>
          <w:sz w:val="28"/>
          <w:szCs w:val="28"/>
          <w:b w:val="1"/>
          <w:bCs w:val="1"/>
          <w:color w:val="0014DC"/>
        </w:rPr>
        <w:drawing>
          <wp:anchor simplePos="0" relativeHeight="251657728" behindDoc="1" locked="0" layoutInCell="0" allowOverlap="1">
            <wp:simplePos x="0" y="0"/>
            <wp:positionH relativeFrom="page">
              <wp:posOffset>6103620</wp:posOffset>
            </wp:positionH>
            <wp:positionV relativeFrom="page">
              <wp:posOffset>0</wp:posOffset>
            </wp:positionV>
            <wp:extent cx="1554480" cy="4608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54480" cy="4608195"/>
                    </a:xfrm>
                    <a:prstGeom prst="rect">
                      <a:avLst/>
                    </a:prstGeom>
                    <a:noFill/>
                  </pic:spPr>
                </pic:pic>
              </a:graphicData>
            </a:graphic>
          </wp:anchor>
        </w:drawing>
        <w:t xml:space="preserve">Overview </w:t>
      </w:r>
      <w:r>
        <w:rPr>
          <w:rFonts w:ascii="Arial" w:cs="Arial" w:eastAsia="Arial" w:hAnsi="Arial"/>
          <w:sz w:val="28"/>
          <w:szCs w:val="28"/>
          <w:color w:val="0014DC"/>
        </w:rPr>
        <w:t>At a glance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40"/>
        <w:spacing w:after="0" w:line="272" w:lineRule="auto"/>
        <w:rPr>
          <w:sz w:val="20"/>
          <w:szCs w:val="20"/>
          <w:color w:val="auto"/>
        </w:rPr>
      </w:pPr>
      <w:r>
        <w:rPr>
          <w:rFonts w:ascii="Arial" w:cs="Arial" w:eastAsia="Arial" w:hAnsi="Arial"/>
          <w:sz w:val="151"/>
          <w:szCs w:val="151"/>
          <w:color w:val="0014DC"/>
        </w:rPr>
        <w:t>For a balanced   planet</w:t>
      </w:r>
    </w:p>
    <w:p>
      <w:pPr>
        <w:spacing w:after="0" w:line="352" w:lineRule="exact"/>
        <w:rPr>
          <w:sz w:val="20"/>
          <w:szCs w:val="20"/>
          <w:color w:val="auto"/>
        </w:rPr>
      </w:pPr>
    </w:p>
    <w:p>
      <w:pPr>
        <w:ind w:left="960" w:right="3800"/>
        <w:spacing w:after="0" w:line="265" w:lineRule="auto"/>
        <w:rPr>
          <w:sz w:val="20"/>
          <w:szCs w:val="20"/>
          <w:color w:val="auto"/>
        </w:rPr>
      </w:pPr>
      <w:r>
        <w:rPr>
          <w:rFonts w:ascii="Arial" w:cs="Arial" w:eastAsia="Arial" w:hAnsi="Arial"/>
          <w:sz w:val="34"/>
          <w:szCs w:val="34"/>
          <w:color w:val="auto"/>
        </w:rPr>
        <w:t>We are delivering innovation at speed and scale across the energy landscape. Paving a path to net zero and beyond.</w:t>
      </w: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36"/>
          <w:szCs w:val="36"/>
          <w:color w:val="AAAAAA"/>
        </w:rPr>
        <w:t>Our three engines of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85725</wp:posOffset>
                </wp:positionH>
                <wp:positionV relativeFrom="paragraph">
                  <wp:posOffset>161290</wp:posOffset>
                </wp:positionV>
                <wp:extent cx="207391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3910" cy="4763"/>
                        </a:xfrm>
                        <a:prstGeom prst="line">
                          <a:avLst/>
                        </a:prstGeom>
                        <a:solidFill>
                          <a:srgbClr val="FFFFFF"/>
                        </a:solidFill>
                        <a:ln w="76200">
                          <a:solidFill>
                            <a:srgbClr val="051464"/>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12.7pt" to="170.05pt,12.7pt" o:allowincell="f" strokecolor="#051464" strokeweight="6pt"/>
            </w:pict>
          </mc:Fallback>
        </mc:AlternateContent>
        <mc:AlternateContent>
          <mc:Choice Requires="wps">
            <w:drawing>
              <wp:anchor simplePos="0" relativeHeight="251657728" behindDoc="1" locked="0" layoutInCell="0" allowOverlap="1">
                <wp:simplePos x="0" y="0"/>
                <wp:positionH relativeFrom="column">
                  <wp:posOffset>2418080</wp:posOffset>
                </wp:positionH>
                <wp:positionV relativeFrom="paragraph">
                  <wp:posOffset>161290</wp:posOffset>
                </wp:positionV>
                <wp:extent cx="207200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76200">
                          <a:solidFill>
                            <a:srgbClr val="0014DC"/>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4pt,12.7pt" to="353.55pt,12.7pt" o:allowincell="f" strokecolor="#0014DC" strokeweight="6pt"/>
            </w:pict>
          </mc:Fallback>
        </mc:AlternateContent>
        <mc:AlternateContent>
          <mc:Choice Requires="wps">
            <w:drawing>
              <wp:anchor simplePos="0" relativeHeight="251657728" behindDoc="1" locked="0" layoutInCell="0" allowOverlap="1">
                <wp:simplePos x="0" y="0"/>
                <wp:positionH relativeFrom="column">
                  <wp:posOffset>4747260</wp:posOffset>
                </wp:positionH>
                <wp:positionV relativeFrom="paragraph">
                  <wp:posOffset>161290</wp:posOffset>
                </wp:positionV>
                <wp:extent cx="207391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3910" cy="4763"/>
                        </a:xfrm>
                        <a:prstGeom prst="line">
                          <a:avLst/>
                        </a:prstGeom>
                        <a:solidFill>
                          <a:srgbClr val="FFFFFF"/>
                        </a:solidFill>
                        <a:ln w="76200">
                          <a:solidFill>
                            <a:srgbClr val="00D2DC"/>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8pt,12.7pt" to="537.1pt,12.7pt" o:allowincell="f" strokecolor="#00D2DC" strokeweight="6pt"/>
            </w:pict>
          </mc:Fallback>
        </mc:AlternateContent>
      </w:r>
    </w:p>
    <w:p>
      <w:pPr>
        <w:sectPr>
          <w:pgSz w:w="12060" w:h="15660" w:orient="portrait"/>
          <w:cols w:equalWidth="0" w:num="1">
            <w:col w:w="10760"/>
          </w:cols>
          <w:pgMar w:left="500" w:top="837" w:right="800" w:bottom="77" w:gutter="0" w:footer="0" w:header="0"/>
        </w:sect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Core</w:t>
      </w:r>
    </w:p>
    <w:p>
      <w:pPr>
        <w:spacing w:after="0" w:line="124" w:lineRule="exact"/>
        <w:rPr>
          <w:sz w:val="20"/>
          <w:szCs w:val="20"/>
          <w:color w:val="auto"/>
        </w:rPr>
      </w:pPr>
    </w:p>
    <w:p>
      <w:pPr>
        <w:ind w:left="140" w:right="20"/>
        <w:spacing w:after="0" w:line="284" w:lineRule="auto"/>
        <w:rPr>
          <w:sz w:val="20"/>
          <w:szCs w:val="20"/>
          <w:color w:val="auto"/>
        </w:rPr>
      </w:pPr>
      <w:r>
        <w:rPr>
          <w:rFonts w:ascii="Arial" w:cs="Arial" w:eastAsia="Arial" w:hAnsi="Arial"/>
          <w:sz w:val="18"/>
          <w:szCs w:val="18"/>
          <w:color w:val="auto"/>
        </w:rPr>
        <w:t>Absent a major market disruption, we maintain the view that upstream spending is very resilient and decoupled from near-term demand. We foresee capital investment continuing to grow at double-digit compound annual growth rate (CAGR) in the upstream sector for years ahead across Middle East, North America Land, and Offshore basins.</w:t>
      </w:r>
    </w:p>
    <w:p>
      <w:pPr>
        <w:spacing w:after="0" w:line="64" w:lineRule="exact"/>
        <w:rPr>
          <w:sz w:val="20"/>
          <w:szCs w:val="20"/>
          <w:color w:val="auto"/>
        </w:rPr>
      </w:pPr>
    </w:p>
    <w:p>
      <w:pPr>
        <w:ind w:left="140" w:right="40"/>
        <w:spacing w:after="0" w:line="296" w:lineRule="auto"/>
        <w:rPr>
          <w:sz w:val="20"/>
          <w:szCs w:val="20"/>
          <w:color w:val="auto"/>
        </w:rPr>
      </w:pPr>
      <w:r>
        <w:rPr>
          <w:rFonts w:ascii="Arial" w:cs="Arial" w:eastAsia="Arial" w:hAnsi="Arial"/>
          <w:sz w:val="18"/>
          <w:szCs w:val="18"/>
          <w:color w:val="auto"/>
        </w:rPr>
        <w:t>This represents a very favorable backdrop to SLB market positions and will continue to support our ambition for outperformance in this upcycle.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Upstream oil and gas investment 2021-2025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86360</wp:posOffset>
                </wp:positionH>
                <wp:positionV relativeFrom="paragraph">
                  <wp:posOffset>315595</wp:posOffset>
                </wp:positionV>
                <wp:extent cx="1036320" cy="31178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6320" cy="311785"/>
                        </a:xfrm>
                        <a:prstGeom prst="rect">
                          <a:avLst/>
                        </a:prstGeom>
                        <a:solidFill>
                          <a:srgbClr val="051464"/>
                        </a:solidFill>
                      </wps:spPr>
                      <wps:bodyPr/>
                    </wps:wsp>
                  </a:graphicData>
                </a:graphic>
              </wp:anchor>
            </w:drawing>
          </mc:Choice>
          <mc:Fallback>
            <w:pict>
              <v:rect id="Shape 11" o:spid="_x0000_s1036" style="position:absolute;margin-left:6.8pt;margin-top:24.85pt;width:81.6pt;height:2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51464" stroked="f"/>
            </w:pict>
          </mc:Fallback>
        </mc:AlternateContent>
        <mc:AlternateContent>
          <mc:Choice Requires="wps">
            <w:drawing>
              <wp:anchor simplePos="0" relativeHeight="251657728" behindDoc="1" locked="0" layoutInCell="0" allowOverlap="1">
                <wp:simplePos x="0" y="0"/>
                <wp:positionH relativeFrom="column">
                  <wp:posOffset>1122680</wp:posOffset>
                </wp:positionH>
                <wp:positionV relativeFrom="paragraph">
                  <wp:posOffset>106045</wp:posOffset>
                </wp:positionV>
                <wp:extent cx="1037590" cy="52133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7590" cy="521335"/>
                        </a:xfrm>
                        <a:prstGeom prst="rect">
                          <a:avLst/>
                        </a:prstGeom>
                        <a:solidFill>
                          <a:srgbClr val="051464"/>
                        </a:solidFill>
                      </wps:spPr>
                      <wps:bodyPr/>
                    </wps:wsp>
                  </a:graphicData>
                </a:graphic>
              </wp:anchor>
            </w:drawing>
          </mc:Choice>
          <mc:Fallback>
            <w:pict>
              <v:rect id="Shape 12" o:spid="_x0000_s1037" style="position:absolute;margin-left:88.4pt;margin-top:8.35pt;width:81.7pt;height:4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51464" stroked="f"/>
            </w:pict>
          </mc:Fallback>
        </mc:AlternateContent>
        <mc:AlternateContent>
          <mc:Choice Requires="wps">
            <w:drawing>
              <wp:anchor simplePos="0" relativeHeight="251657728" behindDoc="1" locked="0" layoutInCell="0" allowOverlap="1">
                <wp:simplePos x="0" y="0"/>
                <wp:positionH relativeFrom="column">
                  <wp:posOffset>1121410</wp:posOffset>
                </wp:positionH>
                <wp:positionV relativeFrom="paragraph">
                  <wp:posOffset>100965</wp:posOffset>
                </wp:positionV>
                <wp:extent cx="0" cy="56959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9595"/>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3pt,7.95pt" to="88.3pt,52.8pt" o:allowincell="f" strokecolor="#FFFFFF"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Digital</w:t>
      </w:r>
    </w:p>
    <w:p>
      <w:pPr>
        <w:spacing w:after="0" w:line="124" w:lineRule="exact"/>
        <w:rPr>
          <w:sz w:val="20"/>
          <w:szCs w:val="20"/>
          <w:color w:val="auto"/>
        </w:rPr>
      </w:pPr>
    </w:p>
    <w:p>
      <w:pPr>
        <w:ind w:left="20"/>
        <w:spacing w:after="0" w:line="269" w:lineRule="auto"/>
        <w:rPr>
          <w:sz w:val="20"/>
          <w:szCs w:val="20"/>
          <w:color w:val="auto"/>
        </w:rPr>
      </w:pPr>
      <w:r>
        <w:rPr>
          <w:rFonts w:ascii="Arial" w:cs="Arial" w:eastAsia="Arial" w:hAnsi="Arial"/>
          <w:sz w:val="19"/>
          <w:szCs w:val="19"/>
          <w:color w:val="auto"/>
        </w:rPr>
        <w:t>The quest for capital efficiency, asset teams’ productivity, and cycle-time reduction requires digital transformation in our industry. We continue to expand our digital market position and deliver a high rate of revenue growth and highly accretive margin results.</w:t>
      </w:r>
    </w:p>
    <w:p>
      <w:pPr>
        <w:spacing w:after="0" w:line="107" w:lineRule="exact"/>
        <w:rPr>
          <w:sz w:val="20"/>
          <w:szCs w:val="20"/>
          <w:color w:val="auto"/>
        </w:rPr>
      </w:pPr>
    </w:p>
    <w:p>
      <w:pPr>
        <w:spacing w:after="0"/>
        <w:rPr>
          <w:sz w:val="20"/>
          <w:szCs w:val="20"/>
          <w:color w:val="auto"/>
        </w:rPr>
      </w:pPr>
      <w:r>
        <w:rPr>
          <w:rFonts w:ascii="Arial" w:cs="Arial" w:eastAsia="Arial" w:hAnsi="Arial"/>
          <w:sz w:val="48"/>
          <w:szCs w:val="48"/>
          <w:color w:val="0014DC"/>
        </w:rPr>
        <w:t>&gt;1,500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Software customers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65405</wp:posOffset>
                </wp:positionV>
                <wp:extent cx="207200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0014DC"/>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5.15pt" to="164.55pt,5.15pt" o:allowincell="f" strokecolor="#0014DC" strokeweight="0.5pt"/>
            </w:pict>
          </mc:Fallback>
        </mc:AlternateContent>
      </w:r>
    </w:p>
    <w:p>
      <w:pPr>
        <w:spacing w:after="0" w:line="150" w:lineRule="exact"/>
        <w:rPr>
          <w:sz w:val="20"/>
          <w:szCs w:val="20"/>
          <w:color w:val="auto"/>
        </w:rPr>
      </w:pPr>
    </w:p>
    <w:p>
      <w:pPr>
        <w:spacing w:after="0"/>
        <w:rPr>
          <w:sz w:val="20"/>
          <w:szCs w:val="20"/>
          <w:color w:val="auto"/>
        </w:rPr>
      </w:pPr>
      <w:r>
        <w:rPr>
          <w:rFonts w:ascii="Arial" w:cs="Arial" w:eastAsia="Arial" w:hAnsi="Arial"/>
          <w:sz w:val="48"/>
          <w:szCs w:val="48"/>
          <w:color w:val="0014DC"/>
        </w:rPr>
        <w:t>&gt;85%</w:t>
      </w:r>
    </w:p>
    <w:p>
      <w:pPr>
        <w:spacing w:after="0" w:line="46" w:lineRule="exact"/>
        <w:rPr>
          <w:sz w:val="20"/>
          <w:szCs w:val="20"/>
          <w:color w:val="auto"/>
        </w:rPr>
      </w:pPr>
    </w:p>
    <w:p>
      <w:pPr>
        <w:ind w:left="20" w:right="840"/>
        <w:spacing w:after="0" w:line="286" w:lineRule="auto"/>
        <w:rPr>
          <w:sz w:val="20"/>
          <w:szCs w:val="20"/>
          <w:color w:val="auto"/>
        </w:rPr>
      </w:pPr>
      <w:r>
        <w:rPr>
          <w:rFonts w:ascii="Arial" w:cs="Arial" w:eastAsia="Arial" w:hAnsi="Arial"/>
          <w:sz w:val="16"/>
          <w:szCs w:val="16"/>
          <w:b w:val="1"/>
          <w:bCs w:val="1"/>
          <w:color w:val="auto"/>
        </w:rPr>
        <w:t>Top 100 oil and gas producers use our software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31115</wp:posOffset>
                </wp:positionV>
                <wp:extent cx="207200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0014DC"/>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2.45pt" to="164.55pt,2.45pt" o:allowincell="f" strokecolor="#0014DC"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New Energy</w:t>
      </w:r>
    </w:p>
    <w:p>
      <w:pPr>
        <w:spacing w:after="0" w:line="124" w:lineRule="exact"/>
        <w:rPr>
          <w:sz w:val="20"/>
          <w:szCs w:val="20"/>
          <w:color w:val="auto"/>
        </w:rPr>
      </w:pPr>
    </w:p>
    <w:p>
      <w:pPr>
        <w:ind w:left="20" w:right="140"/>
        <w:spacing w:after="0" w:line="268" w:lineRule="auto"/>
        <w:rPr>
          <w:sz w:val="20"/>
          <w:szCs w:val="20"/>
          <w:color w:val="auto"/>
        </w:rPr>
      </w:pPr>
      <w:r>
        <w:rPr>
          <w:rFonts w:ascii="Arial" w:cs="Arial" w:eastAsia="Arial" w:hAnsi="Arial"/>
          <w:sz w:val="19"/>
          <w:szCs w:val="19"/>
          <w:color w:val="auto"/>
        </w:rPr>
        <w:t>The size of the energy transition opportunity is immense for SLB. The rate of market growth is very significant. We are building a broad, diverse portfolio across New Energy sectors, selected for their materiality and adjacency to our existing market strengths, and where we can offer technology differentiation.</w:t>
      </w:r>
    </w:p>
    <w:p>
      <w:pPr>
        <w:spacing w:after="0" w:line="111" w:lineRule="exact"/>
        <w:rPr>
          <w:sz w:val="20"/>
          <w:szCs w:val="20"/>
          <w:color w:val="auto"/>
        </w:rPr>
      </w:pPr>
    </w:p>
    <w:p>
      <w:pPr>
        <w:spacing w:after="0"/>
        <w:rPr>
          <w:sz w:val="20"/>
          <w:szCs w:val="20"/>
          <w:color w:val="auto"/>
        </w:rPr>
      </w:pPr>
      <w:r>
        <w:rPr>
          <w:rFonts w:ascii="Arial" w:cs="Arial" w:eastAsia="Arial" w:hAnsi="Arial"/>
          <w:sz w:val="48"/>
          <w:szCs w:val="48"/>
          <w:color w:val="00D2DC"/>
        </w:rPr>
        <w:t>+20%</w:t>
      </w:r>
      <w:r>
        <w:rPr>
          <w:rFonts w:ascii="Arial" w:cs="Arial" w:eastAsia="Arial" w:hAnsi="Arial"/>
          <w:sz w:val="27"/>
          <w:szCs w:val="27"/>
          <w:color w:val="00D2DC"/>
        </w:rPr>
        <w: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Expected increase in energy demand by 2050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12065</wp:posOffset>
                </wp:positionH>
                <wp:positionV relativeFrom="paragraph">
                  <wp:posOffset>73025</wp:posOffset>
                </wp:positionV>
                <wp:extent cx="207264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00D2DC"/>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5pt,5.75pt" to="164.15pt,5.75pt" o:allowincell="f" strokecolor="#00D2DC" strokeweight="0.5pt"/>
            </w:pict>
          </mc:Fallback>
        </mc:AlternateConten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48"/>
          <w:szCs w:val="48"/>
          <w:color w:val="00D2DC"/>
        </w:rPr>
        <w:t>25 GtCO</w:t>
      </w:r>
      <w:r>
        <w:rPr>
          <w:rFonts w:ascii="Arial" w:cs="Arial" w:eastAsia="Arial" w:hAnsi="Arial"/>
          <w:sz w:val="20"/>
          <w:szCs w:val="20"/>
          <w:color w:val="00D2DC"/>
        </w:rPr>
        <w:t>2</w:t>
      </w:r>
      <w:r>
        <w:rPr>
          <w:rFonts w:ascii="Arial" w:cs="Arial" w:eastAsia="Arial" w:hAnsi="Arial"/>
          <w:sz w:val="55"/>
          <w:szCs w:val="55"/>
          <w:color w:val="00D2DC"/>
          <w:vertAlign w:val="superscript"/>
        </w:rPr>
        <w:t>*</w:t>
      </w:r>
    </w:p>
    <w:p>
      <w:pPr>
        <w:ind w:left="20" w:right="60"/>
        <w:spacing w:after="0" w:line="208" w:lineRule="auto"/>
        <w:rPr>
          <w:sz w:val="20"/>
          <w:szCs w:val="20"/>
          <w:color w:val="auto"/>
        </w:rPr>
      </w:pPr>
      <w:r>
        <w:rPr>
          <w:rFonts w:ascii="Arial" w:cs="Arial" w:eastAsia="Arial" w:hAnsi="Arial"/>
          <w:sz w:val="15"/>
          <w:szCs w:val="15"/>
          <w:b w:val="1"/>
          <w:bCs w:val="1"/>
          <w:color w:val="auto"/>
        </w:rPr>
        <w:t>Required annual reduction in industrial and power-related emissions to achieve net zero</w:t>
      </w:r>
    </w:p>
    <w:p>
      <w:pPr>
        <w:spacing w:after="0" w:line="1" w:lineRule="exact"/>
        <w:rPr>
          <w:sz w:val="20"/>
          <w:szCs w:val="20"/>
          <w:color w:val="auto"/>
        </w:rPr>
      </w:pPr>
    </w:p>
    <w:p>
      <w:pPr>
        <w:sectPr>
          <w:pgSz w:w="12060" w:h="15660" w:orient="portrait"/>
          <w:cols w:equalWidth="0" w:num="3">
            <w:col w:w="3360" w:space="420"/>
            <w:col w:w="3080" w:space="600"/>
            <w:col w:w="3300"/>
          </w:cols>
          <w:pgMar w:left="500" w:top="837" w:right="800" w:bottom="77" w:gutter="0" w:footer="0" w:header="0"/>
          <w:type w:val="continuous"/>
        </w:sectPr>
      </w:pPr>
    </w:p>
    <w:p>
      <w:pPr>
        <w:spacing w:after="0" w:line="27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FFFFFF"/>
        </w:rPr>
        <w:t>$347B</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&gt;$550B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8"/>
          <w:szCs w:val="48"/>
          <w:color w:val="0014DC"/>
        </w:rPr>
        <w:t>2x</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47"/>
          <w:szCs w:val="47"/>
          <w:color w:val="00D2DC"/>
        </w:rPr>
        <w:t>&gt;$700B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12065</wp:posOffset>
                </wp:positionH>
                <wp:positionV relativeFrom="paragraph">
                  <wp:posOffset>-259715</wp:posOffset>
                </wp:positionV>
                <wp:extent cx="207264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00D2DC"/>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5pt,-20.4499pt" to="164.15pt,-20.4499pt" o:allowincell="f" strokecolor="#00D2DC" strokeweight="0.5pt"/>
            </w:pict>
          </mc:Fallback>
        </mc:AlternateContent>
      </w:r>
    </w:p>
    <w:p>
      <w:pPr>
        <w:spacing w:after="0" w:line="1" w:lineRule="exact"/>
        <w:rPr>
          <w:sz w:val="20"/>
          <w:szCs w:val="20"/>
          <w:color w:val="auto"/>
        </w:rPr>
      </w:pPr>
    </w:p>
    <w:p>
      <w:pPr>
        <w:sectPr>
          <w:pgSz w:w="12060" w:h="15660" w:orient="portrait"/>
          <w:cols w:equalWidth="0" w:num="4">
            <w:col w:w="1580" w:space="720"/>
            <w:col w:w="760" w:space="720"/>
            <w:col w:w="2960" w:space="720"/>
            <w:col w:w="3300"/>
          </w:cols>
          <w:pgMar w:left="500" w:top="837" w:right="800" w:bottom="77" w:gutter="0" w:footer="0" w:header="0"/>
          <w:type w:val="continuous"/>
        </w:sectPr>
      </w:pPr>
    </w:p>
    <w:p>
      <w:pPr>
        <w:spacing w:after="0" w:line="130" w:lineRule="exact"/>
        <w:rPr>
          <w:sz w:val="20"/>
          <w:szCs w:val="20"/>
          <w:color w:val="auto"/>
        </w:rPr>
      </w:pPr>
    </w:p>
    <w:p>
      <w:pPr>
        <w:ind w:left="760"/>
        <w:spacing w:after="0"/>
        <w:tabs>
          <w:tab w:leader="none" w:pos="2380" w:val="left"/>
        </w:tabs>
        <w:rPr>
          <w:sz w:val="20"/>
          <w:szCs w:val="20"/>
          <w:color w:val="auto"/>
        </w:rPr>
      </w:pPr>
      <w:r>
        <w:rPr>
          <w:rFonts w:ascii="Arial" w:cs="Arial" w:eastAsia="Arial" w:hAnsi="Arial"/>
          <w:sz w:val="16"/>
          <w:szCs w:val="16"/>
          <w:color w:val="auto"/>
        </w:rPr>
        <w:t>2021</w:t>
      </w:r>
      <w:r>
        <w:rPr>
          <w:sz w:val="20"/>
          <w:szCs w:val="20"/>
          <w:color w:val="auto"/>
        </w:rPr>
        <w:tab/>
      </w:r>
      <w:r>
        <w:rPr>
          <w:rFonts w:ascii="Arial" w:cs="Arial" w:eastAsia="Arial" w:hAnsi="Arial"/>
          <w:sz w:val="16"/>
          <w:szCs w:val="16"/>
          <w:color w:val="auto"/>
        </w:rPr>
        <w:t>2025</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13"/>
          <w:szCs w:val="13"/>
          <w:color w:val="auto"/>
        </w:rPr>
        <w:t>(estimated)</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2"/>
          <w:szCs w:val="12"/>
          <w:color w:val="AAAAAA"/>
        </w:rPr>
        <w:t>Source: SLB analysis, Rystad, S&amp;P, IEA.</w:t>
      </w:r>
    </w:p>
    <w:p>
      <w:pPr>
        <w:spacing w:after="0" w:line="20" w:lineRule="exact"/>
        <w:rPr>
          <w:sz w:val="20"/>
          <w:szCs w:val="20"/>
          <w:color w:val="auto"/>
        </w:rPr>
      </w:pPr>
      <w:r>
        <w:rPr>
          <w:sz w:val="20"/>
          <w:szCs w:val="20"/>
          <w:color w:val="auto"/>
        </w:rPr>
        <w:br w:type="column"/>
      </w:r>
    </w:p>
    <w:p>
      <w:pPr>
        <w:ind w:right="580"/>
        <w:spacing w:after="0" w:line="286" w:lineRule="auto"/>
        <w:rPr>
          <w:sz w:val="20"/>
          <w:szCs w:val="20"/>
          <w:color w:val="auto"/>
        </w:rPr>
      </w:pPr>
      <w:r>
        <w:rPr>
          <w:rFonts w:ascii="Arial" w:cs="Arial" w:eastAsia="Arial" w:hAnsi="Arial"/>
          <w:sz w:val="16"/>
          <w:szCs w:val="16"/>
          <w:b w:val="1"/>
          <w:bCs w:val="1"/>
          <w:color w:val="auto"/>
        </w:rPr>
        <w:t>Expected digital revenue growth from 2021-2025</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total addressable market</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AAAAA"/>
        </w:rPr>
        <w:t>*Source: IEA 2022.</w:t>
      </w:r>
    </w:p>
    <w:p>
      <w:pPr>
        <w:spacing w:after="0" w:line="112" w:lineRule="exact"/>
        <w:rPr>
          <w:sz w:val="20"/>
          <w:szCs w:val="20"/>
          <w:color w:val="auto"/>
        </w:rPr>
      </w:pPr>
    </w:p>
    <w:p>
      <w:pPr>
        <w:sectPr>
          <w:pgSz w:w="12060" w:h="15660" w:orient="portrait"/>
          <w:cols w:equalWidth="0" w:num="3">
            <w:col w:w="3080" w:space="720"/>
            <w:col w:w="2960" w:space="720"/>
            <w:col w:w="3280"/>
          </w:cols>
          <w:pgMar w:left="500" w:top="837" w:right="800" w:bottom="77" w:gutter="0" w:footer="0" w:header="0"/>
          <w:type w:val="continuous"/>
        </w:sectPr>
      </w:pPr>
    </w:p>
    <w:p>
      <w:pPr>
        <w:ind w:left="960" w:hanging="824"/>
        <w:spacing w:after="0"/>
        <w:tabs>
          <w:tab w:leader="none" w:pos="960" w:val="left"/>
        </w:tabs>
        <w:numPr>
          <w:ilvl w:val="0"/>
          <w:numId w:val="10"/>
        </w:numPr>
        <w:rPr>
          <w:rFonts w:ascii="Arial" w:cs="Arial" w:eastAsia="Arial" w:hAnsi="Arial"/>
          <w:sz w:val="19"/>
          <w:szCs w:val="19"/>
          <w:color w:val="0033A1"/>
        </w:rPr>
      </w:pPr>
      <w:r>
        <w:rPr>
          <w:rFonts w:ascii="Arial" w:cs="Arial" w:eastAsia="Arial" w:hAnsi="Arial"/>
          <w:sz w:val="19"/>
          <w:szCs w:val="19"/>
          <w:color w:val="0033A1"/>
        </w:rPr>
        <w:t>SLB 2022 Annual Report</w:t>
      </w:r>
    </w:p>
    <w:p>
      <w:pPr>
        <w:sectPr>
          <w:pgSz w:w="12060" w:h="15660" w:orient="portrait"/>
          <w:cols w:equalWidth="0" w:num="1">
            <w:col w:w="10760"/>
          </w:cols>
          <w:pgMar w:left="500" w:top="837" w:right="800" w:bottom="77"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36"/>
          <w:szCs w:val="36"/>
          <w:color w:val="FFFFFF"/>
        </w:rPr>
        <w:t>We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-494665</wp:posOffset>
                </wp:positionH>
                <wp:positionV relativeFrom="paragraph">
                  <wp:posOffset>-675005</wp:posOffset>
                </wp:positionV>
                <wp:extent cx="7657465" cy="533527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7465" cy="5335270"/>
                        </a:xfrm>
                        <a:prstGeom prst="rect">
                          <a:avLst/>
                        </a:prstGeom>
                        <a:solidFill>
                          <a:srgbClr val="0014DC"/>
                        </a:solidFill>
                      </wps:spPr>
                      <wps:bodyPr/>
                    </wps:wsp>
                  </a:graphicData>
                </a:graphic>
              </wp:anchor>
            </w:drawing>
          </mc:Choice>
          <mc:Fallback>
            <w:pict>
              <v:rect id="Shape 18" o:spid="_x0000_s1043" style="position:absolute;margin-left:-38.9499pt;margin-top:-53.1499pt;width:602.95pt;height:42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DC" stroked="f"/>
            </w:pict>
          </mc:Fallback>
        </mc:AlternateContent>
        <mc:AlternateContent>
          <mc:Choice Requires="wps">
            <w:drawing>
              <wp:anchor simplePos="0" relativeHeight="251657728" behindDoc="1" locked="0" layoutInCell="0" allowOverlap="1">
                <wp:simplePos x="0" y="0"/>
                <wp:positionH relativeFrom="column">
                  <wp:posOffset>22860</wp:posOffset>
                </wp:positionH>
                <wp:positionV relativeFrom="paragraph">
                  <wp:posOffset>161290</wp:posOffset>
                </wp:positionV>
                <wp:extent cx="20732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3275" cy="4763"/>
                        </a:xfrm>
                        <a:prstGeom prst="line">
                          <a:avLst/>
                        </a:prstGeom>
                        <a:solidFill>
                          <a:srgbClr val="FFFFFF"/>
                        </a:solidFill>
                        <a:ln w="76200">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2.7pt" to="165.05pt,12.7pt" o:allowincell="f" strokecolor="#FFFFFF" strokeweight="6pt"/>
            </w:pict>
          </mc:Fallback>
        </mc:AlternateConten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People</w:t>
      </w:r>
    </w:p>
    <w:p>
      <w:pPr>
        <w:spacing w:after="0" w:line="124" w:lineRule="exact"/>
        <w:rPr>
          <w:sz w:val="20"/>
          <w:szCs w:val="20"/>
          <w:color w:val="auto"/>
        </w:rPr>
      </w:pPr>
    </w:p>
    <w:p>
      <w:pPr>
        <w:ind w:left="40" w:right="260"/>
        <w:spacing w:after="0" w:line="262" w:lineRule="auto"/>
        <w:rPr>
          <w:sz w:val="20"/>
          <w:szCs w:val="20"/>
          <w:color w:val="auto"/>
        </w:rPr>
      </w:pPr>
      <w:r>
        <w:rPr>
          <w:rFonts w:ascii="Arial" w:cs="Arial" w:eastAsia="Arial" w:hAnsi="Arial"/>
          <w:sz w:val="20"/>
          <w:szCs w:val="20"/>
          <w:color w:val="FFFFFF"/>
        </w:rPr>
        <w:t>Because our exceptional and diverse people are the pulse and spirit of who we 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wp:posOffset>
                </wp:positionH>
                <wp:positionV relativeFrom="paragraph">
                  <wp:posOffset>179705</wp:posOffset>
                </wp:positionV>
                <wp:extent cx="207264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14.15pt" to="165.1pt,14.15pt" o:allowincell="f" strokecolor="#FFFFFF" strokeweight="0.5pt"/>
            </w:pict>
          </mc:Fallback>
        </mc:AlternateConten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We are safe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wp:posOffset>
                </wp:positionH>
                <wp:positionV relativeFrom="paragraph">
                  <wp:posOffset>99695</wp:posOffset>
                </wp:positionV>
                <wp:extent cx="207264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7.85pt" to="165.1pt,7.85pt" o:allowincell="f" strokecolor="#FFFFFF" strokeweight="0.5pt"/>
            </w:pict>
          </mc:Fallback>
        </mc:AlternateConten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We are inclusive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wp:posOffset>
                </wp:positionH>
                <wp:positionV relativeFrom="paragraph">
                  <wp:posOffset>99695</wp:posOffset>
                </wp:positionV>
                <wp:extent cx="207264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7.85pt" to="165.1pt,7.85pt" o:allowincell="f" strokecolor="#FFFFFF" strokeweight="0.5pt"/>
            </w:pict>
          </mc:Fallback>
        </mc:AlternateConten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We respect work and personal life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wp:posOffset>
                </wp:positionH>
                <wp:positionV relativeFrom="paragraph">
                  <wp:posOffset>114300</wp:posOffset>
                </wp:positionV>
                <wp:extent cx="207264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9pt" to="165.1pt,9pt" o:allowincell="f" strokecolor="#FFFFFF" strokeweight="0.5pt"/>
            </w:pict>
          </mc:Fallback>
        </mc:AlternateContent>
      </w:r>
    </w:p>
    <w:p>
      <w:pPr>
        <w:spacing w:after="0" w:line="226" w:lineRule="exact"/>
        <w:rPr>
          <w:sz w:val="20"/>
          <w:szCs w:val="20"/>
          <w:color w:val="auto"/>
        </w:rPr>
      </w:pPr>
    </w:p>
    <w:p>
      <w:pPr>
        <w:spacing w:after="0"/>
        <w:rPr>
          <w:sz w:val="20"/>
          <w:szCs w:val="20"/>
          <w:color w:val="auto"/>
        </w:rPr>
      </w:pPr>
      <w:r>
        <w:rPr>
          <w:rFonts w:ascii="Arial" w:cs="Arial" w:eastAsia="Arial" w:hAnsi="Arial"/>
          <w:sz w:val="48"/>
          <w:szCs w:val="48"/>
          <w:color w:val="00D2DC"/>
        </w:rPr>
        <w:t>99,000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Employees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wp:posOffset>
                </wp:positionH>
                <wp:positionV relativeFrom="paragraph">
                  <wp:posOffset>102870</wp:posOffset>
                </wp:positionV>
                <wp:extent cx="207264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8.1pt" to="165pt,8.1pt" o:allowincell="f" strokecolor="#FFFFFF" strokeweight="0.5pt"/>
            </w:pict>
          </mc:Fallback>
        </mc:AlternateConten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48"/>
          <w:szCs w:val="48"/>
          <w:color w:val="00D2DC"/>
        </w:rPr>
        <w:t>&gt;85</w:t>
      </w:r>
    </w:p>
    <w:p>
      <w:pPr>
        <w:spacing w:after="0" w:line="46" w:lineRule="exact"/>
        <w:rPr>
          <w:sz w:val="20"/>
          <w:szCs w:val="20"/>
          <w:color w:val="auto"/>
        </w:rPr>
      </w:pPr>
    </w:p>
    <w:p>
      <w:pPr>
        <w:ind w:left="40" w:right="1180"/>
        <w:spacing w:after="0" w:line="321" w:lineRule="auto"/>
        <w:rPr>
          <w:sz w:val="20"/>
          <w:szCs w:val="20"/>
          <w:color w:val="auto"/>
        </w:rPr>
      </w:pPr>
      <w:r>
        <w:rPr>
          <w:rFonts w:ascii="Arial" w:cs="Arial" w:eastAsia="Arial" w:hAnsi="Arial"/>
          <w:sz w:val="15"/>
          <w:szCs w:val="15"/>
          <w:b w:val="1"/>
          <w:bCs w:val="1"/>
          <w:color w:val="FFFFFF"/>
        </w:rPr>
        <w:t>We recruited in more than 85 countries in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-5753735</wp:posOffset>
            </wp:positionV>
            <wp:extent cx="7658100" cy="4608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extLst>
                    </a:blip>
                    <a:srcRect/>
                    <a:stretch>
                      <a:fillRect/>
                    </a:stretch>
                  </pic:blipFill>
                  <pic:spPr bwMode="auto">
                    <a:xfrm>
                      <a:off x="0" y="0"/>
                      <a:ext cx="7658100" cy="46081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-308610</wp:posOffset>
                </wp:positionV>
                <wp:extent cx="20732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3275" cy="4763"/>
                        </a:xfrm>
                        <a:prstGeom prst="line">
                          <a:avLst/>
                        </a:prstGeom>
                        <a:solidFill>
                          <a:srgbClr val="FFFFFF"/>
                        </a:solidFill>
                        <a:ln w="76200">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4.2999pt" to="163.6pt,-24.2999pt" o:allowincell="f" strokecolor="#FFFFFF" strokeweight="6pt"/>
            </w:pict>
          </mc:Fallback>
        </mc:AlternateContent>
      </w:r>
    </w:p>
    <w:p>
      <w:pPr>
        <w:spacing w:after="0" w:line="104"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FFFFFF"/>
        </w:rPr>
        <w:t>Because our passion for exploring enables us to solve the world’s energy challenges.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179705</wp:posOffset>
                </wp:positionV>
                <wp:extent cx="207200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15pt" to="163.55pt,14.15pt" o:allowincell="f" strokecolor="#FFFFFF" strokeweight="0.5pt"/>
            </w:pict>
          </mc:Fallback>
        </mc:AlternateConten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We are pioneers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99695</wp:posOffset>
                </wp:positionV>
                <wp:extent cx="207200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85pt" to="163.55pt,7.85pt" o:allowincell="f" strokecolor="#FFFFFF" strokeweight="0.5pt"/>
            </w:pict>
          </mc:Fallback>
        </mc:AlternateConten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We innovate together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99695</wp:posOffset>
                </wp:positionV>
                <wp:extent cx="207200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85pt" to="163.55pt,7.85pt" o:allowincell="f" strokecolor="#FFFFFF" strokeweight="0.5pt"/>
            </w:pict>
          </mc:Fallback>
        </mc:AlternateConten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We experiment, learn and grow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99695</wp:posOffset>
                </wp:positionV>
                <wp:extent cx="207200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85pt" to="163.55pt,7.85pt" o:allowincell="f" strokecolor="#FFFFFF" strokeweight="0.5pt"/>
            </w:pict>
          </mc:Fallback>
        </mc:AlternateContent>
      </w:r>
    </w:p>
    <w:p>
      <w:pPr>
        <w:spacing w:after="0" w:line="203" w:lineRule="exact"/>
        <w:rPr>
          <w:sz w:val="20"/>
          <w:szCs w:val="20"/>
          <w:color w:val="auto"/>
        </w:rPr>
      </w:pPr>
    </w:p>
    <w:p>
      <w:pPr>
        <w:spacing w:after="0"/>
        <w:rPr>
          <w:sz w:val="20"/>
          <w:szCs w:val="20"/>
          <w:color w:val="auto"/>
        </w:rPr>
      </w:pPr>
      <w:r>
        <w:rPr>
          <w:rFonts w:ascii="Arial" w:cs="Arial" w:eastAsia="Arial" w:hAnsi="Arial"/>
          <w:sz w:val="48"/>
          <w:szCs w:val="48"/>
          <w:color w:val="00D2DC"/>
        </w:rPr>
        <w:t>&gt;150</w:t>
      </w:r>
    </w:p>
    <w:p>
      <w:pPr>
        <w:spacing w:after="0" w:line="6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FFFFFF"/>
        </w:rPr>
        <w:t>New technologies introduced across the portfolio over the past three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67310</wp:posOffset>
                </wp:positionV>
                <wp:extent cx="207200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00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5.3pt" to="163.55pt,5.3pt" o:allowincell="f" strokecolor="#FFFFFF" strokeweight="0.5pt"/>
            </w:pict>
          </mc:Fallback>
        </mc:AlternateContent>
      </w:r>
    </w:p>
    <w:p>
      <w:pPr>
        <w:spacing w:after="0" w:line="166" w:lineRule="exact"/>
        <w:rPr>
          <w:sz w:val="20"/>
          <w:szCs w:val="20"/>
          <w:color w:val="auto"/>
        </w:rPr>
      </w:pPr>
    </w:p>
    <w:p>
      <w:pPr>
        <w:spacing w:after="0"/>
        <w:rPr>
          <w:sz w:val="20"/>
          <w:szCs w:val="20"/>
          <w:color w:val="auto"/>
        </w:rPr>
      </w:pPr>
      <w:r>
        <w:rPr>
          <w:rFonts w:ascii="Arial" w:cs="Arial" w:eastAsia="Arial" w:hAnsi="Arial"/>
          <w:sz w:val="48"/>
          <w:szCs w:val="48"/>
          <w:color w:val="00D2DC"/>
        </w:rPr>
        <w:t>&gt;30%</w:t>
      </w:r>
    </w:p>
    <w:p>
      <w:pPr>
        <w:spacing w:after="0" w:line="46" w:lineRule="exact"/>
        <w:rPr>
          <w:sz w:val="20"/>
          <w:szCs w:val="20"/>
          <w:color w:val="auto"/>
        </w:rPr>
      </w:pPr>
    </w:p>
    <w:p>
      <w:pPr>
        <w:spacing w:after="0" w:line="321" w:lineRule="auto"/>
        <w:rPr>
          <w:sz w:val="20"/>
          <w:szCs w:val="20"/>
          <w:color w:val="auto"/>
        </w:rPr>
      </w:pPr>
      <w:r>
        <w:rPr>
          <w:rFonts w:ascii="Arial" w:cs="Arial" w:eastAsia="Arial" w:hAnsi="Arial"/>
          <w:sz w:val="15"/>
          <w:szCs w:val="15"/>
          <w:b w:val="1"/>
          <w:bCs w:val="1"/>
          <w:color w:val="FFFFFF"/>
        </w:rPr>
        <w:t>Year-on-year revenue growth for our Transition Technologies portfolio in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-308610</wp:posOffset>
                </wp:positionV>
                <wp:extent cx="20732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3275" cy="4763"/>
                        </a:xfrm>
                        <a:prstGeom prst="line">
                          <a:avLst/>
                        </a:prstGeom>
                        <a:solidFill>
                          <a:srgbClr val="FFFFFF"/>
                        </a:solidFill>
                        <a:ln w="76200">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24.2999pt" to="165.1pt,-24.2999pt" o:allowincell="f" strokecolor="#FFFFFF" strokeweight="6pt"/>
            </w:pict>
          </mc:Fallback>
        </mc:AlternateContent>
      </w:r>
    </w:p>
    <w:p>
      <w:pPr>
        <w:spacing w:after="0" w:line="104" w:lineRule="exact"/>
        <w:rPr>
          <w:sz w:val="20"/>
          <w:szCs w:val="20"/>
          <w:color w:val="auto"/>
        </w:rPr>
      </w:pPr>
    </w:p>
    <w:p>
      <w:pPr>
        <w:jc w:val="both"/>
        <w:ind w:left="40" w:right="800"/>
        <w:spacing w:after="0" w:line="283" w:lineRule="auto"/>
        <w:rPr>
          <w:sz w:val="20"/>
          <w:szCs w:val="20"/>
          <w:color w:val="auto"/>
        </w:rPr>
      </w:pPr>
      <w:r>
        <w:rPr>
          <w:rFonts w:ascii="Arial" w:cs="Arial" w:eastAsia="Arial" w:hAnsi="Arial"/>
          <w:sz w:val="19"/>
          <w:szCs w:val="19"/>
          <w:color w:val="FFFFFF"/>
        </w:rPr>
        <w:t>Because together, we deliver outstanding results to build a sustainable future.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167640</wp:posOffset>
                </wp:positionV>
                <wp:extent cx="207264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13.2pt" to="165.15pt,13.2pt" o:allowincell="f" strokecolor="#FFFFFF" strokeweight="0.5pt"/>
            </w:pict>
          </mc:Fallback>
        </mc:AlternateConten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We act with integrity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99695</wp:posOffset>
                </wp:positionV>
                <wp:extent cx="207264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7.85pt" to="165.15pt,7.85pt" o:allowincell="f" strokecolor="#FFFFFF" strokeweight="0.5pt"/>
            </w:pict>
          </mc:Fallback>
        </mc:AlternateConten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We deliver today and tomorrow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114300</wp:posOffset>
                </wp:positionV>
                <wp:extent cx="20726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9pt" to="165.15pt,9pt" o:allowincell="f" strokecolor="#FFFFFF" strokeweight="0.5pt"/>
            </w:pict>
          </mc:Fallback>
        </mc:AlternateConten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We focus on what matters most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114300</wp:posOffset>
                </wp:positionV>
                <wp:extent cx="207264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9pt" to="165.15pt,9pt" o:allowincell="f" strokecolor="#FFFFFF" strokeweight="0.5pt"/>
            </w:pict>
          </mc:Fallback>
        </mc:AlternateContent>
      </w:r>
    </w:p>
    <w:p>
      <w:pPr>
        <w:spacing w:after="0" w:line="226" w:lineRule="exact"/>
        <w:rPr>
          <w:sz w:val="20"/>
          <w:szCs w:val="20"/>
          <w:color w:val="auto"/>
        </w:rPr>
      </w:pPr>
    </w:p>
    <w:p>
      <w:pPr>
        <w:spacing w:after="0"/>
        <w:rPr>
          <w:sz w:val="20"/>
          <w:szCs w:val="20"/>
          <w:color w:val="auto"/>
        </w:rPr>
      </w:pPr>
      <w:r>
        <w:rPr>
          <w:rFonts w:ascii="Arial" w:cs="Arial" w:eastAsia="Arial" w:hAnsi="Arial"/>
          <w:sz w:val="48"/>
          <w:szCs w:val="48"/>
          <w:color w:val="00D2DC"/>
        </w:rPr>
        <w:t>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Revenue growth vs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102870</wp:posOffset>
                </wp:positionV>
                <wp:extent cx="207264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264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8.1pt" to="165.15pt,8.1pt" o:allowincell="f" strokecolor="#FFFFFF" strokeweight="0.5pt"/>
            </w:pict>
          </mc:Fallback>
        </mc:AlternateConten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48"/>
          <w:szCs w:val="48"/>
          <w:color w:val="00D2DC"/>
        </w:rPr>
        <w:t>81%</w:t>
      </w:r>
    </w:p>
    <w:p>
      <w:pPr>
        <w:spacing w:after="0" w:line="46" w:lineRule="exact"/>
        <w:rPr>
          <w:sz w:val="20"/>
          <w:szCs w:val="20"/>
          <w:color w:val="auto"/>
        </w:rPr>
      </w:pPr>
    </w:p>
    <w:p>
      <w:pPr>
        <w:ind w:left="40" w:right="480"/>
        <w:spacing w:after="0" w:line="273" w:lineRule="auto"/>
        <w:rPr>
          <w:sz w:val="20"/>
          <w:szCs w:val="20"/>
          <w:color w:val="auto"/>
        </w:rPr>
      </w:pPr>
      <w:r>
        <w:rPr>
          <w:rFonts w:ascii="Arial" w:cs="Arial" w:eastAsia="Arial" w:hAnsi="Arial"/>
          <w:sz w:val="16"/>
          <w:szCs w:val="16"/>
          <w:b w:val="1"/>
          <w:bCs w:val="1"/>
          <w:color w:val="FFFFFF"/>
        </w:rPr>
        <w:t>Increase in GAAP EPS year-on-year; 70% growth in EPS excluding charges and credits</w:t>
      </w:r>
      <w:r>
        <w:rPr>
          <w:rFonts w:ascii="Arial" w:cs="Arial" w:eastAsia="Arial" w:hAnsi="Arial"/>
          <w:sz w:val="9"/>
          <w:szCs w:val="9"/>
          <w:b w:val="1"/>
          <w:bCs w:val="1"/>
          <w:color w:val="FFFFFF"/>
        </w:rPr>
        <w:t>†</w:t>
      </w:r>
    </w:p>
    <w:p>
      <w:pPr>
        <w:spacing w:after="0" w:line="260" w:lineRule="exact"/>
        <w:rPr>
          <w:sz w:val="20"/>
          <w:szCs w:val="20"/>
          <w:color w:val="auto"/>
        </w:rPr>
      </w:pPr>
    </w:p>
    <w:p>
      <w:pPr>
        <w:sectPr>
          <w:pgSz w:w="12060" w:h="15660" w:orient="portrait"/>
          <w:cols w:equalWidth="0" w:num="3">
            <w:col w:w="3080" w:space="620"/>
            <w:col w:w="3000" w:space="640"/>
            <w:col w:w="3300"/>
          </w:cols>
          <w:pgMar w:left="780" w:top="1440" w:right="640" w:bottom="65" w:gutter="0" w:footer="0" w:header="0"/>
        </w:sectPr>
      </w:pPr>
    </w:p>
    <w:p>
      <w:pPr>
        <w:spacing w:after="0" w:line="200" w:lineRule="exact"/>
        <w:rPr>
          <w:sz w:val="20"/>
          <w:szCs w:val="20"/>
          <w:color w:val="auto"/>
        </w:rPr>
      </w:pPr>
    </w:p>
    <w:p>
      <w:pPr>
        <w:spacing w:after="0" w:line="388" w:lineRule="exact"/>
        <w:rPr>
          <w:sz w:val="20"/>
          <w:szCs w:val="20"/>
          <w:color w:val="auto"/>
        </w:rPr>
      </w:pPr>
    </w:p>
    <w:p>
      <w:pPr>
        <w:ind w:left="10520"/>
        <w:spacing w:after="0"/>
        <w:rPr>
          <w:sz w:val="20"/>
          <w:szCs w:val="20"/>
          <w:color w:val="auto"/>
        </w:rPr>
      </w:pPr>
      <w:r>
        <w:rPr>
          <w:rFonts w:ascii="Arial" w:cs="Arial" w:eastAsia="Arial" w:hAnsi="Arial"/>
          <w:sz w:val="20"/>
          <w:szCs w:val="20"/>
          <w:color w:val="FFFFFF"/>
        </w:rPr>
        <w:t>3</w:t>
      </w:r>
    </w:p>
    <w:p>
      <w:pPr>
        <w:sectPr>
          <w:pgSz w:w="12060" w:h="15660" w:orient="portrait"/>
          <w:cols w:equalWidth="0" w:num="1">
            <w:col w:w="10640"/>
          </w:cols>
          <w:pgMar w:left="780" w:top="1440" w:right="640" w:bottom="65" w:gutter="0" w:footer="0" w:header="0"/>
          <w:type w:val="continuous"/>
        </w:sectPr>
      </w:pPr>
    </w:p>
    <w:bookmarkStart w:id="5" w:name="page6"/>
    <w:bookmarkEnd w:id="5"/>
    <w:p>
      <w:pPr>
        <w:ind w:left="4"/>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383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658100" cy="3830955"/>
                    </a:xfrm>
                    <a:prstGeom prst="rect">
                      <a:avLst/>
                    </a:prstGeom>
                    <a:noFill/>
                  </pic:spPr>
                </pic:pic>
              </a:graphicData>
            </a:graphic>
          </wp:anchor>
        </w:drawing>
        <w:t xml:space="preserve">Overview </w:t>
      </w:r>
      <w:r>
        <w:rPr>
          <w:rFonts w:ascii="Arial" w:cs="Arial" w:eastAsia="Arial" w:hAnsi="Arial"/>
          <w:sz w:val="26"/>
          <w:szCs w:val="26"/>
          <w:color w:val="FFFFFF"/>
        </w:rPr>
        <w:t>Chief Executive Officer’s introduction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
        <w:spacing w:after="0"/>
        <w:rPr>
          <w:sz w:val="20"/>
          <w:szCs w:val="20"/>
          <w:color w:val="auto"/>
        </w:rPr>
      </w:pPr>
      <w:r>
        <w:rPr>
          <w:rFonts w:ascii="Arial" w:cs="Arial" w:eastAsia="Arial" w:hAnsi="Arial"/>
          <w:sz w:val="68"/>
          <w:szCs w:val="68"/>
          <w:color w:val="FFFFFF"/>
        </w:rPr>
        <w:t>Positioned for</w:t>
      </w:r>
    </w:p>
    <w:p>
      <w:pPr>
        <w:ind w:left="4"/>
        <w:spacing w:after="0"/>
        <w:rPr>
          <w:sz w:val="20"/>
          <w:szCs w:val="20"/>
          <w:color w:val="auto"/>
        </w:rPr>
      </w:pPr>
      <w:r>
        <w:rPr>
          <w:rFonts w:ascii="Arial" w:cs="Arial" w:eastAsia="Arial" w:hAnsi="Arial"/>
          <w:sz w:val="68"/>
          <w:szCs w:val="68"/>
          <w:color w:val="FFFFFF"/>
        </w:rPr>
        <w:t>outperformance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1209040</wp:posOffset>
            </wp:positionV>
            <wp:extent cx="7658100" cy="6113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extLst>
                    </a:blip>
                    <a:srcRect/>
                    <a:stretch>
                      <a:fillRect/>
                    </a:stretch>
                  </pic:blipFill>
                  <pic:spPr bwMode="auto">
                    <a:xfrm>
                      <a:off x="0" y="0"/>
                      <a:ext cx="7658100" cy="6113145"/>
                    </a:xfrm>
                    <a:prstGeom prst="rect">
                      <a:avLst/>
                    </a:prstGeom>
                    <a:noFill/>
                  </pic:spPr>
                </pic:pic>
              </a:graphicData>
            </a:graphic>
          </wp:anchor>
        </w:drawing>
      </w:r>
    </w:p>
    <w:p>
      <w:pPr>
        <w:sectPr>
          <w:pgSz w:w="12060" w:h="15660" w:orient="portrait"/>
          <w:cols w:equalWidth="0" w:num="1">
            <w:col w:w="10344"/>
          </w:cols>
          <w:pgMar w:left="636" w:top="837" w:right="108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FFFFFF"/>
        </w:rPr>
        <w:t>Dear SLB stakeholder,</w:t>
      </w:r>
    </w:p>
    <w:p>
      <w:pPr>
        <w:spacing w:after="0" w:line="123" w:lineRule="exact"/>
        <w:rPr>
          <w:sz w:val="20"/>
          <w:szCs w:val="20"/>
          <w:color w:val="auto"/>
        </w:rPr>
      </w:pPr>
    </w:p>
    <w:p>
      <w:pPr>
        <w:ind w:left="4"/>
        <w:spacing w:after="0" w:line="266" w:lineRule="auto"/>
        <w:rPr>
          <w:sz w:val="20"/>
          <w:szCs w:val="20"/>
          <w:color w:val="auto"/>
        </w:rPr>
      </w:pPr>
      <w:r>
        <w:rPr>
          <w:rFonts w:ascii="Arial" w:cs="Arial" w:eastAsia="Arial" w:hAnsi="Arial"/>
          <w:sz w:val="19"/>
          <w:szCs w:val="19"/>
          <w:b w:val="1"/>
          <w:bCs w:val="1"/>
          <w:color w:val="FFFFFF"/>
        </w:rPr>
        <w:t>2022 was a pivotal year for our company and the global energy industry. The industry is undergoing a significant renaissance, driven by strong market fundamentals, urgency around energy security, and the growing imperatives of digitization and decarbonization. At the same time, we must balance the growing demand for energy with the need to rapidly reduce emissions in support of a net-zero future.</w:t>
      </w:r>
    </w:p>
    <w:p>
      <w:pPr>
        <w:spacing w:after="0" w:line="86" w:lineRule="exact"/>
        <w:rPr>
          <w:sz w:val="20"/>
          <w:szCs w:val="20"/>
          <w:color w:val="auto"/>
        </w:rPr>
      </w:pPr>
    </w:p>
    <w:p>
      <w:pPr>
        <w:ind w:left="4" w:right="100"/>
        <w:spacing w:after="0" w:line="263" w:lineRule="auto"/>
        <w:rPr>
          <w:sz w:val="20"/>
          <w:szCs w:val="20"/>
          <w:color w:val="auto"/>
        </w:rPr>
      </w:pPr>
      <w:r>
        <w:rPr>
          <w:rFonts w:ascii="Arial" w:cs="Arial" w:eastAsia="Arial" w:hAnsi="Arial"/>
          <w:sz w:val="19"/>
          <w:szCs w:val="19"/>
          <w:color w:val="FFFFFF"/>
        </w:rPr>
        <w:t>This has given us the opportunity to redefine who we are. Our company has always had a commitment to address the most difficult challenges in our industry and to continue pushing the limits of innovation.</w:t>
      </w:r>
    </w:p>
    <w:p>
      <w:pPr>
        <w:spacing w:after="0" w:line="3" w:lineRule="exact"/>
        <w:rPr>
          <w:sz w:val="20"/>
          <w:szCs w:val="20"/>
          <w:color w:val="auto"/>
        </w:rPr>
      </w:pPr>
    </w:p>
    <w:p>
      <w:pPr>
        <w:ind w:left="4" w:right="260"/>
        <w:spacing w:after="0" w:line="258" w:lineRule="auto"/>
        <w:rPr>
          <w:sz w:val="20"/>
          <w:szCs w:val="20"/>
          <w:color w:val="auto"/>
        </w:rPr>
      </w:pPr>
      <w:r>
        <w:rPr>
          <w:rFonts w:ascii="Arial" w:cs="Arial" w:eastAsia="Arial" w:hAnsi="Arial"/>
          <w:sz w:val="20"/>
          <w:szCs w:val="20"/>
          <w:color w:val="FFFFFF"/>
        </w:rPr>
        <w:t>But given the need to drive energy security, affordability and sustainability, we need to transform and evolve.</w:t>
      </w:r>
    </w:p>
    <w:p>
      <w:pPr>
        <w:spacing w:after="0" w:line="84" w:lineRule="exact"/>
        <w:rPr>
          <w:sz w:val="20"/>
          <w:szCs w:val="20"/>
          <w:color w:val="auto"/>
        </w:rPr>
      </w:pPr>
    </w:p>
    <w:p>
      <w:pPr>
        <w:ind w:left="4" w:right="260"/>
        <w:spacing w:after="0" w:line="283" w:lineRule="auto"/>
        <w:rPr>
          <w:sz w:val="20"/>
          <w:szCs w:val="20"/>
          <w:color w:val="auto"/>
        </w:rPr>
      </w:pPr>
      <w:r>
        <w:rPr>
          <w:rFonts w:ascii="Arial" w:cs="Arial" w:eastAsia="Arial" w:hAnsi="Arial"/>
          <w:sz w:val="19"/>
          <w:szCs w:val="19"/>
          <w:color w:val="FFFFFF"/>
        </w:rPr>
        <w:t>This is why we announced our new identity, SLB, which cements our purpose as a global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FFFFFF"/>
        </w:rPr>
        <w:t>company focused on driving energy innovation for a balanced planet.</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FFFFFF"/>
        </w:rPr>
        <w:t>It underscores our commitment to moving farther, faster in facilitating the world’s energy needs today—and shaping the energy systems of the future. And it puts our commitment to sustainability and our net zero commitments right at the heart of who we are.</w:t>
      </w:r>
    </w:p>
    <w:p>
      <w:pPr>
        <w:spacing w:after="0" w:line="8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FFFFFF"/>
        </w:rPr>
        <w:t>To support this ambition, we have created a strategic roadmap to drive our three engines of growth: Core Oil and Gas, Digital, and New Energy. Our Core business is positioned to seize the ongoing upcycle, leveraging our global reach, technology differentiation, and customer intimacy to drive innovation. We are scaling our Digital strategy across the market and using our cloud technology</w:t>
      </w:r>
    </w:p>
    <w:p>
      <w:pPr>
        <w:spacing w:after="0" w:line="6" w:lineRule="exact"/>
        <w:rPr>
          <w:sz w:val="20"/>
          <w:szCs w:val="20"/>
          <w:color w:val="auto"/>
        </w:rPr>
      </w:pPr>
    </w:p>
    <w:p>
      <w:pPr>
        <w:spacing w:after="0" w:line="255" w:lineRule="auto"/>
        <w:rPr>
          <w:sz w:val="20"/>
          <w:szCs w:val="20"/>
          <w:color w:val="auto"/>
        </w:rPr>
      </w:pPr>
      <w:r>
        <w:rPr>
          <w:rFonts w:ascii="Arial" w:cs="Arial" w:eastAsia="Arial" w:hAnsi="Arial"/>
          <w:sz w:val="20"/>
          <w:szCs w:val="20"/>
          <w:color w:val="FFFFFF"/>
        </w:rPr>
        <w:t>to enhance efficiency. And we are seeding investments in New Energy to innovate at scale and build a diverse portfolio of businesses suited for different energy transition scenarios and time horizons.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FFFFFF"/>
        </w:rPr>
        <w:t>With this strategy in place, we are positioned for both growth and returns, and we remain committed to achieving double-digit EBITDA, CAGR, ROCE, and FCF Margin through 2025.</w:t>
      </w:r>
    </w:p>
    <w:p>
      <w:pPr>
        <w:spacing w:after="0" w:line="87" w:lineRule="exact"/>
        <w:rPr>
          <w:sz w:val="20"/>
          <w:szCs w:val="20"/>
          <w:color w:val="auto"/>
        </w:rPr>
      </w:pPr>
    </w:p>
    <w:p>
      <w:pPr>
        <w:spacing w:after="0" w:line="263" w:lineRule="auto"/>
        <w:rPr>
          <w:sz w:val="20"/>
          <w:szCs w:val="20"/>
          <w:color w:val="auto"/>
        </w:rPr>
      </w:pPr>
      <w:r>
        <w:rPr>
          <w:rFonts w:ascii="Arial" w:cs="Arial" w:eastAsia="Arial" w:hAnsi="Arial"/>
          <w:sz w:val="19"/>
          <w:szCs w:val="19"/>
          <w:color w:val="FFFFFF"/>
        </w:rPr>
        <w:t>As we move forward on the path toward the energy transition, we do so with a clear roadmap for how we will execute our strategy. 2022 was a benchmark year as we put that strategy and vision in motion, and we are confident that we will continue to drive higher value</w:t>
      </w:r>
    </w:p>
    <w:p>
      <w:pPr>
        <w:spacing w:after="0" w:line="5" w:lineRule="exact"/>
        <w:rPr>
          <w:sz w:val="20"/>
          <w:szCs w:val="20"/>
          <w:color w:val="auto"/>
        </w:rPr>
      </w:pPr>
    </w:p>
    <w:p>
      <w:pPr>
        <w:ind w:right="280"/>
        <w:spacing w:after="0" w:line="283" w:lineRule="auto"/>
        <w:rPr>
          <w:sz w:val="20"/>
          <w:szCs w:val="20"/>
          <w:color w:val="auto"/>
        </w:rPr>
      </w:pPr>
      <w:r>
        <w:rPr>
          <w:rFonts w:ascii="Arial" w:cs="Arial" w:eastAsia="Arial" w:hAnsi="Arial"/>
          <w:sz w:val="19"/>
          <w:szCs w:val="19"/>
          <w:color w:val="FFFFFF"/>
        </w:rPr>
        <w:t>for our customers, communities, shareholders and employees through 2023 and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Olivier Le Peuch</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Chief Executive Officer</w:t>
      </w:r>
    </w:p>
    <w:p>
      <w:pPr>
        <w:spacing w:after="0" w:line="498" w:lineRule="exact"/>
        <w:rPr>
          <w:sz w:val="20"/>
          <w:szCs w:val="20"/>
          <w:color w:val="auto"/>
        </w:rPr>
      </w:pPr>
    </w:p>
    <w:p>
      <w:pPr>
        <w:sectPr>
          <w:pgSz w:w="12060" w:h="15660" w:orient="portrait"/>
          <w:cols w:equalWidth="0" w:num="3">
            <w:col w:w="3224" w:space="440"/>
            <w:col w:w="3240" w:space="440"/>
            <w:col w:w="3000"/>
          </w:cols>
          <w:pgMar w:left="636" w:top="837" w:right="1080" w:bottom="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24" w:hanging="824"/>
        <w:spacing w:after="0"/>
        <w:tabs>
          <w:tab w:leader="none" w:pos="824" w:val="left"/>
        </w:tabs>
        <w:numPr>
          <w:ilvl w:val="0"/>
          <w:numId w:val="11"/>
        </w:numPr>
        <w:rPr>
          <w:rFonts w:ascii="Arial" w:cs="Arial" w:eastAsia="Arial" w:hAnsi="Arial"/>
          <w:sz w:val="19"/>
          <w:szCs w:val="19"/>
          <w:color w:val="FFFFFF"/>
        </w:rPr>
      </w:pPr>
      <w:r>
        <w:rPr>
          <w:rFonts w:ascii="Arial" w:cs="Arial" w:eastAsia="Arial" w:hAnsi="Arial"/>
          <w:sz w:val="19"/>
          <w:szCs w:val="19"/>
          <w:color w:val="FFFFFF"/>
        </w:rPr>
        <w:t>SLB 2022 Annual Report</w:t>
      </w:r>
    </w:p>
    <w:p>
      <w:pPr>
        <w:sectPr>
          <w:pgSz w:w="12060" w:h="15660" w:orient="portrait"/>
          <w:cols w:equalWidth="0" w:num="1">
            <w:col w:w="10344"/>
          </w:cols>
          <w:pgMar w:left="636" w:top="837" w:right="1080" w:bottom="77" w:gutter="0" w:footer="0" w:header="0"/>
          <w:type w:val="continuous"/>
        </w:sectPr>
      </w:pPr>
    </w:p>
    <w:bookmarkStart w:id="6" w:name="page7"/>
    <w:bookmarkEnd w:id="6"/>
    <w:p>
      <w:pPr>
        <w:ind w:left="140"/>
        <w:spacing w:after="0"/>
        <w:rPr>
          <w:sz w:val="20"/>
          <w:szCs w:val="20"/>
          <w:color w:val="auto"/>
        </w:rPr>
      </w:pPr>
      <w:r>
        <w:rPr>
          <w:rFonts w:ascii="Arial" w:cs="Arial" w:eastAsia="Arial" w:hAnsi="Arial"/>
          <w:sz w:val="28"/>
          <w:szCs w:val="28"/>
          <w:b w:val="1"/>
          <w:bCs w:val="1"/>
          <w:color w:val="0014DC"/>
        </w:rPr>
        <w:t xml:space="preserve">Overview </w:t>
      </w:r>
      <w:r>
        <w:rPr>
          <w:rFonts w:ascii="Arial" w:cs="Arial" w:eastAsia="Arial" w:hAnsi="Arial"/>
          <w:sz w:val="28"/>
          <w:szCs w:val="28"/>
          <w:color w:val="0014DC"/>
        </w:rPr>
        <w:t>Market trends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8"/>
          <w:szCs w:val="168"/>
          <w:color w:val="0014DC"/>
        </w:rPr>
        <w:t>Unique</w:t>
      </w:r>
    </w:p>
    <w:p>
      <w:pPr>
        <w:spacing w:after="0"/>
        <w:rPr>
          <w:sz w:val="20"/>
          <w:szCs w:val="20"/>
          <w:color w:val="auto"/>
        </w:rPr>
      </w:pPr>
      <w:r>
        <w:rPr>
          <w:rFonts w:ascii="Arial" w:cs="Arial" w:eastAsia="Arial" w:hAnsi="Arial"/>
          <w:sz w:val="148"/>
          <w:szCs w:val="148"/>
          <w:color w:val="0014DC"/>
        </w:rPr>
        <w: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339090</wp:posOffset>
            </wp:positionV>
            <wp:extent cx="12700" cy="6125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extLst>
                        <a:ext uri="{28A0092B-C50C-407E-A947-70E740481C1C}"/>
                      </a:extLst>
                    </a:blip>
                    <a:srcRect/>
                    <a:stretch>
                      <a:fillRect/>
                    </a:stretch>
                  </pic:blipFill>
                  <pic:spPr bwMode="auto">
                    <a:xfrm>
                      <a:off x="0" y="0"/>
                      <a:ext cx="12700" cy="612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right="4400"/>
        <w:spacing w:after="0" w:line="286" w:lineRule="auto"/>
        <w:rPr>
          <w:sz w:val="20"/>
          <w:szCs w:val="20"/>
          <w:color w:val="auto"/>
        </w:rPr>
      </w:pPr>
      <w:r>
        <w:rPr>
          <w:rFonts w:ascii="Arial" w:cs="Arial" w:eastAsia="Arial" w:hAnsi="Arial"/>
          <w:sz w:val="34"/>
          <w:szCs w:val="34"/>
          <w:color w:val="auto"/>
        </w:rPr>
        <w:t>The fundamentals for the energy industry strengthened over the course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219710</wp:posOffset>
            </wp:positionV>
            <wp:extent cx="5067300" cy="4817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extLst>
                    </a:blip>
                    <a:srcRect/>
                    <a:stretch>
                      <a:fillRect/>
                    </a:stretch>
                  </pic:blipFill>
                  <pic:spPr bwMode="auto">
                    <a:xfrm>
                      <a:off x="0" y="0"/>
                      <a:ext cx="5067300" cy="4817110"/>
                    </a:xfrm>
                    <a:prstGeom prst="rect">
                      <a:avLst/>
                    </a:prstGeom>
                    <a:noFill/>
                  </pic:spPr>
                </pic:pic>
              </a:graphicData>
            </a:graphic>
          </wp:anchor>
        </w:drawing>
      </w:r>
    </w:p>
    <w:p>
      <w:pPr>
        <w:sectPr>
          <w:pgSz w:w="12060" w:h="15660" w:orient="portrait"/>
          <w:cols w:equalWidth="0" w:num="1">
            <w:col w:w="10740"/>
          </w:cols>
          <w:pgMar w:left="680" w:top="837" w:right="640"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right="100"/>
        <w:spacing w:after="0" w:line="278" w:lineRule="auto"/>
        <w:rPr>
          <w:sz w:val="20"/>
          <w:szCs w:val="20"/>
          <w:color w:val="auto"/>
        </w:rPr>
      </w:pPr>
      <w:r>
        <w:rPr>
          <w:rFonts w:ascii="Arial" w:cs="Arial" w:eastAsia="Arial" w:hAnsi="Arial"/>
          <w:sz w:val="18"/>
          <w:szCs w:val="18"/>
          <w:b w:val="1"/>
          <w:bCs w:val="1"/>
          <w:color w:val="auto"/>
        </w:rPr>
        <w:t>Against the backdrop of the energy crisis, constrained spare global capacity, and geopolitics, including the conflict in Ukraine and dislocation of supply flows from Russia, the need for increased investment has intensified.</w:t>
      </w:r>
    </w:p>
    <w:p>
      <w:pPr>
        <w:spacing w:after="0" w:line="2" w:lineRule="exact"/>
        <w:rPr>
          <w:sz w:val="20"/>
          <w:szCs w:val="20"/>
          <w:color w:val="auto"/>
        </w:rPr>
      </w:pPr>
    </w:p>
    <w:p>
      <w:pPr>
        <w:ind w:left="140"/>
        <w:spacing w:after="0" w:line="256" w:lineRule="auto"/>
        <w:rPr>
          <w:sz w:val="20"/>
          <w:szCs w:val="20"/>
          <w:color w:val="auto"/>
        </w:rPr>
      </w:pPr>
      <w:r>
        <w:rPr>
          <w:rFonts w:ascii="Arial" w:cs="Arial" w:eastAsia="Arial" w:hAnsi="Arial"/>
          <w:sz w:val="20"/>
          <w:szCs w:val="20"/>
          <w:b w:val="1"/>
          <w:bCs w:val="1"/>
          <w:color w:val="auto"/>
        </w:rPr>
        <w:t>These dynamics have sparked a supply-led upcycle that, coupled with long-term demand trends, will likely extend well beyond the middle of this decade.</w:t>
      </w:r>
    </w:p>
    <w:p>
      <w:pPr>
        <w:spacing w:after="0" w:line="87" w:lineRule="exact"/>
        <w:rPr>
          <w:sz w:val="20"/>
          <w:szCs w:val="20"/>
          <w:color w:val="auto"/>
        </w:rPr>
      </w:pPr>
    </w:p>
    <w:p>
      <w:pPr>
        <w:ind w:left="140" w:right="80"/>
        <w:spacing w:after="0" w:line="267" w:lineRule="auto"/>
        <w:rPr>
          <w:sz w:val="20"/>
          <w:szCs w:val="20"/>
          <w:color w:val="auto"/>
        </w:rPr>
      </w:pPr>
      <w:r>
        <w:rPr>
          <w:rFonts w:ascii="Arial" w:cs="Arial" w:eastAsia="Arial" w:hAnsi="Arial"/>
          <w:sz w:val="19"/>
          <w:szCs w:val="19"/>
          <w:color w:val="auto"/>
        </w:rPr>
        <w:t>E&amp;P operators are deploying capital in oil and gas to sustain or increase production, while at the same time adopting technologies and allocating capital to decarbonize their oil and gas operations. The total investment in energy transition has more than doubled over the past five years and, according to the International Energy Agency, is expected to more than double again by 2030.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Constructive market fundamentals,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energy security, and the global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urgency to accelerate energy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transition will support increased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investment in both lower-carbon oil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and gas production and clean energy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development for years to come.</w:t>
      </w:r>
    </w:p>
    <w:p>
      <w:pPr>
        <w:spacing w:after="0" w:line="53"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0014DC"/>
        </w:rPr>
        <w:t>»</w:t>
      </w:r>
    </w:p>
    <w:p>
      <w:pPr>
        <w:spacing w:after="0" w:line="3856" w:lineRule="exact"/>
        <w:rPr>
          <w:sz w:val="20"/>
          <w:szCs w:val="20"/>
          <w:color w:val="auto"/>
        </w:rPr>
      </w:pPr>
    </w:p>
    <w:p>
      <w:pPr>
        <w:sectPr>
          <w:pgSz w:w="12060" w:h="15660" w:orient="portrait"/>
          <w:cols w:equalWidth="0" w:num="2">
            <w:col w:w="3400" w:space="400"/>
            <w:col w:w="6940"/>
          </w:cols>
          <w:pgMar w:left="680" w:top="837" w:right="640" w:bottom="65"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10620"/>
        <w:spacing w:after="0"/>
        <w:rPr>
          <w:sz w:val="20"/>
          <w:szCs w:val="20"/>
          <w:color w:val="auto"/>
        </w:rPr>
      </w:pPr>
      <w:r>
        <w:rPr>
          <w:rFonts w:ascii="Arial" w:cs="Arial" w:eastAsia="Arial" w:hAnsi="Arial"/>
          <w:sz w:val="20"/>
          <w:szCs w:val="20"/>
          <w:color w:val="0033A1"/>
        </w:rPr>
        <w:t>5</w:t>
      </w:r>
    </w:p>
    <w:p>
      <w:pPr>
        <w:sectPr>
          <w:pgSz w:w="12060" w:h="15660" w:orient="portrait"/>
          <w:cols w:equalWidth="0" w:num="1">
            <w:col w:w="10740"/>
          </w:cols>
          <w:pgMar w:left="680" w:top="837" w:right="640" w:bottom="65"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6"/>
          <w:szCs w:val="26"/>
          <w:b w:val="1"/>
          <w:bCs w:val="1"/>
          <w:color w:val="0014DC"/>
        </w:rPr>
        <w:t xml:space="preserve">Overview </w:t>
      </w:r>
      <w:r>
        <w:rPr>
          <w:rFonts w:ascii="Arial" w:cs="Arial" w:eastAsia="Arial" w:hAnsi="Arial"/>
          <w:sz w:val="26"/>
          <w:szCs w:val="26"/>
          <w:color w:val="0014DC"/>
        </w:rPr>
        <w:t>Market trends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775970</wp:posOffset>
            </wp:positionV>
            <wp:extent cx="6735445" cy="266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extLst>
                    </a:blip>
                    <a:srcRect/>
                    <a:stretch>
                      <a:fillRect/>
                    </a:stretch>
                  </pic:blipFill>
                  <pic:spPr bwMode="auto">
                    <a:xfrm>
                      <a:off x="0" y="0"/>
                      <a:ext cx="6735445" cy="2668270"/>
                    </a:xfrm>
                    <a:prstGeom prst="rect">
                      <a:avLst/>
                    </a:prstGeom>
                    <a:noFill/>
                  </pic:spPr>
                </pic:pic>
              </a:graphicData>
            </a:graphic>
          </wp:anchor>
        </w:drawing>
      </w:r>
    </w:p>
    <w:p>
      <w:pPr>
        <w:sectPr>
          <w:pgSz w:w="12060" w:h="15660" w:orient="portrait"/>
          <w:cols w:equalWidth="0" w:num="1">
            <w:col w:w="10560"/>
          </w:cols>
          <w:pgMar w:left="620" w:top="837" w:right="880"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8"/>
          <w:szCs w:val="28"/>
          <w:b w:val="1"/>
          <w:bCs w:val="1"/>
          <w:color w:val="051464"/>
        </w:rPr>
        <w:t>Core</w:t>
      </w:r>
    </w:p>
    <w:p>
      <w:pPr>
        <w:spacing w:after="0" w:line="212" w:lineRule="exact"/>
        <w:rPr>
          <w:sz w:val="20"/>
          <w:szCs w:val="20"/>
          <w:color w:val="auto"/>
        </w:rPr>
      </w:pPr>
    </w:p>
    <w:p>
      <w:pPr>
        <w:jc w:val="both"/>
        <w:ind w:left="20" w:right="200"/>
        <w:spacing w:after="0" w:line="276" w:lineRule="auto"/>
        <w:rPr>
          <w:sz w:val="20"/>
          <w:szCs w:val="20"/>
          <w:color w:val="auto"/>
        </w:rPr>
      </w:pPr>
      <w:r>
        <w:rPr>
          <w:rFonts w:ascii="Arial" w:cs="Arial" w:eastAsia="Arial" w:hAnsi="Arial"/>
          <w:sz w:val="19"/>
          <w:szCs w:val="19"/>
          <w:b w:val="1"/>
          <w:bCs w:val="1"/>
          <w:color w:val="auto"/>
        </w:rPr>
        <w:t>In 2022, we experienced the early stages of a very distinctive growth cycle characterized by supply-led investment decisions.</w:t>
      </w:r>
    </w:p>
    <w:p>
      <w:pPr>
        <w:spacing w:after="0" w:line="69" w:lineRule="exact"/>
        <w:rPr>
          <w:sz w:val="20"/>
          <w:szCs w:val="20"/>
          <w:color w:val="auto"/>
        </w:rPr>
      </w:pPr>
    </w:p>
    <w:p>
      <w:pPr>
        <w:ind w:left="20" w:right="20"/>
        <w:spacing w:after="0" w:line="278" w:lineRule="auto"/>
        <w:rPr>
          <w:sz w:val="20"/>
          <w:szCs w:val="20"/>
          <w:color w:val="auto"/>
        </w:rPr>
      </w:pPr>
      <w:r>
        <w:rPr>
          <w:rFonts w:ascii="Arial" w:cs="Arial" w:eastAsia="Arial" w:hAnsi="Arial"/>
          <w:sz w:val="18"/>
          <w:szCs w:val="18"/>
          <w:color w:val="auto"/>
        </w:rPr>
        <w:t>North America led the way with exceptionally strong growth and margin expansion, which should continue in 2023. In International and Offshore, activity began to accelerate in the second half of the year and is poised for strong growth in 2023 and beyond. This will be led by the Middle East, where we expect record levels of upstream investment as the region’s oil production capacity increases</w:t>
      </w:r>
    </w:p>
    <w:p>
      <w:pPr>
        <w:spacing w:after="0" w:line="3" w:lineRule="exact"/>
        <w:rPr>
          <w:sz w:val="20"/>
          <w:szCs w:val="20"/>
          <w:color w:val="auto"/>
        </w:rPr>
      </w:pPr>
    </w:p>
    <w:p>
      <w:pPr>
        <w:ind w:left="20"/>
        <w:spacing w:after="0" w:line="256" w:lineRule="auto"/>
        <w:rPr>
          <w:sz w:val="20"/>
          <w:szCs w:val="20"/>
          <w:color w:val="auto"/>
        </w:rPr>
      </w:pPr>
      <w:r>
        <w:rPr>
          <w:rFonts w:ascii="Arial" w:cs="Arial" w:eastAsia="Arial" w:hAnsi="Arial"/>
          <w:sz w:val="20"/>
          <w:szCs w:val="20"/>
          <w:color w:val="auto"/>
        </w:rPr>
        <w:t>by up to four million barrels per day by 2030. Offshore activity, in both shallow and deep water, is rebounding to levels expected to far exceed pre-pandemic levels.</w:t>
      </w:r>
    </w:p>
    <w:p>
      <w:pPr>
        <w:spacing w:after="0" w:line="87" w:lineRule="exact"/>
        <w:rPr>
          <w:sz w:val="20"/>
          <w:szCs w:val="20"/>
          <w:color w:val="auto"/>
        </w:rPr>
      </w:pPr>
    </w:p>
    <w:p>
      <w:pPr>
        <w:ind w:left="20" w:right="100"/>
        <w:spacing w:after="0" w:line="263" w:lineRule="auto"/>
        <w:rPr>
          <w:sz w:val="20"/>
          <w:szCs w:val="20"/>
          <w:color w:val="auto"/>
        </w:rPr>
      </w:pPr>
      <w:r>
        <w:rPr>
          <w:rFonts w:ascii="Arial" w:cs="Arial" w:eastAsia="Arial" w:hAnsi="Arial"/>
          <w:sz w:val="19"/>
          <w:szCs w:val="19"/>
          <w:color w:val="auto"/>
        </w:rPr>
        <w:t>Both of these represent long-cycle investments that will span multiple years and outlast short-term demand volatility as markets rebalance.</w:t>
      </w:r>
    </w:p>
    <w:p>
      <w:pPr>
        <w:spacing w:after="0" w:line="2" w:lineRule="exact"/>
        <w:rPr>
          <w:sz w:val="20"/>
          <w:szCs w:val="20"/>
          <w:color w:val="auto"/>
        </w:rPr>
      </w:pPr>
    </w:p>
    <w:p>
      <w:pPr>
        <w:ind w:left="20" w:right="440"/>
        <w:spacing w:after="0" w:line="276" w:lineRule="auto"/>
        <w:rPr>
          <w:sz w:val="20"/>
          <w:szCs w:val="20"/>
          <w:color w:val="auto"/>
        </w:rPr>
      </w:pPr>
      <w:r>
        <w:rPr>
          <w:rFonts w:ascii="Arial" w:cs="Arial" w:eastAsia="Arial" w:hAnsi="Arial"/>
          <w:sz w:val="19"/>
          <w:szCs w:val="19"/>
          <w:color w:val="auto"/>
        </w:rPr>
        <w:t>And both are closely aligned with SLB’s Core and will enable us to drive premium performance and technology adoption.</w:t>
      </w:r>
    </w:p>
    <w:p>
      <w:pPr>
        <w:spacing w:after="0" w:line="200" w:lineRule="exact"/>
        <w:rPr>
          <w:sz w:val="20"/>
          <w:szCs w:val="20"/>
          <w:color w:val="auto"/>
        </w:rPr>
      </w:pPr>
    </w:p>
    <w:p>
      <w:pPr>
        <w:spacing w:after="0" w:line="369" w:lineRule="exact"/>
        <w:rPr>
          <w:sz w:val="20"/>
          <w:szCs w:val="20"/>
          <w:color w:val="auto"/>
        </w:rPr>
      </w:pPr>
    </w:p>
    <w:p>
      <w:pPr>
        <w:ind w:left="840" w:hanging="824"/>
        <w:spacing w:after="0"/>
        <w:tabs>
          <w:tab w:leader="none" w:pos="840" w:val="left"/>
        </w:tabs>
        <w:numPr>
          <w:ilvl w:val="0"/>
          <w:numId w:val="12"/>
        </w:numPr>
        <w:rPr>
          <w:rFonts w:ascii="Arial" w:cs="Arial" w:eastAsia="Arial" w:hAnsi="Arial"/>
          <w:sz w:val="20"/>
          <w:szCs w:val="20"/>
          <w:color w:val="0033A1"/>
        </w:rPr>
      </w:pPr>
      <w:r>
        <w:rPr>
          <w:rFonts w:ascii="Arial" w:cs="Arial" w:eastAsia="Arial" w:hAnsi="Arial"/>
          <w:sz w:val="20"/>
          <w:szCs w:val="20"/>
          <w:color w:val="0033A1"/>
        </w:rPr>
        <w:t>SLB 2022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8"/>
          <w:szCs w:val="28"/>
          <w:b w:val="1"/>
          <w:bCs w:val="1"/>
          <w:color w:val="0014DC"/>
        </w:rPr>
        <w:t>Digital</w:t>
      </w:r>
    </w:p>
    <w:p>
      <w:pPr>
        <w:spacing w:after="0" w:line="212"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The quest for capital efficiency, productivity of asset teams, and cycle time reduction requires digital transformation across the industry.</w:t>
      </w:r>
    </w:p>
    <w:p>
      <w:pPr>
        <w:spacing w:after="0" w:line="52"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Customer adoption continues to gain momentum, enhancing access and use of data, improving and creating new workflows, and guiding decisions that boost performance in the field. Digital integration will only accelerate as our customers and partners continue to integrate AI and machine learning to better understand and leverage operations data and manage carbon emissions.</w:t>
      </w:r>
    </w:p>
    <w:p>
      <w:pPr>
        <w:spacing w:after="0" w:line="97"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will result in a fast-growing digital market throughout the decade as the industry harnesses the power of digital technology to unlock performance and drive decarbonization.</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SLB is already recognized as the market leader in digital technology with Delfi*, the industry’s first integrated cloud platform deployable at scale in a secure and open environment. We will continue to accelerate adoption and growth, both in our Core business and in new and evolving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8"/>
          <w:szCs w:val="28"/>
          <w:b w:val="1"/>
          <w:bCs w:val="1"/>
          <w:color w:val="00D2DC"/>
        </w:rPr>
        <w:t>New Energy</w:t>
      </w:r>
    </w:p>
    <w:p>
      <w:pPr>
        <w:spacing w:after="0" w:line="212" w:lineRule="exact"/>
        <w:rPr>
          <w:sz w:val="20"/>
          <w:szCs w:val="20"/>
          <w:color w:val="auto"/>
        </w:rPr>
      </w:pPr>
    </w:p>
    <w:p>
      <w:pPr>
        <w:ind w:left="20" w:right="100"/>
        <w:spacing w:after="0" w:line="305" w:lineRule="auto"/>
        <w:rPr>
          <w:sz w:val="20"/>
          <w:szCs w:val="20"/>
          <w:color w:val="auto"/>
        </w:rPr>
      </w:pPr>
      <w:r>
        <w:rPr>
          <w:rFonts w:ascii="Arial" w:cs="Arial" w:eastAsia="Arial" w:hAnsi="Arial"/>
          <w:sz w:val="18"/>
          <w:szCs w:val="18"/>
          <w:b w:val="1"/>
          <w:bCs w:val="1"/>
          <w:color w:val="auto"/>
        </w:rPr>
        <w:t>The energy transition is the largest and most significant industrial challenge ever attempted.</w:t>
      </w:r>
    </w:p>
    <w:p>
      <w:pPr>
        <w:spacing w:after="0" w:line="44" w:lineRule="exact"/>
        <w:rPr>
          <w:sz w:val="20"/>
          <w:szCs w:val="20"/>
          <w:color w:val="auto"/>
        </w:rPr>
      </w:pPr>
    </w:p>
    <w:p>
      <w:pPr>
        <w:ind w:left="20"/>
        <w:spacing w:after="0" w:line="268" w:lineRule="auto"/>
        <w:rPr>
          <w:sz w:val="20"/>
          <w:szCs w:val="20"/>
          <w:color w:val="auto"/>
        </w:rPr>
      </w:pPr>
      <w:r>
        <w:rPr>
          <w:rFonts w:ascii="Arial" w:cs="Arial" w:eastAsia="Arial" w:hAnsi="Arial"/>
          <w:sz w:val="19"/>
          <w:szCs w:val="19"/>
          <w:color w:val="auto"/>
        </w:rPr>
        <w:t>Current demographic and consumption patterns anticipate a 20 percent increase in global demand for energy by 2050. At the same time, mitigating the effects of climate change will necessitate an overhaul of the world’s energy system to achieve net-zero emissions over that same timeframe.</w:t>
      </w:r>
    </w:p>
    <w:p>
      <w:pPr>
        <w:spacing w:after="0" w:line="78" w:lineRule="exact"/>
        <w:rPr>
          <w:sz w:val="20"/>
          <w:szCs w:val="20"/>
          <w:color w:val="auto"/>
        </w:rPr>
      </w:pPr>
    </w:p>
    <w:p>
      <w:pPr>
        <w:ind w:left="20" w:right="100"/>
        <w:spacing w:after="0" w:line="268" w:lineRule="auto"/>
        <w:rPr>
          <w:sz w:val="20"/>
          <w:szCs w:val="20"/>
          <w:color w:val="auto"/>
        </w:rPr>
      </w:pPr>
      <w:r>
        <w:rPr>
          <w:rFonts w:ascii="Arial" w:cs="Arial" w:eastAsia="Arial" w:hAnsi="Arial"/>
          <w:sz w:val="19"/>
          <w:szCs w:val="19"/>
          <w:color w:val="auto"/>
        </w:rPr>
        <w:t>The total investment in energy transition has more than doubled over the past five years and is expected to more than double again by 2030. This is driven by energy security and affordability; stronger carbon pricing mechanisms; and targeted incentives in Europe, the United States, and others.</w:t>
      </w:r>
    </w:p>
    <w:p>
      <w:pPr>
        <w:spacing w:after="0" w:line="78" w:lineRule="exact"/>
        <w:rPr>
          <w:sz w:val="20"/>
          <w:szCs w:val="20"/>
          <w:color w:val="auto"/>
        </w:rPr>
      </w:pPr>
    </w:p>
    <w:p>
      <w:pPr>
        <w:ind w:left="20" w:right="240"/>
        <w:spacing w:after="0" w:line="273" w:lineRule="auto"/>
        <w:rPr>
          <w:sz w:val="20"/>
          <w:szCs w:val="20"/>
          <w:color w:val="auto"/>
        </w:rPr>
      </w:pPr>
      <w:r>
        <w:rPr>
          <w:rFonts w:ascii="Arial" w:cs="Arial" w:eastAsia="Arial" w:hAnsi="Arial"/>
          <w:sz w:val="19"/>
          <w:szCs w:val="19"/>
          <w:color w:val="auto"/>
        </w:rPr>
        <w:t>SLB is building a broad, diverse portfolio across New Energy sectors to address an estimated total market opportunity in excess of $700 billion by the next decade.</w:t>
      </w:r>
    </w:p>
    <w:p>
      <w:pPr>
        <w:sectPr>
          <w:pgSz w:w="12060" w:h="15660" w:orient="portrait"/>
          <w:cols w:equalWidth="0" w:num="3">
            <w:col w:w="3280" w:space="400"/>
            <w:col w:w="3280" w:space="380"/>
            <w:col w:w="3220"/>
          </w:cols>
          <w:pgMar w:left="620" w:top="837" w:right="880" w:bottom="65" w:gutter="0" w:footer="0" w:header="0"/>
          <w:type w:val="continuous"/>
        </w:sectPr>
      </w:pPr>
    </w:p>
    <w:bookmarkStart w:id="8" w:name="page9"/>
    <w:bookmarkEnd w:id="8"/>
    <w:p>
      <w:pPr>
        <w:ind w:left="140"/>
        <w:spacing w:after="0"/>
        <w:rPr>
          <w:sz w:val="20"/>
          <w:szCs w:val="20"/>
          <w:color w:val="auto"/>
        </w:rPr>
      </w:pPr>
      <w:r>
        <w:rPr>
          <w:rFonts w:ascii="Arial" w:cs="Arial" w:eastAsia="Arial" w:hAnsi="Arial"/>
          <w:sz w:val="28"/>
          <w:szCs w:val="28"/>
          <w:b w:val="1"/>
          <w:bCs w:val="1"/>
          <w:color w:val="0014DC"/>
        </w:rPr>
        <w:drawing>
          <wp:anchor simplePos="0" relativeHeight="251657728" behindDoc="1" locked="0" layoutInCell="0" allowOverlap="1">
            <wp:simplePos x="0" y="0"/>
            <wp:positionH relativeFrom="page">
              <wp:posOffset>4404360</wp:posOffset>
            </wp:positionH>
            <wp:positionV relativeFrom="page">
              <wp:posOffset>0</wp:posOffset>
            </wp:positionV>
            <wp:extent cx="3253740" cy="3215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253740" cy="3215005"/>
                    </a:xfrm>
                    <a:prstGeom prst="rect">
                      <a:avLst/>
                    </a:prstGeom>
                    <a:noFill/>
                  </pic:spPr>
                </pic:pic>
              </a:graphicData>
            </a:graphic>
          </wp:anchor>
        </w:drawing>
        <w:t xml:space="preserve">Overview </w:t>
      </w:r>
      <w:r>
        <w:rPr>
          <w:rFonts w:ascii="Arial" w:cs="Arial" w:eastAsia="Arial" w:hAnsi="Arial"/>
          <w:sz w:val="28"/>
          <w:szCs w:val="28"/>
          <w:color w:val="0014DC"/>
        </w:rPr>
        <w:t>Business strategy and sustainability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2"/>
          <w:szCs w:val="172"/>
          <w:color w:val="0014DC"/>
        </w:rPr>
        <w:t>Pivoting</w:t>
      </w:r>
    </w:p>
    <w:p>
      <w:pPr>
        <w:spacing w:after="0"/>
        <w:rPr>
          <w:sz w:val="20"/>
          <w:szCs w:val="20"/>
          <w:color w:val="auto"/>
        </w:rPr>
      </w:pPr>
      <w:r>
        <w:rPr>
          <w:rFonts w:ascii="Arial" w:cs="Arial" w:eastAsia="Arial" w:hAnsi="Arial"/>
          <w:sz w:val="146"/>
          <w:szCs w:val="146"/>
          <w:color w:val="0014DC"/>
        </w:rPr>
        <w:t>  for the future</w:t>
      </w:r>
    </w:p>
    <w:p>
      <w:pPr>
        <w:sectPr>
          <w:pgSz w:w="12060" w:h="15660" w:orient="portrait"/>
          <w:cols w:equalWidth="0" w:num="1">
            <w:col w:w="10740"/>
          </w:cols>
          <w:pgMar w:left="680" w:top="837" w:right="640"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0" w:right="160"/>
        <w:spacing w:after="0" w:line="255" w:lineRule="auto"/>
        <w:rPr>
          <w:sz w:val="20"/>
          <w:szCs w:val="20"/>
          <w:color w:val="auto"/>
        </w:rPr>
      </w:pPr>
      <w:r>
        <w:rPr>
          <w:rFonts w:ascii="Arial" w:cs="Arial" w:eastAsia="Arial" w:hAnsi="Arial"/>
          <w:sz w:val="34"/>
          <w:szCs w:val="34"/>
          <w:color w:val="auto"/>
        </w:rPr>
        <w:t>SLB is committed to addressing the most difficult challenges in the energy industry. We push the limits of innovation while remaining the performance partner of choice for our customers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1047750</wp:posOffset>
            </wp:positionV>
            <wp:extent cx="4403725" cy="2073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a:extLst>
                        <a:ext uri="{28A0092B-C50C-407E-A947-70E740481C1C}"/>
                      </a:extLst>
                    </a:blip>
                    <a:srcRect/>
                    <a:stretch>
                      <a:fillRect/>
                    </a:stretch>
                  </pic:blipFill>
                  <pic:spPr bwMode="auto">
                    <a:xfrm>
                      <a:off x="0" y="0"/>
                      <a:ext cx="4403725" cy="2073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Our roadmap: a returns-focused strategy designed to meet the current and future needs of customers and return value to shareholders. And with our goal of achieving net-zero carbon emissions intrinsically linked to this strategy, sustainability sits at the heart of everything we do.</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Today, we are well-positioned with three engines of growth: Core, Digital, and New Energy.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8"/>
          <w:szCs w:val="28"/>
          <w:b w:val="1"/>
          <w:bCs w:val="1"/>
          <w:color w:val="0014D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2072640" cy="2073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a:extLst>
                        <a:ext uri="{28A0092B-C50C-407E-A947-70E740481C1C}"/>
                      </a:extLst>
                    </a:blip>
                    <a:srcRect/>
                    <a:stretch>
                      <a:fillRect/>
                    </a:stretch>
                  </pic:blipFill>
                  <pic:spPr bwMode="auto">
                    <a:xfrm>
                      <a:off x="0" y="0"/>
                      <a:ext cx="2072640" cy="2073910"/>
                    </a:xfrm>
                    <a:prstGeom prst="rect">
                      <a:avLst/>
                    </a:prstGeom>
                    <a:noFill/>
                  </pic:spPr>
                </pic:pic>
              </a:graphicData>
            </a:graphic>
          </wp:anchor>
        </w:drawing>
      </w:r>
    </w:p>
    <w:p>
      <w:pPr>
        <w:spacing w:after="0" w:line="200" w:lineRule="exact"/>
        <w:rPr>
          <w:sz w:val="20"/>
          <w:szCs w:val="20"/>
          <w:color w:val="auto"/>
        </w:rPr>
      </w:pPr>
    </w:p>
    <w:p>
      <w:pPr>
        <w:sectPr>
          <w:pgSz w:w="12060" w:h="15660" w:orient="portrait"/>
          <w:cols w:equalWidth="0" w:num="2">
            <w:col w:w="6760" w:space="720"/>
            <w:col w:w="3260"/>
          </w:cols>
          <w:pgMar w:left="680" w:top="837" w:right="640"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760"/>
        <w:spacing w:after="0"/>
        <w:tabs>
          <w:tab w:leader="none" w:pos="5520" w:val="left"/>
          <w:tab w:leader="none" w:pos="9520" w:val="left"/>
        </w:tabs>
        <w:rPr>
          <w:sz w:val="20"/>
          <w:szCs w:val="20"/>
          <w:color w:val="auto"/>
        </w:rPr>
      </w:pPr>
      <w:r>
        <w:rPr>
          <w:rFonts w:ascii="Arial" w:cs="Arial" w:eastAsia="Arial" w:hAnsi="Arial"/>
          <w:sz w:val="36"/>
          <w:szCs w:val="36"/>
          <w:color w:val="FFFFFF"/>
        </w:rPr>
        <w:t>Innovate</w:t>
      </w:r>
      <w:r>
        <w:rPr>
          <w:sz w:val="20"/>
          <w:szCs w:val="20"/>
          <w:color w:val="auto"/>
        </w:rPr>
        <w:tab/>
      </w:r>
      <w:r>
        <w:rPr>
          <w:rFonts w:ascii="Arial" w:cs="Arial" w:eastAsia="Arial" w:hAnsi="Arial"/>
          <w:sz w:val="36"/>
          <w:szCs w:val="36"/>
          <w:color w:val="FFFFFF"/>
        </w:rPr>
        <w:t>Expand</w:t>
      </w:r>
      <w:r>
        <w:rPr>
          <w:sz w:val="20"/>
          <w:szCs w:val="20"/>
          <w:color w:val="auto"/>
        </w:rPr>
        <w:tab/>
      </w:r>
      <w:r>
        <w:rPr>
          <w:rFonts w:ascii="Arial" w:cs="Arial" w:eastAsia="Arial" w:hAnsi="Arial"/>
          <w:sz w:val="34"/>
          <w:szCs w:val="34"/>
          <w:color w:val="FFFFFF"/>
        </w:rPr>
        <w:t>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spacing w:after="0"/>
        <w:tabs>
          <w:tab w:leader="none" w:pos="4180" w:val="left"/>
          <w:tab w:leader="none" w:pos="7860" w:val="left"/>
        </w:tabs>
        <w:rPr>
          <w:sz w:val="20"/>
          <w:szCs w:val="20"/>
          <w:color w:val="auto"/>
        </w:rPr>
      </w:pPr>
      <w:r>
        <w:rPr>
          <w:rFonts w:ascii="Arial" w:cs="Arial" w:eastAsia="Arial" w:hAnsi="Arial"/>
          <w:sz w:val="36"/>
          <w:szCs w:val="36"/>
          <w:color w:val="FFFFFF"/>
        </w:rPr>
        <w:t>Seize</w:t>
      </w:r>
      <w:r>
        <w:rPr>
          <w:sz w:val="20"/>
          <w:szCs w:val="20"/>
          <w:color w:val="auto"/>
        </w:rPr>
        <w:tab/>
      </w:r>
      <w:r>
        <w:rPr>
          <w:rFonts w:ascii="Arial" w:cs="Arial" w:eastAsia="Arial" w:hAnsi="Arial"/>
          <w:sz w:val="36"/>
          <w:szCs w:val="36"/>
          <w:color w:val="FFFFFF"/>
        </w:rPr>
        <w:t>Scale</w:t>
      </w:r>
      <w:r>
        <w:rPr>
          <w:sz w:val="20"/>
          <w:szCs w:val="20"/>
          <w:color w:val="auto"/>
        </w:rPr>
        <w:tab/>
      </w:r>
      <w:r>
        <w:rPr>
          <w:rFonts w:ascii="Arial" w:cs="Arial" w:eastAsia="Arial" w:hAnsi="Arial"/>
          <w:sz w:val="34"/>
          <w:szCs w:val="34"/>
          <w:color w:val="FFFFFF"/>
        </w:rPr>
        <w:t>Seed</w:t>
      </w:r>
    </w:p>
    <w:p>
      <w:pPr>
        <w:sectPr>
          <w:pgSz w:w="12060" w:h="15660" w:orient="portrait"/>
          <w:cols w:equalWidth="0" w:num="1">
            <w:col w:w="10740"/>
          </w:cols>
          <w:pgMar w:left="680" w:top="837" w:right="640"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620"/>
        <w:spacing w:after="0"/>
        <w:rPr>
          <w:sz w:val="20"/>
          <w:szCs w:val="20"/>
          <w:color w:val="auto"/>
        </w:rPr>
      </w:pPr>
      <w:r>
        <w:rPr>
          <w:rFonts w:ascii="Arial" w:cs="Arial" w:eastAsia="Arial" w:hAnsi="Arial"/>
          <w:sz w:val="20"/>
          <w:szCs w:val="20"/>
          <w:color w:val="0033A1"/>
        </w:rPr>
        <w:t>7</w:t>
      </w:r>
    </w:p>
    <w:p>
      <w:pPr>
        <w:sectPr>
          <w:pgSz w:w="12060" w:h="15660" w:orient="portrait"/>
          <w:cols w:equalWidth="0" w:num="1">
            <w:col w:w="10740"/>
          </w:cols>
          <w:pgMar w:left="680" w:top="837" w:right="640" w:bottom="65" w:gutter="0" w:footer="0" w:header="0"/>
          <w:type w:val="continuous"/>
        </w:sectPr>
      </w:pPr>
    </w:p>
    <w:bookmarkStart w:id="9" w:name="page10"/>
    <w:bookmarkEnd w:id="9"/>
    <w:p>
      <w:pPr>
        <w:ind w:left="4"/>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3129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extLst>
                        <a:ext uri="{28A0092B-C50C-407E-A947-70E740481C1C}"/>
                      </a:extLst>
                    </a:blip>
                    <a:srcRect/>
                    <a:stretch>
                      <a:fillRect/>
                    </a:stretch>
                  </pic:blipFill>
                  <pic:spPr bwMode="auto">
                    <a:xfrm>
                      <a:off x="0" y="0"/>
                      <a:ext cx="7658100" cy="3129280"/>
                    </a:xfrm>
                    <a:prstGeom prst="rect">
                      <a:avLst/>
                    </a:prstGeom>
                    <a:noFill/>
                  </pic:spPr>
                </pic:pic>
              </a:graphicData>
            </a:graphic>
          </wp:anchor>
        </w:drawing>
        <w:t xml:space="preserve">Overview </w:t>
      </w:r>
      <w:r>
        <w:rPr>
          <w:rFonts w:ascii="Arial" w:cs="Arial" w:eastAsia="Arial" w:hAnsi="Arial"/>
          <w:sz w:val="26"/>
          <w:szCs w:val="26"/>
          <w:color w:val="FFFFFF"/>
        </w:rPr>
        <w:t>Business strategy and sustainability continued</w:t>
      </w:r>
    </w:p>
    <w:p>
      <w:pPr>
        <w:sectPr>
          <w:pgSz w:w="12060" w:h="15660" w:orient="portrait"/>
          <w:cols w:equalWidth="0" w:num="1">
            <w:col w:w="10504"/>
          </w:cols>
          <w:pgMar w:left="636" w:top="837" w:right="92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spacing w:after="0"/>
        <w:rPr>
          <w:sz w:val="20"/>
          <w:szCs w:val="20"/>
          <w:color w:val="auto"/>
        </w:rPr>
      </w:pPr>
      <w:r>
        <w:rPr>
          <w:rFonts w:ascii="Arial" w:cs="Arial" w:eastAsia="Arial" w:hAnsi="Arial"/>
          <w:sz w:val="28"/>
          <w:szCs w:val="28"/>
          <w:b w:val="1"/>
          <w:bCs w:val="1"/>
          <w:color w:val="051464"/>
        </w:rPr>
        <w:t>Seize and innovate</w:t>
      </w:r>
    </w:p>
    <w:p>
      <w:pPr>
        <w:spacing w:after="0" w:line="172" w:lineRule="exact"/>
        <w:rPr>
          <w:sz w:val="20"/>
          <w:szCs w:val="20"/>
          <w:color w:val="auto"/>
        </w:rPr>
      </w:pPr>
    </w:p>
    <w:p>
      <w:pPr>
        <w:ind w:left="4" w:right="80"/>
        <w:spacing w:after="0" w:line="276" w:lineRule="auto"/>
        <w:rPr>
          <w:sz w:val="20"/>
          <w:szCs w:val="20"/>
          <w:color w:val="auto"/>
        </w:rPr>
      </w:pPr>
      <w:r>
        <w:rPr>
          <w:rFonts w:ascii="Arial" w:cs="Arial" w:eastAsia="Arial" w:hAnsi="Arial"/>
          <w:sz w:val="19"/>
          <w:szCs w:val="19"/>
          <w:b w:val="1"/>
          <w:bCs w:val="1"/>
          <w:color w:val="auto"/>
        </w:rPr>
        <w:t>Our Core is positioned to outperform the market and deliver further margin expansion through the cycle and beyond.</w:t>
      </w:r>
    </w:p>
    <w:p>
      <w:pPr>
        <w:spacing w:after="0" w:line="69" w:lineRule="exact"/>
        <w:rPr>
          <w:sz w:val="20"/>
          <w:szCs w:val="20"/>
          <w:color w:val="auto"/>
        </w:rPr>
      </w:pPr>
    </w:p>
    <w:p>
      <w:pPr>
        <w:ind w:left="4" w:right="60"/>
        <w:spacing w:after="0" w:line="268" w:lineRule="auto"/>
        <w:rPr>
          <w:sz w:val="20"/>
          <w:szCs w:val="20"/>
          <w:color w:val="auto"/>
        </w:rPr>
      </w:pPr>
      <w:r>
        <w:rPr>
          <w:rFonts w:ascii="Arial" w:cs="Arial" w:eastAsia="Arial" w:hAnsi="Arial"/>
          <w:sz w:val="19"/>
          <w:szCs w:val="19"/>
          <w:color w:val="auto"/>
        </w:rPr>
        <w:t>With SLB’s unmatched market breadth, best-in-class performance, and unique integration capabilities, we are prepared to seize the growth cycle. Our geographical positioning, with notable strength in Offshore, the Middle East, and North America, ensures balanced exposure across the cycle.</w:t>
      </w:r>
    </w:p>
    <w:p>
      <w:pPr>
        <w:spacing w:after="0" w:line="78" w:lineRule="exact"/>
        <w:rPr>
          <w:sz w:val="20"/>
          <w:szCs w:val="20"/>
          <w:color w:val="auto"/>
        </w:rPr>
      </w:pPr>
    </w:p>
    <w:p>
      <w:pPr>
        <w:ind w:left="4"/>
        <w:spacing w:after="0" w:line="253" w:lineRule="auto"/>
        <w:rPr>
          <w:sz w:val="20"/>
          <w:szCs w:val="20"/>
          <w:color w:val="auto"/>
        </w:rPr>
      </w:pPr>
      <w:r>
        <w:rPr>
          <w:rFonts w:ascii="Arial" w:cs="Arial" w:eastAsia="Arial" w:hAnsi="Arial"/>
          <w:sz w:val="20"/>
          <w:szCs w:val="20"/>
          <w:color w:val="auto"/>
        </w:rPr>
        <w:t>We are innovating for resilience and sustainability to deliver a higher-value, lower-carbon future. Within our Core business, SLB’s fit-for-basin strategy has accelerated technology customization for each operating area and brought even greater value to customers on a local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8"/>
          <w:szCs w:val="28"/>
          <w:b w:val="1"/>
          <w:bCs w:val="1"/>
          <w:color w:val="0014DC"/>
        </w:rPr>
        <w:t>Scale and expand</w:t>
      </w:r>
    </w:p>
    <w:p>
      <w:pPr>
        <w:spacing w:after="0" w:line="172"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color w:val="auto"/>
        </w:rPr>
        <w:t>Through Digital we will completely redefine the future of energy and the future of SLB.</w:t>
      </w:r>
    </w:p>
    <w:p>
      <w:pPr>
        <w:spacing w:after="0" w:line="8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Digital is set to make a material impact on our industry by reducing cycle times and risk, accelerating returns, and increasing productivity while lowering costs and emissions.</w:t>
      </w:r>
    </w:p>
    <w:p>
      <w:pPr>
        <w:spacing w:after="0" w:line="2"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auto"/>
        </w:rPr>
        <w:t>Our long-established installed software base, unrivaled customer intimacy, and unique partnerships create a solid foundation for success.</w:t>
      </w:r>
    </w:p>
    <w:p>
      <w:pPr>
        <w:spacing w:after="0" w:line="68" w:lineRule="exact"/>
        <w:rPr>
          <w:sz w:val="20"/>
          <w:szCs w:val="20"/>
          <w:color w:val="auto"/>
        </w:rPr>
      </w:pPr>
    </w:p>
    <w:p>
      <w:pPr>
        <w:ind w:right="320"/>
        <w:spacing w:after="0" w:line="271" w:lineRule="auto"/>
        <w:rPr>
          <w:sz w:val="20"/>
          <w:szCs w:val="20"/>
          <w:color w:val="auto"/>
        </w:rPr>
      </w:pPr>
      <w:r>
        <w:rPr>
          <w:rFonts w:ascii="Arial" w:cs="Arial" w:eastAsia="Arial" w:hAnsi="Arial"/>
          <w:sz w:val="19"/>
          <w:szCs w:val="19"/>
          <w:color w:val="auto"/>
        </w:rPr>
        <w:t>Our Delfi platform, the industry’s first integrated cloud platform, is primed for widespread adoption and growth in our core business and in adjacent and non-adjacent new and evolving markets.</w:t>
      </w:r>
    </w:p>
    <w:p>
      <w:pPr>
        <w:spacing w:after="0" w:line="73"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Opportunities to create value for our customers will further fuel our growth as we guide the transition from established software applications to our digital platform. Customers will gain access to new and exciting resources, from data and collaboration tools from our cloud partners to our fully interconnected industry-leading simulators. Throughout this transition, they will continue to look to us for key services—such as data migration, workflow redesign, and transition— that are critical to their own digital journeys.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8"/>
          <w:szCs w:val="28"/>
          <w:b w:val="1"/>
          <w:bCs w:val="1"/>
          <w:color w:val="00D2DC"/>
        </w:rPr>
        <w:t>Seed and grow</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8"/>
          <w:szCs w:val="18"/>
          <w:b w:val="1"/>
          <w:bCs w:val="1"/>
          <w:color w:val="auto"/>
        </w:rPr>
        <w:t>Through a combination of internal R&amp;D and innovation, focused M&amp;A, and partnerships, SLB is building a technology offering in New Energy that’s unlike any other.</w:t>
      </w:r>
    </w:p>
    <w:p>
      <w:pPr>
        <w:spacing w:after="0" w:line="59" w:lineRule="exact"/>
        <w:rPr>
          <w:sz w:val="20"/>
          <w:szCs w:val="20"/>
          <w:color w:val="auto"/>
        </w:rPr>
      </w:pPr>
    </w:p>
    <w:p>
      <w:pPr>
        <w:jc w:val="both"/>
        <w:ind w:right="60"/>
        <w:spacing w:after="0" w:line="263" w:lineRule="auto"/>
        <w:rPr>
          <w:sz w:val="20"/>
          <w:szCs w:val="20"/>
          <w:color w:val="auto"/>
        </w:rPr>
      </w:pPr>
      <w:r>
        <w:rPr>
          <w:rFonts w:ascii="Arial" w:cs="Arial" w:eastAsia="Arial" w:hAnsi="Arial"/>
          <w:sz w:val="19"/>
          <w:szCs w:val="19"/>
          <w:color w:val="auto"/>
        </w:rPr>
        <w:t>Our strategy for creating and scaling a diversified portfolio of businesses focused on decarbonization</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color w:val="auto"/>
        </w:rPr>
        <w:t>and clean energy technology will be key to the future. We are delivering technology solutions that address industrial and power generation emissions, which account for about half of global emissions, while ensuring we meet the world’s need for accessible, reliable, and affordable energy.</w:t>
      </w:r>
    </w:p>
    <w:p>
      <w:pPr>
        <w:spacing w:after="0" w:line="78"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Our New Energy business operates based on three key principles: impact and materiality, adjacency, and technology-led business models. We prioritize business opportunities based on market size and growth, emissions impact, and potential business size and we focus on opportunities that best leverage SLB’s capabilities and experience, global reach, and customer base, to enable disruptive new solutions or drive economics.</w:t>
      </w:r>
    </w:p>
    <w:p>
      <w:pPr>
        <w:spacing w:after="0" w:line="1269" w:lineRule="exact"/>
        <w:rPr>
          <w:sz w:val="20"/>
          <w:szCs w:val="20"/>
          <w:color w:val="auto"/>
        </w:rPr>
      </w:pPr>
    </w:p>
    <w:p>
      <w:pPr>
        <w:sectPr>
          <w:pgSz w:w="12060" w:h="15660" w:orient="portrait"/>
          <w:cols w:equalWidth="0" w:num="3">
            <w:col w:w="3144" w:space="520"/>
            <w:col w:w="3220" w:space="460"/>
            <w:col w:w="3160"/>
          </w:cols>
          <w:pgMar w:left="636" w:top="837" w:right="920" w:bottom="77"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824" w:hanging="824"/>
        <w:spacing w:after="0"/>
        <w:tabs>
          <w:tab w:leader="none" w:pos="824" w:val="left"/>
        </w:tabs>
        <w:numPr>
          <w:ilvl w:val="0"/>
          <w:numId w:val="13"/>
        </w:numPr>
        <w:rPr>
          <w:rFonts w:ascii="Arial" w:cs="Arial" w:eastAsia="Arial" w:hAnsi="Arial"/>
          <w:sz w:val="19"/>
          <w:szCs w:val="19"/>
          <w:color w:val="0033A1"/>
        </w:rPr>
      </w:pPr>
      <w:r>
        <w:rPr>
          <w:rFonts w:ascii="Arial" w:cs="Arial" w:eastAsia="Arial" w:hAnsi="Arial"/>
          <w:sz w:val="19"/>
          <w:szCs w:val="19"/>
          <w:color w:val="0033A1"/>
        </w:rPr>
        <w:t>SLB 2022 Annual Report</w:t>
      </w:r>
    </w:p>
    <w:p>
      <w:pPr>
        <w:sectPr>
          <w:pgSz w:w="12060" w:h="15660" w:orient="portrait"/>
          <w:cols w:equalWidth="0" w:num="1">
            <w:col w:w="10504"/>
          </w:cols>
          <w:pgMar w:left="636" w:top="837" w:right="920" w:bottom="77"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5181600</wp:posOffset>
            </wp:positionH>
            <wp:positionV relativeFrom="page">
              <wp:posOffset>0</wp:posOffset>
            </wp:positionV>
            <wp:extent cx="2476500" cy="3053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7650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140"/>
        <w:spacing w:after="0" w:line="271" w:lineRule="auto"/>
        <w:rPr>
          <w:sz w:val="20"/>
          <w:szCs w:val="20"/>
          <w:color w:val="auto"/>
        </w:rPr>
      </w:pPr>
      <w:r>
        <w:rPr>
          <w:rFonts w:ascii="Arial" w:cs="Arial" w:eastAsia="Arial" w:hAnsi="Arial"/>
          <w:sz w:val="63"/>
          <w:szCs w:val="63"/>
          <w:color w:val="0014DC"/>
        </w:rPr>
        <w:t>Our sustainable energy future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4673600</wp:posOffset>
                </wp:positionH>
                <wp:positionV relativeFrom="paragraph">
                  <wp:posOffset>-149225</wp:posOffset>
                </wp:positionV>
                <wp:extent cx="2476500" cy="689038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00" cy="6890385"/>
                        </a:xfrm>
                        <a:prstGeom prst="rect">
                          <a:avLst/>
                        </a:prstGeom>
                        <a:solidFill>
                          <a:srgbClr val="0014DC"/>
                        </a:solidFill>
                      </wps:spPr>
                      <wps:bodyPr/>
                    </wps:wsp>
                  </a:graphicData>
                </a:graphic>
              </wp:anchor>
            </w:drawing>
          </mc:Choice>
          <mc:Fallback>
            <w:pict>
              <v:rect id="Shape 48" o:spid="_x0000_s1073" style="position:absolute;margin-left:368pt;margin-top:-11.7499pt;width:195pt;height:54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DC" stroked="f"/>
            </w:pict>
          </mc:Fallback>
        </mc:AlternateContent>
      </w:r>
    </w:p>
    <w:p>
      <w:pPr>
        <w:sectPr>
          <w:pgSz w:w="12060" w:h="15660" w:orient="portrait"/>
          <w:cols w:equalWidth="0" w:num="1">
            <w:col w:w="10620"/>
          </w:cols>
          <w:pgMar w:left="800" w:top="1440" w:right="640" w:bottom="65" w:gutter="0" w:footer="0" w:header="0"/>
        </w:sectPr>
      </w:pPr>
    </w:p>
    <w:p>
      <w:pPr>
        <w:spacing w:after="0" w:line="200" w:lineRule="exact"/>
        <w:rPr>
          <w:sz w:val="20"/>
          <w:szCs w:val="20"/>
          <w:color w:val="auto"/>
        </w:rPr>
      </w:pPr>
    </w:p>
    <w:p>
      <w:pPr>
        <w:spacing w:after="0" w:line="351" w:lineRule="exact"/>
        <w:rPr>
          <w:sz w:val="20"/>
          <w:szCs w:val="20"/>
          <w:color w:val="auto"/>
        </w:rPr>
      </w:pPr>
    </w:p>
    <w:p>
      <w:pPr>
        <w:ind w:left="20" w:right="380"/>
        <w:spacing w:after="0" w:line="332" w:lineRule="auto"/>
        <w:rPr>
          <w:sz w:val="20"/>
          <w:szCs w:val="20"/>
          <w:color w:val="auto"/>
        </w:rPr>
      </w:pPr>
      <w:r>
        <w:rPr>
          <w:rFonts w:ascii="Arial" w:cs="Arial" w:eastAsia="Arial" w:hAnsi="Arial"/>
          <w:sz w:val="18"/>
          <w:szCs w:val="18"/>
          <w:b w:val="1"/>
          <w:bCs w:val="1"/>
          <w:color w:val="auto"/>
        </w:rPr>
        <w:t>Now more than ever, sustainability is non-negotiable.</w:t>
      </w:r>
    </w:p>
    <w:p>
      <w:pPr>
        <w:spacing w:after="0" w:line="21" w:lineRule="exact"/>
        <w:rPr>
          <w:sz w:val="20"/>
          <w:szCs w:val="20"/>
          <w:color w:val="auto"/>
        </w:rPr>
      </w:pPr>
    </w:p>
    <w:p>
      <w:pPr>
        <w:ind w:left="20" w:right="120"/>
        <w:spacing w:after="0" w:line="263" w:lineRule="auto"/>
        <w:rPr>
          <w:sz w:val="20"/>
          <w:szCs w:val="20"/>
          <w:color w:val="auto"/>
        </w:rPr>
      </w:pPr>
      <w:r>
        <w:rPr>
          <w:rFonts w:ascii="Arial" w:cs="Arial" w:eastAsia="Arial" w:hAnsi="Arial"/>
          <w:sz w:val="19"/>
          <w:szCs w:val="19"/>
          <w:color w:val="auto"/>
        </w:rPr>
        <w:t>Upstream, midstream, and downstream operations make up around 5.2 GTCO</w:t>
      </w:r>
      <w:r>
        <w:rPr>
          <w:rFonts w:ascii="Arial" w:cs="Arial" w:eastAsia="Arial" w:hAnsi="Arial"/>
          <w:sz w:val="22"/>
          <w:szCs w:val="22"/>
          <w:color w:val="auto"/>
          <w:vertAlign w:val="subscript"/>
        </w:rPr>
        <w:t>2</w:t>
      </w:r>
      <w:r>
        <w:rPr>
          <w:rFonts w:ascii="Arial" w:cs="Arial" w:eastAsia="Arial" w:hAnsi="Arial"/>
          <w:sz w:val="19"/>
          <w:szCs w:val="19"/>
          <w:color w:val="auto"/>
        </w:rPr>
        <w:t>e—approximately 10 percent of global carbon emissions. At SLB, we welcome the critical role we play in decarbonizing oil and gas while exploring pathways to meet the growing energy demand.</w:t>
      </w:r>
    </w:p>
    <w:p>
      <w:pPr>
        <w:spacing w:after="0" w:line="80" w:lineRule="exact"/>
        <w:rPr>
          <w:sz w:val="20"/>
          <w:szCs w:val="20"/>
          <w:color w:val="auto"/>
        </w:rPr>
      </w:pPr>
    </w:p>
    <w:p>
      <w:pPr>
        <w:ind w:left="20"/>
        <w:spacing w:after="0" w:line="263" w:lineRule="auto"/>
        <w:rPr>
          <w:sz w:val="20"/>
          <w:szCs w:val="20"/>
          <w:color w:val="auto"/>
        </w:rPr>
      </w:pPr>
      <w:r>
        <w:rPr>
          <w:rFonts w:ascii="Arial" w:cs="Arial" w:eastAsia="Arial" w:hAnsi="Arial"/>
          <w:sz w:val="19"/>
          <w:szCs w:val="19"/>
          <w:color w:val="auto"/>
        </w:rPr>
        <w:t>As a symbol of our commitment to the challenge ahead, we’ve based our new identity on the carbon budget curve—the maximum net global CO</w:t>
      </w:r>
      <w:r>
        <w:rPr>
          <w:rFonts w:ascii="Arial" w:cs="Arial" w:eastAsia="Arial" w:hAnsi="Arial"/>
          <w:sz w:val="22"/>
          <w:szCs w:val="22"/>
          <w:color w:val="auto"/>
          <w:vertAlign w:val="subscript"/>
        </w:rPr>
        <w:t>2</w:t>
      </w:r>
      <w:r>
        <w:rPr>
          <w:rFonts w:ascii="Arial" w:cs="Arial" w:eastAsia="Arial" w:hAnsi="Arial"/>
          <w:sz w:val="19"/>
          <w:szCs w:val="19"/>
          <w:color w:val="auto"/>
        </w:rPr>
        <w:t xml:space="preserve"> emissions permissible to limit global warming to 1.5 degrees Celsius.</w:t>
      </w:r>
    </w:p>
    <w:p>
      <w:pPr>
        <w:spacing w:after="0" w:line="79" w:lineRule="exact"/>
        <w:rPr>
          <w:sz w:val="20"/>
          <w:szCs w:val="20"/>
          <w:color w:val="auto"/>
        </w:rPr>
      </w:pPr>
    </w:p>
    <w:p>
      <w:pPr>
        <w:ind w:left="20" w:right="280"/>
        <w:spacing w:after="0" w:line="273" w:lineRule="auto"/>
        <w:rPr>
          <w:sz w:val="20"/>
          <w:szCs w:val="20"/>
          <w:color w:val="auto"/>
        </w:rPr>
      </w:pPr>
      <w:r>
        <w:rPr>
          <w:rFonts w:ascii="Arial" w:cs="Arial" w:eastAsia="Arial" w:hAnsi="Arial"/>
          <w:sz w:val="19"/>
          <w:szCs w:val="19"/>
          <w:color w:val="auto"/>
        </w:rPr>
        <w:t>We are proud of the ambitious, science-based targets we committed to in 2021 to reach net-zero emissions by 2050, which include our Scope 3 emissions.</w:t>
      </w:r>
    </w:p>
    <w:p>
      <w:pPr>
        <w:spacing w:after="0" w:line="71" w:lineRule="exact"/>
        <w:rPr>
          <w:sz w:val="20"/>
          <w:szCs w:val="20"/>
          <w:color w:val="auto"/>
        </w:rPr>
      </w:pPr>
    </w:p>
    <w:p>
      <w:pPr>
        <w:ind w:left="20" w:right="40"/>
        <w:spacing w:after="0" w:line="283" w:lineRule="auto"/>
        <w:rPr>
          <w:sz w:val="20"/>
          <w:szCs w:val="20"/>
          <w:color w:val="auto"/>
        </w:rPr>
      </w:pPr>
      <w:r>
        <w:rPr>
          <w:rFonts w:ascii="Arial" w:cs="Arial" w:eastAsia="Arial" w:hAnsi="Arial"/>
          <w:sz w:val="18"/>
          <w:szCs w:val="18"/>
          <w:color w:val="auto"/>
        </w:rPr>
        <w:t>In 2022, we made significant advances with the launch of SLB End-to-end Emissions Solutions (SEES) and we’re taking bold steps in climate action, evolving our portfolio, making new investments, and empowering local communities to go further for a balanced planet. In the past year, SLB remained one of the highest-ranked companies in the energy industry across key environmental, social, and governance ratings agencies.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Powerful partnerships</w:t>
      </w:r>
    </w:p>
    <w:p>
      <w:pPr>
        <w:spacing w:after="0" w:line="122" w:lineRule="exact"/>
        <w:rPr>
          <w:sz w:val="20"/>
          <w:szCs w:val="20"/>
          <w:color w:val="auto"/>
        </w:rPr>
      </w:pPr>
    </w:p>
    <w:p>
      <w:pPr>
        <w:ind w:right="260"/>
        <w:spacing w:after="0" w:line="267" w:lineRule="auto"/>
        <w:rPr>
          <w:sz w:val="20"/>
          <w:szCs w:val="20"/>
          <w:color w:val="auto"/>
        </w:rPr>
      </w:pPr>
      <w:r>
        <w:rPr>
          <w:rFonts w:ascii="Arial" w:cs="Arial" w:eastAsia="Arial" w:hAnsi="Arial"/>
          <w:sz w:val="19"/>
          <w:szCs w:val="19"/>
          <w:color w:val="auto"/>
        </w:rPr>
        <w:t>Strategic partners will help SLB’s emission reduction efforts to reach new heights. One example of this is our collaboration with Saudi Aramco to develop a digital platform for sustainability solutions in hard-to-abate industries. The platform will allow customers to collect, measure, report, and verify their emissions while also evaluating different decarbonization pathways.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Transition Technologies</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Our portfolio of Transition Technologies* offers products and services built on rigorous technical methodology to quantify and reduce emissions. These technologies address emissions challenges across the spectrum, including methane emissions, flaring, well construction CO</w:t>
      </w:r>
      <w:r>
        <w:rPr>
          <w:rFonts w:ascii="Arial" w:cs="Arial" w:eastAsia="Arial" w:hAnsi="Arial"/>
          <w:sz w:val="22"/>
          <w:szCs w:val="22"/>
          <w:color w:val="auto"/>
          <w:vertAlign w:val="subscript"/>
        </w:rPr>
        <w:t>2</w:t>
      </w:r>
      <w:r>
        <w:rPr>
          <w:rFonts w:ascii="Arial" w:cs="Arial" w:eastAsia="Arial" w:hAnsi="Arial"/>
          <w:sz w:val="19"/>
          <w:szCs w:val="19"/>
          <w:color w:val="auto"/>
        </w:rPr>
        <w:t xml:space="preserve"> footprint, and solutions</w:t>
      </w:r>
    </w:p>
    <w:p>
      <w:pPr>
        <w:spacing w:after="0" w:line="1" w:lineRule="exact"/>
        <w:rPr>
          <w:sz w:val="20"/>
          <w:szCs w:val="20"/>
          <w:color w:val="auto"/>
        </w:rPr>
      </w:pPr>
    </w:p>
    <w:p>
      <w:pPr>
        <w:ind w:right="420"/>
        <w:spacing w:after="0" w:line="262" w:lineRule="auto"/>
        <w:rPr>
          <w:sz w:val="20"/>
          <w:szCs w:val="20"/>
          <w:color w:val="auto"/>
        </w:rPr>
      </w:pPr>
      <w:r>
        <w:rPr>
          <w:rFonts w:ascii="Arial" w:cs="Arial" w:eastAsia="Arial" w:hAnsi="Arial"/>
          <w:sz w:val="20"/>
          <w:szCs w:val="20"/>
          <w:color w:val="auto"/>
        </w:rPr>
        <w:t>for electrification of production systems infrastructure and full field development.</w:t>
      </w:r>
    </w:p>
    <w:p>
      <w:pPr>
        <w:spacing w:after="0" w:line="80"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In 2022 alone, SLB Transition Technologies helped avoid over 700,000 tonnes of CO</w:t>
      </w:r>
      <w:r>
        <w:rPr>
          <w:rFonts w:ascii="Arial" w:cs="Arial" w:eastAsia="Arial" w:hAnsi="Arial"/>
          <w:sz w:val="23"/>
          <w:szCs w:val="23"/>
          <w:color w:val="auto"/>
          <w:vertAlign w:val="subscript"/>
        </w:rPr>
        <w:t>2</w:t>
      </w:r>
      <w:r>
        <w:rPr>
          <w:rFonts w:ascii="Arial" w:cs="Arial" w:eastAsia="Arial" w:hAnsi="Arial"/>
          <w:sz w:val="20"/>
          <w:szCs w:val="20"/>
          <w:color w:val="auto"/>
        </w:rPr>
        <w:t>e emissions —the equivalent of taking almost 160,000 cars off the road. Our Transition Technologies portfolio is set to continue growing, and we expect it to surpass the $1 billion revenue mark in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FFFFFF"/>
        </w:rPr>
        <w:t>I N F O C U S</w:t>
      </w:r>
    </w:p>
    <w:p>
      <w:pPr>
        <w:spacing w:after="0" w:line="200" w:lineRule="exact"/>
        <w:rPr>
          <w:sz w:val="20"/>
          <w:szCs w:val="20"/>
          <w:color w:val="auto"/>
        </w:rPr>
      </w:pPr>
    </w:p>
    <w:p>
      <w:pPr>
        <w:spacing w:after="0" w:line="333" w:lineRule="exact"/>
        <w:rPr>
          <w:sz w:val="20"/>
          <w:szCs w:val="20"/>
          <w:color w:val="auto"/>
        </w:rPr>
      </w:pPr>
    </w:p>
    <w:p>
      <w:pPr>
        <w:ind w:right="220"/>
        <w:spacing w:after="0" w:line="235" w:lineRule="auto"/>
        <w:rPr>
          <w:sz w:val="20"/>
          <w:szCs w:val="20"/>
          <w:color w:val="auto"/>
        </w:rPr>
      </w:pPr>
      <w:r>
        <w:rPr>
          <w:rFonts w:ascii="Arial" w:cs="Arial" w:eastAsia="Arial" w:hAnsi="Arial"/>
          <w:sz w:val="34"/>
          <w:szCs w:val="34"/>
          <w:color w:val="00D2DC"/>
        </w:rPr>
        <w:t>Fit-for-basin technologies achieve adoption milestones</w:t>
      </w:r>
    </w:p>
    <w:p>
      <w:pPr>
        <w:spacing w:after="0" w:line="314" w:lineRule="exact"/>
        <w:rPr>
          <w:sz w:val="20"/>
          <w:szCs w:val="20"/>
          <w:color w:val="auto"/>
        </w:rPr>
      </w:pPr>
    </w:p>
    <w:p>
      <w:pPr>
        <w:jc w:val="both"/>
        <w:ind w:right="140"/>
        <w:spacing w:after="0" w:line="305" w:lineRule="auto"/>
        <w:rPr>
          <w:sz w:val="20"/>
          <w:szCs w:val="20"/>
          <w:color w:val="auto"/>
        </w:rPr>
      </w:pPr>
      <w:r>
        <w:rPr>
          <w:rFonts w:ascii="Arial" w:cs="Arial" w:eastAsia="Arial" w:hAnsi="Arial"/>
          <w:sz w:val="18"/>
          <w:szCs w:val="18"/>
          <w:b w:val="1"/>
          <w:bCs w:val="1"/>
          <w:color w:val="FFFFFF"/>
        </w:rPr>
        <w:t>The SLB fit-for-basin frac plug portfolio achieved significant market adoption milestones.</w:t>
      </w:r>
    </w:p>
    <w:p>
      <w:pPr>
        <w:spacing w:after="0" w:line="44"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FFFFFF"/>
        </w:rPr>
        <w:t>In 2022, the FracXion Micro* fully composite frac plugs eclipsed 100,000 installations. Additionally, the full portfolio of ReacXion* fully dissolvable frac plugs, an SLB footprint-reducing technology, achieved 50,000 installations and lowered operators’ CO</w:t>
      </w:r>
      <w:r>
        <w:rPr>
          <w:rFonts w:ascii="Arial" w:cs="Arial" w:eastAsia="Arial" w:hAnsi="Arial"/>
          <w:sz w:val="22"/>
          <w:szCs w:val="22"/>
          <w:color w:val="FFFFFF"/>
          <w:vertAlign w:val="subscript"/>
        </w:rPr>
        <w:t>2</w:t>
      </w:r>
      <w:r>
        <w:rPr>
          <w:rFonts w:ascii="Arial" w:cs="Arial" w:eastAsia="Arial" w:hAnsi="Arial"/>
          <w:sz w:val="19"/>
          <w:szCs w:val="19"/>
          <w:color w:val="FFFFFF"/>
        </w:rPr>
        <w:t>e emissions by reducing diesel consumption by an estimated 5.7 million liters. These technologies represent how SLB creates new opportunities by understanding customer needs to amplify our sustainability impact and reduce our customers’ cost to operate.</w:t>
      </w:r>
    </w:p>
    <w:p>
      <w:pPr>
        <w:spacing w:after="0" w:line="1368" w:lineRule="exact"/>
        <w:rPr>
          <w:sz w:val="20"/>
          <w:szCs w:val="20"/>
          <w:color w:val="auto"/>
        </w:rPr>
      </w:pPr>
    </w:p>
    <w:p>
      <w:pPr>
        <w:sectPr>
          <w:pgSz w:w="12060" w:h="15660" w:orient="portrait"/>
          <w:cols w:equalWidth="0" w:num="3">
            <w:col w:w="3280" w:space="400"/>
            <w:col w:w="3360" w:space="720"/>
            <w:col w:w="2860"/>
          </w:cols>
          <w:pgMar w:left="800" w:top="1440" w:right="640" w:bottom="65" w:gutter="0" w:footer="0" w:header="0"/>
          <w:type w:val="continuous"/>
        </w:sectPr>
      </w:pPr>
    </w:p>
    <w:p>
      <w:pPr>
        <w:spacing w:after="0" w:line="327" w:lineRule="exact"/>
        <w:rPr>
          <w:sz w:val="20"/>
          <w:szCs w:val="20"/>
          <w:color w:val="auto"/>
        </w:rPr>
      </w:pPr>
    </w:p>
    <w:p>
      <w:pPr>
        <w:ind w:left="10500"/>
        <w:spacing w:after="0"/>
        <w:rPr>
          <w:sz w:val="20"/>
          <w:szCs w:val="20"/>
          <w:color w:val="auto"/>
        </w:rPr>
      </w:pPr>
      <w:r>
        <w:rPr>
          <w:rFonts w:ascii="Arial" w:cs="Arial" w:eastAsia="Arial" w:hAnsi="Arial"/>
          <w:sz w:val="20"/>
          <w:szCs w:val="20"/>
          <w:color w:val="FFFFFF"/>
        </w:rPr>
        <w:t>9</w:t>
      </w:r>
    </w:p>
    <w:p>
      <w:pPr>
        <w:sectPr>
          <w:pgSz w:w="12060" w:h="15660" w:orient="portrait"/>
          <w:cols w:equalWidth="0" w:num="1">
            <w:col w:w="10620"/>
          </w:cols>
          <w:pgMar w:left="800" w:top="1440" w:right="640" w:bottom="65" w:gutter="0" w:footer="0" w:header="0"/>
          <w:type w:val="continuous"/>
        </w:sectPr>
      </w:pPr>
    </w:p>
    <w:bookmarkStart w:id="11" w:name="page12"/>
    <w:bookmarkEnd w:id="11"/>
    <w:p>
      <w:pPr>
        <w:ind w:left="4"/>
        <w:spacing w:after="0"/>
        <w:rPr>
          <w:sz w:val="20"/>
          <w:szCs w:val="20"/>
          <w:color w:val="auto"/>
        </w:rPr>
      </w:pPr>
      <w:r>
        <w:rPr>
          <w:rFonts w:ascii="Arial" w:cs="Arial" w:eastAsia="Arial" w:hAnsi="Arial"/>
          <w:sz w:val="26"/>
          <w:szCs w:val="26"/>
          <w:b w:val="1"/>
          <w:bCs w:val="1"/>
          <w:color w:val="0014DC"/>
        </w:rPr>
        <w:t xml:space="preserve">Strategic performance </w:t>
      </w:r>
      <w:r>
        <w:rPr>
          <w:rFonts w:ascii="Arial" w:cs="Arial" w:eastAsia="Arial" w:hAnsi="Arial"/>
          <w:sz w:val="26"/>
          <w:szCs w:val="26"/>
          <w:color w:val="0014DC"/>
        </w:rPr>
        <w:t>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38" w:type="dxa"/>
        <w:tblCellMar>
          <w:top w:w="0" w:type="dxa"/>
          <w:left w:w="0" w:type="dxa"/>
          <w:bottom w:w="0" w:type="dxa"/>
          <w:right w:w="0" w:type="dxa"/>
        </w:tblCellMar>
      </w:tblPr>
      <w:tr>
        <w:trPr>
          <w:trHeight w:val="4160"/>
        </w:trPr>
        <w:tc>
          <w:tcPr>
            <w:tcW w:w="2196" w:type="dxa"/>
            <w:vAlign w:val="bottom"/>
            <w:textDirection w:val="tbRl"/>
          </w:tcPr>
          <w:p>
            <w:pPr>
              <w:spacing w:after="0"/>
              <w:rPr>
                <w:sz w:val="20"/>
                <w:szCs w:val="20"/>
                <w:color w:val="auto"/>
              </w:rPr>
            </w:pPr>
            <w:r>
              <w:rPr>
                <w:rFonts w:ascii="Arial" w:cs="Arial" w:eastAsia="Arial" w:hAnsi="Arial"/>
                <w:sz w:val="191"/>
                <w:szCs w:val="191"/>
                <w:color w:val="DCE1E1"/>
              </w:rPr>
              <w:t>Core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9" w:lineRule="auto"/>
        <w:rPr>
          <w:sz w:val="20"/>
          <w:szCs w:val="20"/>
          <w:color w:val="auto"/>
        </w:rPr>
      </w:pPr>
      <w:r>
        <w:rPr>
          <w:rFonts w:ascii="Arial" w:cs="Arial" w:eastAsia="Arial" w:hAnsi="Arial"/>
          <w:sz w:val="19"/>
          <w:szCs w:val="19"/>
          <w:b w:val="1"/>
          <w:bCs w:val="1"/>
          <w:color w:val="auto"/>
        </w:rPr>
        <w:t>We executed consistently for our customers, achieving our best safety and operations integrity performance on record. Safety, reliability, and efficiency are the drivers of our differentiated performance—and are fundamental to who we are as a company.</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With the most comprehensive well-centric technology portfolio in the industry, we continue to strengthen our offerings from reservoir to production facility, broadening our reach into production and midstream. This gives us a balanced portfolio of short- and long-cycle business, supporting our long-term resilience.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The breadth of our portfolio provides us with a unique ability to integrate and create value across multiple operating environments— offshore and land, conventional and unconventional, deep water and shallow water—as we support our customers and expand their production capacity. We set the benchmark in product and service delivery performance, and we earn a premium for the value we bring.</w:t>
      </w:r>
    </w:p>
    <w:p>
      <w:pPr>
        <w:spacing w:after="0" w:line="77"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Our technology helps operators accelerate project cycle time, increase production, and maximize the value of their assets—all enabled by the integration of digital in our operations. In February 2022, we introduced our GeoSphere 360*</w:t>
      </w:r>
    </w:p>
    <w:p>
      <w:pPr>
        <w:spacing w:after="0" w:line="1" w:lineRule="exact"/>
        <w:rPr>
          <w:sz w:val="20"/>
          <w:szCs w:val="20"/>
          <w:color w:val="auto"/>
        </w:rPr>
      </w:pPr>
    </w:p>
    <w:p>
      <w:pPr>
        <w:sectPr>
          <w:pgSz w:w="12060" w:h="15660" w:orient="portrait"/>
          <w:cols w:equalWidth="0" w:num="3">
            <w:col w:w="3464" w:space="200"/>
            <w:col w:w="3220" w:space="460"/>
            <w:col w:w="3120"/>
          </w:cols>
          <w:pgMar w:left="636" w:top="837" w:right="960" w:bottom="77" w:gutter="0" w:footer="0" w:header="0"/>
        </w:sectPr>
      </w:pPr>
    </w:p>
    <w:p>
      <w:pPr>
        <w:ind w:left="2024"/>
        <w:spacing w:after="0" w:line="226" w:lineRule="auto"/>
        <w:rPr>
          <w:sz w:val="20"/>
          <w:szCs w:val="20"/>
          <w:color w:val="auto"/>
        </w:rPr>
      </w:pPr>
      <w:r>
        <w:rPr>
          <w:rFonts w:ascii="Arial" w:cs="Arial" w:eastAsia="Arial" w:hAnsi="Arial"/>
          <w:sz w:val="68"/>
          <w:szCs w:val="68"/>
          <w:color w:val="0014DC"/>
        </w:rPr>
        <w:t>Growth,</w:t>
      </w:r>
    </w:p>
    <w:p>
      <w:pPr>
        <w:ind w:left="2044"/>
        <w:spacing w:after="0" w:line="209" w:lineRule="auto"/>
        <w:rPr>
          <w:sz w:val="20"/>
          <w:szCs w:val="20"/>
          <w:color w:val="auto"/>
        </w:rPr>
      </w:pPr>
      <w:r>
        <w:rPr>
          <w:rFonts w:ascii="Arial" w:cs="Arial" w:eastAsia="Arial" w:hAnsi="Arial"/>
          <w:sz w:val="68"/>
          <w:szCs w:val="68"/>
          <w:color w:val="0014DC"/>
        </w:rPr>
        <w:t>innovation, and</w:t>
      </w:r>
    </w:p>
    <w:p>
      <w:pPr>
        <w:spacing w:after="0" w:line="1" w:lineRule="exact"/>
        <w:rPr>
          <w:sz w:val="20"/>
          <w:szCs w:val="20"/>
          <w:color w:val="auto"/>
        </w:rPr>
      </w:pPr>
    </w:p>
    <w:p>
      <w:pPr>
        <w:ind w:left="2044"/>
        <w:spacing w:after="0"/>
        <w:rPr>
          <w:sz w:val="20"/>
          <w:szCs w:val="20"/>
          <w:color w:val="auto"/>
        </w:rPr>
      </w:pPr>
      <w:r>
        <w:rPr>
          <w:rFonts w:ascii="Arial" w:cs="Arial" w:eastAsia="Arial" w:hAnsi="Arial"/>
          <w:sz w:val="65"/>
          <w:szCs w:val="65"/>
          <w:color w:val="0014DC"/>
        </w:rPr>
        <w:t>outperformance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9"/>
          <w:szCs w:val="19"/>
          <w:color w:val="auto"/>
        </w:rPr>
        <w:t>3D reservoir mapping-while-drilling service, which leverages advanced cloud and digital solutions to deliver real-time 3D profiling of reservoir objects. This improves reservoir assessment, enabling customers to place fewer, higher-quality wells with greater certainty and confidence, improving returns from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325120</wp:posOffset>
            </wp:positionV>
            <wp:extent cx="4922520" cy="3780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a:extLst>
                        <a:ext uri="{28A0092B-C50C-407E-A947-70E740481C1C}"/>
                      </a:extLst>
                    </a:blip>
                    <a:srcRect/>
                    <a:stretch>
                      <a:fillRect/>
                    </a:stretch>
                  </pic:blipFill>
                  <pic:spPr bwMode="auto">
                    <a:xfrm>
                      <a:off x="0" y="0"/>
                      <a:ext cx="4922520" cy="3780155"/>
                    </a:xfrm>
                    <a:prstGeom prst="rect">
                      <a:avLst/>
                    </a:prstGeom>
                    <a:noFill/>
                  </pic:spPr>
                </pic:pic>
              </a:graphicData>
            </a:graphic>
          </wp:anchor>
        </w:drawing>
      </w:r>
    </w:p>
    <w:p>
      <w:pPr>
        <w:spacing w:after="0" w:line="200" w:lineRule="exact"/>
        <w:rPr>
          <w:sz w:val="20"/>
          <w:szCs w:val="20"/>
          <w:color w:val="auto"/>
        </w:rPr>
      </w:pPr>
    </w:p>
    <w:p>
      <w:pPr>
        <w:sectPr>
          <w:pgSz w:w="12060" w:h="15660" w:orient="portrait"/>
          <w:cols w:equalWidth="0" w:num="2">
            <w:col w:w="6664" w:space="680"/>
            <w:col w:w="3120"/>
          </w:cols>
          <w:pgMar w:left="636" w:top="837" w:right="960" w:bottom="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4" w:hanging="824"/>
        <w:spacing w:after="0"/>
        <w:tabs>
          <w:tab w:leader="none" w:pos="824" w:val="left"/>
        </w:tabs>
        <w:numPr>
          <w:ilvl w:val="0"/>
          <w:numId w:val="14"/>
        </w:numPr>
        <w:rPr>
          <w:rFonts w:ascii="Arial" w:cs="Arial" w:eastAsia="Arial" w:hAnsi="Arial"/>
          <w:sz w:val="19"/>
          <w:szCs w:val="19"/>
          <w:color w:val="0033A1"/>
        </w:rPr>
      </w:pPr>
      <w:r>
        <w:rPr>
          <w:rFonts w:ascii="Arial" w:cs="Arial" w:eastAsia="Arial" w:hAnsi="Arial"/>
          <w:sz w:val="19"/>
          <w:szCs w:val="19"/>
          <w:color w:val="0033A1"/>
        </w:rPr>
        <w:t>SLB 2022 Annual Report</w:t>
      </w:r>
    </w:p>
    <w:p>
      <w:pPr>
        <w:sectPr>
          <w:pgSz w:w="12060" w:h="15660" w:orient="portrait"/>
          <w:cols w:equalWidth="0" w:num="1">
            <w:col w:w="10464"/>
          </w:cols>
          <w:pgMar w:left="636" w:top="837" w:right="960" w:bottom="77"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302" w:lineRule="auto"/>
        <w:rPr>
          <w:sz w:val="20"/>
          <w:szCs w:val="20"/>
          <w:color w:val="auto"/>
        </w:rPr>
      </w:pPr>
      <w:r>
        <w:rPr>
          <w:rFonts w:ascii="Arial" w:cs="Arial" w:eastAsia="Arial" w:hAnsi="Arial"/>
          <w:sz w:val="19"/>
          <w:szCs w:val="19"/>
          <w:color w:val="auto"/>
        </w:rPr>
        <w:t>reservoirs and reducing the carbon intensity of field development.</w:t>
      </w:r>
    </w:p>
    <w:p>
      <w:pPr>
        <w:spacing w:after="0" w:line="44" w:lineRule="exact"/>
        <w:rPr>
          <w:sz w:val="20"/>
          <w:szCs w:val="20"/>
          <w:color w:val="auto"/>
        </w:rPr>
      </w:pPr>
    </w:p>
    <w:p>
      <w:pPr>
        <w:ind w:right="340"/>
        <w:spacing w:after="0" w:line="233" w:lineRule="auto"/>
        <w:rPr>
          <w:sz w:val="20"/>
          <w:szCs w:val="20"/>
          <w:color w:val="auto"/>
        </w:rPr>
      </w:pPr>
      <w:r>
        <w:rPr>
          <w:rFonts w:ascii="Arial" w:cs="Arial" w:eastAsia="Arial" w:hAnsi="Arial"/>
          <w:sz w:val="19"/>
          <w:szCs w:val="19"/>
          <w:color w:val="auto"/>
        </w:rPr>
        <w:t>Within production, ProcessOps*, introduced on our Delfi platform in September 2022, is a collaborative,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FFFFFF"/>
        </w:rPr>
        <w:t>I N F O C U 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-260985</wp:posOffset>
                </wp:positionH>
                <wp:positionV relativeFrom="paragraph">
                  <wp:posOffset>-1081405</wp:posOffset>
                </wp:positionV>
                <wp:extent cx="4807585" cy="616331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7585" cy="6163310"/>
                        </a:xfrm>
                        <a:prstGeom prst="rect">
                          <a:avLst/>
                        </a:prstGeom>
                        <a:solidFill>
                          <a:srgbClr val="0014DC"/>
                        </a:solidFill>
                      </wps:spPr>
                      <wps:bodyPr/>
                    </wps:wsp>
                  </a:graphicData>
                </a:graphic>
              </wp:anchor>
            </w:drawing>
          </mc:Choice>
          <mc:Fallback>
            <w:pict>
              <v:rect id="Shape 50" o:spid="_x0000_s1075" style="position:absolute;margin-left:-20.5499pt;margin-top:-85.1499pt;width:378.55pt;height:48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14DC" stroked="f"/>
            </w:pict>
          </mc:Fallback>
        </mc:AlternateContent>
      </w:r>
    </w:p>
    <w:p>
      <w:pPr>
        <w:spacing w:after="0" w:line="200" w:lineRule="exact"/>
        <w:rPr>
          <w:sz w:val="20"/>
          <w:szCs w:val="20"/>
          <w:color w:val="auto"/>
        </w:rPr>
      </w:pPr>
    </w:p>
    <w:p>
      <w:pPr>
        <w:spacing w:after="0" w:line="263" w:lineRule="exact"/>
        <w:rPr>
          <w:sz w:val="20"/>
          <w:szCs w:val="20"/>
          <w:color w:val="auto"/>
        </w:rPr>
      </w:pPr>
    </w:p>
    <w:p>
      <w:pPr>
        <w:ind w:right="2600"/>
        <w:spacing w:after="0" w:line="265" w:lineRule="auto"/>
        <w:rPr>
          <w:sz w:val="20"/>
          <w:szCs w:val="20"/>
          <w:color w:val="auto"/>
        </w:rPr>
      </w:pPr>
      <w:r>
        <w:rPr>
          <w:rFonts w:ascii="Arial" w:cs="Arial" w:eastAsia="Arial" w:hAnsi="Arial"/>
          <w:sz w:val="45"/>
          <w:szCs w:val="45"/>
          <w:color w:val="00D2DC"/>
        </w:rPr>
        <w:t>The future of well construction is here</w:t>
      </w:r>
    </w:p>
    <w:p>
      <w:pPr>
        <w:spacing w:after="0" w:line="230" w:lineRule="exact"/>
        <w:rPr>
          <w:sz w:val="20"/>
          <w:szCs w:val="20"/>
          <w:color w:val="auto"/>
        </w:rPr>
      </w:pPr>
    </w:p>
    <w:p>
      <w:pPr>
        <w:sectPr>
          <w:pgSz w:w="12060" w:h="15660" w:orient="portrait"/>
          <w:cols w:equalWidth="0" w:num="2">
            <w:col w:w="3360" w:space="720"/>
            <w:col w:w="6540"/>
          </w:cols>
          <w:pgMar w:left="820" w:top="1440" w:right="620" w:bottom="65" w:gutter="0" w:footer="0" w:header="0"/>
        </w:sectPr>
      </w:pPr>
    </w:p>
    <w:p>
      <w:pPr>
        <w:spacing w:after="0" w:line="83" w:lineRule="exact"/>
        <w:rPr>
          <w:sz w:val="20"/>
          <w:szCs w:val="20"/>
          <w:color w:val="auto"/>
        </w:rPr>
      </w:pPr>
    </w:p>
    <w:p>
      <w:pPr>
        <w:ind w:right="260"/>
        <w:spacing w:after="0" w:line="267" w:lineRule="auto"/>
        <w:rPr>
          <w:sz w:val="20"/>
          <w:szCs w:val="20"/>
          <w:color w:val="auto"/>
        </w:rPr>
      </w:pPr>
      <w:r>
        <w:rPr>
          <w:rFonts w:ascii="Arial" w:cs="Arial" w:eastAsia="Arial" w:hAnsi="Arial"/>
          <w:sz w:val="19"/>
          <w:szCs w:val="19"/>
          <w:color w:val="auto"/>
        </w:rPr>
        <w:t>cloud-based solution that creates a digital twin facility that uses artificial intelligence (AI) and automation with data and physics-based models to optimize the way customers manage their facilities by simultaneously enhancing production and lowering the cost of operations. These and other digitally enabled solutions are enhancing our customers’ performance and keeping SLB central to project success.</w:t>
      </w:r>
    </w:p>
    <w:p>
      <w:pPr>
        <w:spacing w:after="0" w:line="77"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We are also localizing approaches to maximize value, including our fit-for-basin strategy, which offers custom solutions and maximizes the value we provide customers on the local level. Only two years since its inception, fit-for-basin technology recorded more than $300 million revenue in 2022, and we project it to grow at a 25% CAGR during the 2021-2025 period.</w:t>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28"/>
          <w:szCs w:val="28"/>
          <w:b w:val="1"/>
          <w:bCs w:val="1"/>
          <w:color w:val="0014D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193675</wp:posOffset>
            </wp:positionV>
            <wp:extent cx="2849880" cy="3780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
                      <a:extLst>
                        <a:ext uri="{28A0092B-C50C-407E-A947-70E740481C1C}"/>
                      </a:extLst>
                    </a:blip>
                    <a:srcRect/>
                    <a:stretch>
                      <a:fillRect/>
                    </a:stretch>
                  </pic:blipFill>
                  <pic:spPr bwMode="auto">
                    <a:xfrm>
                      <a:off x="0" y="0"/>
                      <a:ext cx="2849880" cy="3780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96" w:lineRule="auto"/>
        <w:rPr>
          <w:sz w:val="20"/>
          <w:szCs w:val="20"/>
          <w:color w:val="auto"/>
        </w:rPr>
      </w:pPr>
      <w:r>
        <w:rPr>
          <w:rFonts w:ascii="Arial" w:cs="Arial" w:eastAsia="Arial" w:hAnsi="Arial"/>
          <w:sz w:val="18"/>
          <w:szCs w:val="18"/>
          <w:b w:val="1"/>
          <w:bCs w:val="1"/>
          <w:color w:val="FFFFFF"/>
        </w:rPr>
        <w:t>In 2022, SLB introduced Neuro autonomous solutions, a major step in digital enablement for well construction.</w:t>
      </w:r>
    </w:p>
    <w:p>
      <w:pPr>
        <w:spacing w:after="0" w:line="52"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FFFFFF"/>
        </w:rPr>
        <w:t>Using advanced cloud-based software and connected intelligent systems, these solutions create a continuous feedback loop between surface and subsurface for the most efficient and consistent E&amp;P operations. This delivers higher-value outcomes for customers while reducing human intervention and environmental footprint.</w:t>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9"/>
          <w:szCs w:val="19"/>
          <w:color w:val="FFFFFF"/>
        </w:rPr>
        <w:t>The first solution, which delivers steering autonomy for directional drilling, has already been deployed on more than 50 rigs across 10 countries. As we scale Neuro solutions over the next several years, SLB will continue to lead the industry toward a future of fully autonomous operations.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60" w:right="1100"/>
        <w:spacing w:after="0" w:line="302" w:lineRule="auto"/>
        <w:rPr>
          <w:sz w:val="20"/>
          <w:szCs w:val="20"/>
          <w:color w:val="auto"/>
        </w:rPr>
      </w:pPr>
      <w:r>
        <w:rPr>
          <w:rFonts w:ascii="Arial" w:cs="Arial" w:eastAsia="Arial" w:hAnsi="Arial"/>
          <w:sz w:val="19"/>
          <w:szCs w:val="19"/>
          <w:color w:val="FFFFFF"/>
        </w:rPr>
        <w:t>Steering autonomy for directional drilling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-512445</wp:posOffset>
                </wp:positionV>
                <wp:extent cx="181483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4830" cy="4763"/>
                        </a:xfrm>
                        <a:prstGeom prst="line">
                          <a:avLst/>
                        </a:prstGeom>
                        <a:solidFill>
                          <a:srgbClr val="FFFFFF"/>
                        </a:solidFill>
                        <a:ln w="76200">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pt,-40.3499pt" to="146.25pt,-40.3499pt" o:allowincell="f" strokecolor="#FFFFFF" strokeweight="6pt"/>
            </w:pict>
          </mc:Fallback>
        </mc:AlternateConten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84"/>
          <w:szCs w:val="84"/>
          <w:color w:val="00D2DC"/>
        </w:rPr>
        <w:t>&gt;50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-579120</wp:posOffset>
                </wp:positionV>
                <wp:extent cx="18148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483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pt,-45.5999pt" to="146.25pt,-45.5999pt" o:allowincell="f" strokecolor="#FFFFFF" strokeweight="0.5pt"/>
            </w:pict>
          </mc:Fallback>
        </mc:AlternateContent>
      </w:r>
    </w:p>
    <w:p>
      <w:pPr>
        <w:spacing w:after="0" w:line="102" w:lineRule="exact"/>
        <w:rPr>
          <w:sz w:val="20"/>
          <w:szCs w:val="20"/>
          <w:color w:val="auto"/>
        </w:rPr>
      </w:pPr>
    </w:p>
    <w:p>
      <w:pPr>
        <w:ind w:left="60" w:right="820"/>
        <w:spacing w:after="0" w:line="321" w:lineRule="auto"/>
        <w:rPr>
          <w:sz w:val="20"/>
          <w:szCs w:val="20"/>
          <w:color w:val="auto"/>
        </w:rPr>
      </w:pPr>
      <w:r>
        <w:rPr>
          <w:rFonts w:ascii="Arial" w:cs="Arial" w:eastAsia="Arial" w:hAnsi="Arial"/>
          <w:sz w:val="15"/>
          <w:szCs w:val="15"/>
          <w:b w:val="1"/>
          <w:bCs w:val="1"/>
          <w:color w:val="FFFFFF"/>
        </w:rPr>
        <w:t>Number of rigs on which the solution has been deployed</w:t>
      </w:r>
    </w:p>
    <w:p>
      <w:pPr>
        <w:spacing w:after="0" w:line="86" w:lineRule="exact"/>
        <w:rPr>
          <w:sz w:val="20"/>
          <w:szCs w:val="20"/>
          <w:color w:val="auto"/>
        </w:rPr>
      </w:pPr>
    </w:p>
    <w:p>
      <w:pPr>
        <w:spacing w:after="0"/>
        <w:rPr>
          <w:sz w:val="20"/>
          <w:szCs w:val="20"/>
          <w:color w:val="auto"/>
        </w:rPr>
      </w:pPr>
      <w:r>
        <w:rPr>
          <w:rFonts w:ascii="Arial" w:cs="Arial" w:eastAsia="Arial" w:hAnsi="Arial"/>
          <w:sz w:val="84"/>
          <w:szCs w:val="84"/>
          <w:color w:val="00D2DC"/>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-578485</wp:posOffset>
                </wp:positionV>
                <wp:extent cx="181356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35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pt,-45.5499pt" to="146.15pt,-45.5499pt" o:allowincell="f" strokecolor="#FFFFFF" strokeweight="0.5pt"/>
            </w:pict>
          </mc:Fallback>
        </mc:AlternateConten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Across 10 countries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68"/>
          <w:szCs w:val="68"/>
          <w:color w:val="00D2DC"/>
        </w:rPr>
        <w:t>~612,000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-487680</wp:posOffset>
                </wp:positionV>
                <wp:extent cx="181356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35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pt,-38.3999pt" to="146.15pt,-38.3999pt" o:allowincell="f" strokecolor="#FFFFFF" strokeweight="0.5pt"/>
            </w:pict>
          </mc:Fallback>
        </mc:AlternateConten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Feet drilled</w:t>
      </w:r>
    </w:p>
    <w:p>
      <w:pPr>
        <w:spacing w:after="0" w:line="654" w:lineRule="exact"/>
        <w:rPr>
          <w:sz w:val="20"/>
          <w:szCs w:val="20"/>
          <w:color w:val="auto"/>
        </w:rPr>
      </w:pPr>
    </w:p>
    <w:p>
      <w:pPr>
        <w:sectPr>
          <w:pgSz w:w="12060" w:h="15660" w:orient="portrait"/>
          <w:cols w:equalWidth="0" w:num="3">
            <w:col w:w="3360" w:space="720"/>
            <w:col w:w="3260" w:space="340"/>
            <w:col w:w="2940"/>
          </w:cols>
          <w:pgMar w:left="820" w:top="1440" w:right="620" w:bottom="65" w:gutter="0" w:footer="0" w:header="0"/>
          <w:type w:val="continuous"/>
        </w:sect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48"/>
          <w:szCs w:val="48"/>
          <w:color w:val="0014DC"/>
        </w:rPr>
        <w:t>“Our Core delivered</w:t>
      </w:r>
    </w:p>
    <w:p>
      <w:pPr>
        <w:ind w:left="4080"/>
        <w:spacing w:after="0" w:line="208" w:lineRule="auto"/>
        <w:rPr>
          <w:sz w:val="20"/>
          <w:szCs w:val="20"/>
          <w:color w:val="auto"/>
        </w:rPr>
      </w:pPr>
      <w:r>
        <w:rPr>
          <w:rFonts w:ascii="Arial" w:cs="Arial" w:eastAsia="Arial" w:hAnsi="Arial"/>
          <w:sz w:val="48"/>
          <w:szCs w:val="48"/>
          <w:color w:val="0014DC"/>
        </w:rPr>
        <w:t>outstanding results</w:t>
      </w:r>
    </w:p>
    <w:p>
      <w:pPr>
        <w:ind w:left="4080"/>
        <w:spacing w:after="0" w:line="223" w:lineRule="auto"/>
        <w:rPr>
          <w:sz w:val="20"/>
          <w:szCs w:val="20"/>
          <w:color w:val="auto"/>
        </w:rPr>
      </w:pPr>
      <w:r>
        <w:rPr>
          <w:rFonts w:ascii="Arial" w:cs="Arial" w:eastAsia="Arial" w:hAnsi="Arial"/>
          <w:sz w:val="45"/>
          <w:szCs w:val="45"/>
          <w:color w:val="0014DC"/>
        </w:rPr>
        <w:t>in 2022 as SLB seized</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48"/>
          <w:szCs w:val="48"/>
          <w:color w:val="0014DC"/>
        </w:rPr>
        <w:t>the growth cycle.”</w:t>
      </w:r>
    </w:p>
    <w:p>
      <w:pPr>
        <w:spacing w:after="0" w:line="153"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Abdellah Merad</w:t>
      </w:r>
    </w:p>
    <w:p>
      <w:pPr>
        <w:spacing w:after="0" w:line="1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EVP, Core Services and Equipment</w:t>
      </w:r>
    </w:p>
    <w:p>
      <w:pPr>
        <w:sectPr>
          <w:pgSz w:w="12060" w:h="15660" w:orient="portrait"/>
          <w:cols w:equalWidth="0" w:num="1">
            <w:col w:w="10620"/>
          </w:cols>
          <w:pgMar w:left="820" w:top="1440" w:right="620"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360"/>
        <w:spacing w:after="0"/>
        <w:rPr>
          <w:sz w:val="20"/>
          <w:szCs w:val="20"/>
          <w:color w:val="auto"/>
        </w:rPr>
      </w:pPr>
      <w:r>
        <w:rPr>
          <w:rFonts w:ascii="Arial" w:cs="Arial" w:eastAsia="Arial" w:hAnsi="Arial"/>
          <w:sz w:val="20"/>
          <w:szCs w:val="20"/>
          <w:color w:val="0033A1"/>
        </w:rPr>
        <w:t>11</w:t>
      </w:r>
    </w:p>
    <w:p>
      <w:pPr>
        <w:sectPr>
          <w:pgSz w:w="12060" w:h="15660" w:orient="portrait"/>
          <w:cols w:equalWidth="0" w:num="1">
            <w:col w:w="10620"/>
          </w:cols>
          <w:pgMar w:left="820" w:top="1440" w:right="620" w:bottom="65" w:gutter="0" w:footer="0" w:header="0"/>
          <w:type w:val="continuous"/>
        </w:sectPr>
      </w:pPr>
    </w:p>
    <w:bookmarkStart w:id="13" w:name="page14"/>
    <w:bookmarkEnd w:id="13"/>
    <w:p>
      <w:pPr>
        <w:ind w:left="4"/>
        <w:spacing w:after="0"/>
        <w:rPr>
          <w:sz w:val="20"/>
          <w:szCs w:val="20"/>
          <w:color w:val="auto"/>
        </w:rPr>
      </w:pPr>
      <w:r>
        <w:rPr>
          <w:rFonts w:ascii="Arial" w:cs="Arial" w:eastAsia="Arial" w:hAnsi="Arial"/>
          <w:sz w:val="26"/>
          <w:szCs w:val="26"/>
          <w:b w:val="1"/>
          <w:bCs w:val="1"/>
          <w:color w:val="0014DC"/>
        </w:rPr>
        <w:t xml:space="preserve">Strategic performance </w:t>
      </w:r>
      <w:r>
        <w:rPr>
          <w:rFonts w:ascii="Arial" w:cs="Arial" w:eastAsia="Arial" w:hAnsi="Arial"/>
          <w:sz w:val="26"/>
          <w:szCs w:val="26"/>
          <w:color w:val="0014DC"/>
        </w:rPr>
        <w:t>Core continued</w:t>
      </w:r>
    </w:p>
    <w:p>
      <w:pPr>
        <w:sectPr>
          <w:pgSz w:w="12060" w:h="15660" w:orient="portrait"/>
          <w:cols w:equalWidth="0" w:num="1">
            <w:col w:w="10384"/>
          </w:cols>
          <w:pgMar w:left="636" w:top="837" w:right="104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64"/>
        <w:spacing w:after="0" w:line="263" w:lineRule="auto"/>
        <w:rPr>
          <w:sz w:val="20"/>
          <w:szCs w:val="20"/>
          <w:color w:val="auto"/>
        </w:rPr>
      </w:pPr>
      <w:r>
        <w:rPr>
          <w:rFonts w:ascii="Arial" w:cs="Arial" w:eastAsia="Arial" w:hAnsi="Arial"/>
          <w:sz w:val="19"/>
          <w:szCs w:val="19"/>
          <w:color w:val="auto"/>
        </w:rPr>
        <w:t>At the same time, we are delivering on the mandate to decarbonize our operations by expanding our portfolio of Transition Technologies. Introduced in 2021 at the same time as our bold Scope 3 reduction commitment, this portfolio is already creating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-1044575</wp:posOffset>
            </wp:positionV>
            <wp:extent cx="2476500" cy="2073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7">
                      <a:extLst>
                        <a:ext uri="{28A0092B-C50C-407E-A947-70E740481C1C}"/>
                      </a:extLst>
                    </a:blip>
                    <a:srcRect/>
                    <a:stretch>
                      <a:fillRect/>
                    </a:stretch>
                  </pic:blipFill>
                  <pic:spPr bwMode="auto">
                    <a:xfrm>
                      <a:off x="0" y="0"/>
                      <a:ext cx="2476500" cy="2073910"/>
                    </a:xfrm>
                    <a:prstGeom prst="rect">
                      <a:avLst/>
                    </a:prstGeom>
                    <a:noFill/>
                  </pic:spPr>
                </pic:pic>
              </a:graphicData>
            </a:graphic>
          </wp:anchor>
        </w:drawing>
      </w:r>
    </w:p>
    <w:p>
      <w:pPr>
        <w:ind w:left="3664" w:right="60"/>
        <w:spacing w:after="0" w:line="267" w:lineRule="auto"/>
        <w:rPr>
          <w:sz w:val="20"/>
          <w:szCs w:val="20"/>
          <w:color w:val="auto"/>
        </w:rPr>
      </w:pPr>
      <w:r>
        <w:rPr>
          <w:rFonts w:ascii="Arial" w:cs="Arial" w:eastAsia="Arial" w:hAnsi="Arial"/>
          <w:sz w:val="19"/>
          <w:szCs w:val="19"/>
          <w:color w:val="auto"/>
        </w:rPr>
        <w:t>for our customers and shareholders and is only set to grow further. In March 2022, we launched SLB’s End-to-end Emissions Solutions (SEES), which offers a comprehensive set of services and cutting-edge technologies designed to give operators a robust and scalable solution for measuring, monitoring, reporting, and ultimately eliminating methane and routine flare emissions from their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469265</wp:posOffset>
            </wp:positionV>
            <wp:extent cx="7658100" cy="5076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8">
                      <a:extLst>
                        <a:ext uri="{28A0092B-C50C-407E-A947-70E740481C1C}"/>
                      </a:extLst>
                    </a:blip>
                    <a:srcRect/>
                    <a:stretch>
                      <a:fillRect/>
                    </a:stretch>
                  </pic:blipFill>
                  <pic:spPr bwMode="auto">
                    <a:xfrm>
                      <a:off x="0" y="0"/>
                      <a:ext cx="7658100" cy="5076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Our unrivaled market breadth, best-in-class performance, unmatched integration capabilities, and ability to innovate for resilience and sustainability strongly position SLB to maintain our leadership in our Core market.</w:t>
      </w:r>
    </w:p>
    <w:p>
      <w:pPr>
        <w:spacing w:after="0" w:line="3093" w:lineRule="exact"/>
        <w:rPr>
          <w:sz w:val="20"/>
          <w:szCs w:val="20"/>
          <w:color w:val="auto"/>
        </w:rPr>
      </w:pPr>
    </w:p>
    <w:p>
      <w:pPr>
        <w:sectPr>
          <w:pgSz w:w="12060" w:h="15660" w:orient="portrait"/>
          <w:cols w:equalWidth="0" w:num="2">
            <w:col w:w="6924" w:space="420"/>
            <w:col w:w="3040"/>
          </w:cols>
          <w:pgMar w:left="636" w:top="837" w:right="1040" w:bottom="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24" w:hanging="824"/>
        <w:spacing w:after="0"/>
        <w:tabs>
          <w:tab w:leader="none" w:pos="824" w:val="left"/>
        </w:tabs>
        <w:numPr>
          <w:ilvl w:val="0"/>
          <w:numId w:val="15"/>
        </w:numPr>
        <w:rPr>
          <w:rFonts w:ascii="Arial" w:cs="Arial" w:eastAsia="Arial" w:hAnsi="Arial"/>
          <w:sz w:val="19"/>
          <w:szCs w:val="19"/>
          <w:color w:val="FFFFFF"/>
        </w:rPr>
      </w:pPr>
      <w:r>
        <w:rPr>
          <w:rFonts w:ascii="Arial" w:cs="Arial" w:eastAsia="Arial" w:hAnsi="Arial"/>
          <w:sz w:val="19"/>
          <w:szCs w:val="19"/>
          <w:color w:val="FFFFFF"/>
        </w:rPr>
        <w:t>SLB 2022 Annual Report</w:t>
      </w:r>
    </w:p>
    <w:p>
      <w:pPr>
        <w:sectPr>
          <w:pgSz w:w="12060" w:h="15660" w:orient="portrait"/>
          <w:cols w:equalWidth="0" w:num="1">
            <w:col w:w="10384"/>
          </w:cols>
          <w:pgMar w:left="636" w:top="837" w:right="1040" w:bottom="77" w:gutter="0" w:footer="0" w:header="0"/>
          <w:type w:val="continuous"/>
        </w:sectPr>
      </w:pPr>
    </w:p>
    <w:bookmarkStart w:id="14" w:name="page15"/>
    <w:bookmarkEnd w:id="14"/>
    <w:p>
      <w:pPr>
        <w:spacing w:after="0"/>
        <w:rPr>
          <w:sz w:val="20"/>
          <w:szCs w:val="20"/>
          <w:color w:val="auto"/>
        </w:rPr>
      </w:pPr>
      <w:r>
        <w:rPr>
          <w:rFonts w:ascii="Arial" w:cs="Arial" w:eastAsia="Arial" w:hAnsi="Arial"/>
          <w:sz w:val="28"/>
          <w:szCs w:val="28"/>
          <w:b w:val="1"/>
          <w:bCs w:val="1"/>
          <w:color w:val="FFFFFF"/>
        </w:rPr>
        <w:drawing>
          <wp:anchor simplePos="0" relativeHeight="251657728" behindDoc="1" locked="0" layoutInCell="0" allowOverlap="1">
            <wp:simplePos x="0" y="0"/>
            <wp:positionH relativeFrom="page">
              <wp:posOffset>3810</wp:posOffset>
            </wp:positionH>
            <wp:positionV relativeFrom="page">
              <wp:posOffset>0</wp:posOffset>
            </wp:positionV>
            <wp:extent cx="5695950" cy="4867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9">
                      <a:extLst>
                        <a:ext uri="{28A0092B-C50C-407E-A947-70E740481C1C}"/>
                      </a:extLst>
                    </a:blip>
                    <a:srcRect/>
                    <a:stretch>
                      <a:fillRect/>
                    </a:stretch>
                  </pic:blipFill>
                  <pic:spPr bwMode="auto">
                    <a:xfrm>
                      <a:off x="0" y="0"/>
                      <a:ext cx="5695950" cy="4867910"/>
                    </a:xfrm>
                    <a:prstGeom prst="rect">
                      <a:avLst/>
                    </a:prstGeom>
                    <a:noFill/>
                  </pic:spPr>
                </pic:pic>
              </a:graphicData>
            </a:graphic>
          </wp:anchor>
        </w:drawing>
        <w:t xml:space="preserve">Strategic performance </w:t>
      </w:r>
      <w:r>
        <w:rPr>
          <w:rFonts w:ascii="Arial" w:cs="Arial" w:eastAsia="Arial" w:hAnsi="Arial"/>
          <w:sz w:val="28"/>
          <w:szCs w:val="28"/>
          <w:color w:val="FFFFFF"/>
        </w:rPr>
        <w:t>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706" w:type="dxa"/>
        <w:tblCellMar>
          <w:top w:w="0" w:type="dxa"/>
          <w:left w:w="0" w:type="dxa"/>
          <w:bottom w:w="0" w:type="dxa"/>
          <w:right w:w="0" w:type="dxa"/>
        </w:tblCellMar>
      </w:tblPr>
      <w:tr>
        <w:trPr>
          <w:trHeight w:val="4780"/>
        </w:trPr>
        <w:tc>
          <w:tcPr>
            <w:tcW w:w="1978" w:type="dxa"/>
            <w:vAlign w:val="bottom"/>
            <w:textDirection w:val="tbRl"/>
          </w:tcPr>
          <w:p>
            <w:pPr>
              <w:spacing w:after="0"/>
              <w:rPr>
                <w:sz w:val="20"/>
                <w:szCs w:val="20"/>
                <w:color w:val="auto"/>
              </w:rPr>
            </w:pPr>
            <w:r>
              <w:rPr>
                <w:rFonts w:ascii="Arial" w:cs="Arial" w:eastAsia="Arial" w:hAnsi="Arial"/>
                <w:sz w:val="172"/>
                <w:szCs w:val="172"/>
                <w:color w:val="DCE1E1"/>
              </w:rPr>
              <w:t>Digital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435610</wp:posOffset>
            </wp:positionV>
            <wp:extent cx="4763" cy="5076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a:extLst>
                        <a:ext uri="{28A0092B-C50C-407E-A947-70E740481C1C}"/>
                      </a:extLst>
                    </a:blip>
                    <a:srcRect/>
                    <a:stretch>
                      <a:fillRect/>
                    </a:stretch>
                  </pic:blipFill>
                  <pic:spPr bwMode="auto">
                    <a:xfrm>
                      <a:off x="0" y="0"/>
                      <a:ext cx="4763" cy="5076190"/>
                    </a:xfrm>
                    <a:prstGeom prst="rect">
                      <a:avLst/>
                    </a:prstGeom>
                    <a:noFill/>
                  </pic:spPr>
                </pic:pic>
              </a:graphicData>
            </a:graphic>
          </wp:anchor>
        </w:drawing>
      </w:r>
    </w:p>
    <w:p>
      <w:pPr>
        <w:sectPr>
          <w:pgSz w:w="12060" w:h="15660" w:orient="portrait"/>
          <w:cols w:equalWidth="0" w:num="1">
            <w:col w:w="11240"/>
          </w:cols>
          <w:pgMar w:left="820" w:top="837" w:right="0"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right="40"/>
        <w:spacing w:after="0"/>
        <w:rPr>
          <w:sz w:val="20"/>
          <w:szCs w:val="20"/>
          <w:color w:val="auto"/>
        </w:rPr>
      </w:pPr>
      <w:r>
        <w:rPr>
          <w:rFonts w:ascii="Arial" w:cs="Arial" w:eastAsia="Arial" w:hAnsi="Arial"/>
          <w:sz w:val="63"/>
          <w:szCs w:val="63"/>
          <w:color w:val="0014DC"/>
        </w:rPr>
        <w:t>Building solutions for a new era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Digital adoption is making a material impact in our industry, reducing cycle times and risk, accelerating returns, and increasing productivity while lowering costs and carbon emissions. Customers are adopting our industry-leading digital platform and edge solutions in the field to solve new challenges and improve operational performance.</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As the established industry leader in software, more than 85 percent of the world’s top-100 oil and gas producers depend upon one or more of our software applications. Early on, we saw the emerging digital opportunity and introduced the industry’s first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integrated cloud platform, Delfi,</w:t>
      </w:r>
    </w:p>
    <w:p>
      <w:pPr>
        <w:spacing w:after="0" w:line="10" w:lineRule="exact"/>
        <w:rPr>
          <w:sz w:val="20"/>
          <w:szCs w:val="20"/>
          <w:color w:val="auto"/>
        </w:rPr>
      </w:pPr>
    </w:p>
    <w:p>
      <w:pPr>
        <w:ind w:right="740"/>
        <w:spacing w:after="0" w:line="269" w:lineRule="auto"/>
        <w:rPr>
          <w:sz w:val="20"/>
          <w:szCs w:val="20"/>
          <w:color w:val="auto"/>
        </w:rPr>
      </w:pPr>
      <w:r>
        <w:rPr>
          <w:rFonts w:ascii="Arial" w:cs="Arial" w:eastAsia="Arial" w:hAnsi="Arial"/>
          <w:sz w:val="19"/>
          <w:szCs w:val="19"/>
          <w:color w:val="auto"/>
        </w:rPr>
        <w:t>in 2017. The Delfi platform provides data coverage across the full upstream value chain. It connects the key processes through exploration, development, and production, and it connects our customers’ planning activities on the cloud to their operations on the edge.</w:t>
      </w:r>
    </w:p>
    <w:p>
      <w:pPr>
        <w:spacing w:after="0" w:line="74" w:lineRule="exact"/>
        <w:rPr>
          <w:sz w:val="20"/>
          <w:szCs w:val="20"/>
          <w:color w:val="auto"/>
        </w:rPr>
      </w:pPr>
    </w:p>
    <w:p>
      <w:pPr>
        <w:ind w:right="860"/>
        <w:spacing w:after="0" w:line="269" w:lineRule="auto"/>
        <w:rPr>
          <w:sz w:val="20"/>
          <w:szCs w:val="20"/>
          <w:color w:val="auto"/>
        </w:rPr>
      </w:pPr>
      <w:r>
        <w:rPr>
          <w:rFonts w:ascii="Arial" w:cs="Arial" w:eastAsia="Arial" w:hAnsi="Arial"/>
          <w:sz w:val="19"/>
          <w:szCs w:val="19"/>
          <w:color w:val="auto"/>
        </w:rPr>
        <w:t>On this data foundation, we’ve built a secure environment, connecting users to one another for collaboration across boundaries and to our industry-leading engines and simulators, which leverage the power of cloud computing to drive transformational levels of efficiency.</w:t>
      </w:r>
    </w:p>
    <w:p>
      <w:pPr>
        <w:spacing w:after="0" w:line="4" w:lineRule="exact"/>
        <w:rPr>
          <w:sz w:val="20"/>
          <w:szCs w:val="20"/>
          <w:color w:val="auto"/>
        </w:rPr>
      </w:pPr>
    </w:p>
    <w:p>
      <w:pPr>
        <w:jc w:val="right"/>
        <w:ind w:right="640"/>
        <w:spacing w:after="0"/>
        <w:rPr>
          <w:sz w:val="20"/>
          <w:szCs w:val="20"/>
          <w:color w:val="auto"/>
        </w:rPr>
      </w:pPr>
      <w:r>
        <w:rPr>
          <w:rFonts w:ascii="Arial" w:cs="Arial" w:eastAsia="Arial" w:hAnsi="Arial"/>
          <w:sz w:val="28"/>
          <w:szCs w:val="28"/>
          <w:b w:val="1"/>
          <w:bCs w:val="1"/>
          <w:color w:val="0014DC"/>
        </w:rPr>
        <w:t>»</w:t>
      </w:r>
    </w:p>
    <w:p>
      <w:pPr>
        <w:spacing w:after="0" w:line="200" w:lineRule="exact"/>
        <w:rPr>
          <w:sz w:val="20"/>
          <w:szCs w:val="20"/>
          <w:color w:val="auto"/>
        </w:rPr>
      </w:pPr>
    </w:p>
    <w:p>
      <w:pPr>
        <w:sectPr>
          <w:pgSz w:w="12060" w:h="15660" w:orient="portrait"/>
          <w:cols w:equalWidth="0" w:num="3">
            <w:col w:w="2940" w:space="720"/>
            <w:col w:w="3260" w:space="420"/>
            <w:col w:w="3900"/>
          </w:cols>
          <w:pgMar w:left="820" w:top="837" w:right="0" w:bottom="65" w:gutter="0" w:footer="0" w:header="0"/>
          <w:type w:val="continuous"/>
        </w:sectPr>
      </w:pPr>
    </w:p>
    <w:p>
      <w:pPr>
        <w:spacing w:after="0" w:line="365" w:lineRule="exact"/>
        <w:rPr>
          <w:sz w:val="20"/>
          <w:szCs w:val="20"/>
          <w:color w:val="auto"/>
        </w:rPr>
      </w:pPr>
    </w:p>
    <w:p>
      <w:pPr>
        <w:ind w:left="10360"/>
        <w:spacing w:after="0"/>
        <w:rPr>
          <w:sz w:val="20"/>
          <w:szCs w:val="20"/>
          <w:color w:val="auto"/>
        </w:rPr>
      </w:pPr>
      <w:r>
        <w:rPr>
          <w:rFonts w:ascii="Arial" w:cs="Arial" w:eastAsia="Arial" w:hAnsi="Arial"/>
          <w:sz w:val="20"/>
          <w:szCs w:val="20"/>
          <w:color w:val="0033A1"/>
        </w:rPr>
        <w:t>13</w:t>
      </w:r>
    </w:p>
    <w:p>
      <w:pPr>
        <w:sectPr>
          <w:pgSz w:w="12060" w:h="15660" w:orient="portrait"/>
          <w:cols w:equalWidth="0" w:num="1">
            <w:col w:w="11240"/>
          </w:cols>
          <w:pgMar w:left="820" w:top="837" w:right="0" w:bottom="65" w:gutter="0" w:footer="0" w:header="0"/>
          <w:type w:val="continuous"/>
        </w:sectPr>
      </w:pPr>
    </w:p>
    <w:bookmarkStart w:id="15" w:name="page16"/>
    <w:bookmarkEnd w:id="15"/>
    <w:p>
      <w:pPr>
        <w:ind w:left="4"/>
        <w:spacing w:after="0"/>
        <w:rPr>
          <w:sz w:val="20"/>
          <w:szCs w:val="20"/>
          <w:color w:val="auto"/>
        </w:rPr>
      </w:pPr>
      <w:r>
        <w:rPr>
          <w:rFonts w:ascii="Arial" w:cs="Arial" w:eastAsia="Arial" w:hAnsi="Arial"/>
          <w:sz w:val="26"/>
          <w:szCs w:val="26"/>
          <w:b w:val="1"/>
          <w:bCs w:val="1"/>
          <w:color w:val="0014DC"/>
        </w:rPr>
        <w:t xml:space="preserve">Strategic performance </w:t>
      </w:r>
      <w:r>
        <w:rPr>
          <w:rFonts w:ascii="Arial" w:cs="Arial" w:eastAsia="Arial" w:hAnsi="Arial"/>
          <w:sz w:val="26"/>
          <w:szCs w:val="26"/>
          <w:color w:val="0014DC"/>
        </w:rPr>
        <w:t>Digital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775970</wp:posOffset>
            </wp:positionV>
            <wp:extent cx="7658100" cy="46653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1">
                      <a:extLst>
                        <a:ext uri="{28A0092B-C50C-407E-A947-70E740481C1C}"/>
                      </a:extLst>
                    </a:blip>
                    <a:srcRect/>
                    <a:stretch>
                      <a:fillRect/>
                    </a:stretch>
                  </pic:blipFill>
                  <pic:spPr bwMode="auto">
                    <a:xfrm>
                      <a:off x="0" y="0"/>
                      <a:ext cx="7658100" cy="4665345"/>
                    </a:xfrm>
                    <a:prstGeom prst="rect">
                      <a:avLst/>
                    </a:prstGeom>
                    <a:noFill/>
                  </pic:spPr>
                </pic:pic>
              </a:graphicData>
            </a:graphic>
          </wp:anchor>
        </w:drawing>
      </w:r>
    </w:p>
    <w:p>
      <w:pPr>
        <w:sectPr>
          <w:pgSz w:w="12060" w:h="15660" w:orient="portrait"/>
          <w:cols w:equalWidth="0" w:num="1">
            <w:col w:w="10544"/>
          </w:cols>
          <w:pgMar w:left="636" w:top="837" w:right="88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
        <w:spacing w:after="0" w:line="263" w:lineRule="auto"/>
        <w:rPr>
          <w:sz w:val="20"/>
          <w:szCs w:val="20"/>
          <w:color w:val="auto"/>
        </w:rPr>
      </w:pPr>
      <w:r>
        <w:rPr>
          <w:rFonts w:ascii="Arial" w:cs="Arial" w:eastAsia="Arial" w:hAnsi="Arial"/>
          <w:sz w:val="19"/>
          <w:szCs w:val="19"/>
          <w:color w:val="auto"/>
        </w:rPr>
        <w:t>Since launch, we have acquired more than 260 customers, 65 of which were added in 2022. In March 2022, we announced an enterprise-wide deployment of our Delfi cognitive E&amp;P environment for ConocoPhillips to bring its reservoir engineering modeling, data and workflows</w:t>
      </w:r>
    </w:p>
    <w:p>
      <w:pPr>
        <w:spacing w:after="0" w:line="5" w:lineRule="exact"/>
        <w:rPr>
          <w:sz w:val="20"/>
          <w:szCs w:val="20"/>
          <w:color w:val="auto"/>
        </w:rPr>
      </w:pPr>
    </w:p>
    <w:p>
      <w:pPr>
        <w:ind w:left="4"/>
        <w:spacing w:after="0"/>
        <w:rPr>
          <w:sz w:val="20"/>
          <w:szCs w:val="20"/>
          <w:color w:val="auto"/>
        </w:rPr>
      </w:pPr>
      <w:r>
        <w:rPr>
          <w:rFonts w:ascii="Arial" w:cs="Arial" w:eastAsia="Arial" w:hAnsi="Arial"/>
          <w:sz w:val="20"/>
          <w:szCs w:val="20"/>
          <w:color w:val="auto"/>
        </w:rPr>
        <w:t>to the cloud.</w:t>
      </w:r>
    </w:p>
    <w:p>
      <w:pPr>
        <w:spacing w:after="0" w:line="123" w:lineRule="exact"/>
        <w:rPr>
          <w:sz w:val="20"/>
          <w:szCs w:val="20"/>
          <w:color w:val="auto"/>
        </w:rPr>
      </w:pPr>
    </w:p>
    <w:p>
      <w:pPr>
        <w:ind w:left="4"/>
        <w:spacing w:after="0" w:line="246" w:lineRule="auto"/>
        <w:rPr>
          <w:sz w:val="20"/>
          <w:szCs w:val="20"/>
          <w:color w:val="auto"/>
        </w:rPr>
      </w:pPr>
      <w:r>
        <w:rPr>
          <w:rFonts w:ascii="Arial" w:cs="Arial" w:eastAsia="Arial" w:hAnsi="Arial"/>
          <w:sz w:val="20"/>
          <w:szCs w:val="20"/>
          <w:color w:val="auto"/>
        </w:rPr>
        <w:t>In September 2022, we commercially launched the SLB Enterprise Data Solution, which is powered by Microsoft Energy Data Services. Aligned with the OSDU</w:t>
      </w:r>
      <w:r>
        <w:rPr>
          <w:rFonts w:ascii="Arial" w:cs="Arial" w:eastAsia="Arial" w:hAnsi="Arial"/>
          <w:sz w:val="24"/>
          <w:szCs w:val="24"/>
          <w:color w:val="auto"/>
        </w:rPr>
        <w:t>™</w:t>
      </w:r>
      <w:r>
        <w:rPr>
          <w:rFonts w:ascii="Arial" w:cs="Arial" w:eastAsia="Arial" w:hAnsi="Arial"/>
          <w:sz w:val="20"/>
          <w:szCs w:val="20"/>
          <w:color w:val="auto"/>
        </w:rPr>
        <w:t xml:space="preserve"> Technical Standard—a new open industry standard for energy data—this solution makes subsurface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40"/>
        <w:spacing w:after="0" w:line="276" w:lineRule="auto"/>
        <w:rPr>
          <w:sz w:val="20"/>
          <w:szCs w:val="20"/>
          <w:color w:val="auto"/>
        </w:rPr>
      </w:pPr>
      <w:r>
        <w:rPr>
          <w:rFonts w:ascii="Arial" w:cs="Arial" w:eastAsia="Arial" w:hAnsi="Arial"/>
          <w:sz w:val="19"/>
          <w:szCs w:val="19"/>
          <w:color w:val="auto"/>
        </w:rPr>
        <w:t>accessible on an unprecedented scale to accelerate data-driven decision making at all levels of an organization.</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Customers are realizing that partnerships are critical to unlock the value from their own proprietary workflows and intellectual property. As we increase the range of our apps on the cloud, we’re demonstrating that a fully integrated ecosystem of data, platform, and apps can unlock tremendous value for our customers’ businesses. In September 2022, we launched a Digital Platform Partner Program, which will allow independent software vendors to leverage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openness and extensibility of SLB’s digital platform to build new applications and software and offer them to the market.</w:t>
      </w:r>
    </w:p>
    <w:p>
      <w:pPr>
        <w:spacing w:after="0" w:line="84"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In 2022, SLB also expanded its Innovation Factori network with the opening of new centers in Houston, USA; Oslo, Norway; Kuala Lumpur, Malaysia; and Abu Dhabi, UAE, bringing our total network to six centers worldwide. Through Innovation Factori, customers can turn promising concepts into fully deployed, enterprise-scale AI and digital solutions that extract maximum value from data.</w:t>
      </w:r>
    </w:p>
    <w:p>
      <w:pPr>
        <w:spacing w:after="0" w:line="450" w:lineRule="exact"/>
        <w:rPr>
          <w:sz w:val="20"/>
          <w:szCs w:val="20"/>
          <w:color w:val="auto"/>
        </w:rPr>
      </w:pPr>
    </w:p>
    <w:p>
      <w:pPr>
        <w:sectPr>
          <w:pgSz w:w="12060" w:h="15660" w:orient="portrait"/>
          <w:cols w:equalWidth="0" w:num="3">
            <w:col w:w="3184" w:space="480"/>
            <w:col w:w="3260" w:space="420"/>
            <w:col w:w="3200"/>
          </w:cols>
          <w:pgMar w:left="636" w:top="837" w:right="880" w:bottom="77" w:gutter="0" w:footer="0" w:header="0"/>
          <w:type w:val="continuous"/>
        </w:sectPr>
      </w:pPr>
    </w:p>
    <w:p>
      <w:pPr>
        <w:spacing w:after="0" w:line="294" w:lineRule="exact"/>
        <w:rPr>
          <w:sz w:val="20"/>
          <w:szCs w:val="20"/>
          <w:color w:val="auto"/>
        </w:rPr>
      </w:pPr>
    </w:p>
    <w:p>
      <w:pPr>
        <w:ind w:left="824" w:hanging="824"/>
        <w:spacing w:after="0"/>
        <w:tabs>
          <w:tab w:leader="none" w:pos="824" w:val="left"/>
        </w:tabs>
        <w:numPr>
          <w:ilvl w:val="0"/>
          <w:numId w:val="16"/>
        </w:numPr>
        <w:rPr>
          <w:rFonts w:ascii="Arial" w:cs="Arial" w:eastAsia="Arial" w:hAnsi="Arial"/>
          <w:sz w:val="19"/>
          <w:szCs w:val="19"/>
          <w:color w:val="0033A1"/>
        </w:rPr>
      </w:pPr>
      <w:r>
        <w:rPr>
          <w:rFonts w:ascii="Arial" w:cs="Arial" w:eastAsia="Arial" w:hAnsi="Arial"/>
          <w:sz w:val="19"/>
          <w:szCs w:val="19"/>
          <w:color w:val="0033A1"/>
        </w:rPr>
        <w:t>SLB 2022 Annual Report</w:t>
      </w:r>
    </w:p>
    <w:p>
      <w:pPr>
        <w:sectPr>
          <w:pgSz w:w="12060" w:h="15660" w:orient="portrait"/>
          <w:cols w:equalWidth="0" w:num="1">
            <w:col w:w="10544"/>
          </w:cols>
          <w:pgMar w:left="636" w:top="837" w:right="880" w:bottom="77"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Opportunities to leverage our digital platform extend beyond oil and gas to adjacent markets like carbon, where major capability gaps prevent reliable emissions insight across global operations in hard-to-abate industries such as chemicals, utilities, cement, and steel. A great deal of what we have built in Delfi can be tailored to deliver an open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20"/>
          <w:szCs w:val="20"/>
          <w:color w:val="FFFFFF"/>
        </w:rPr>
        <w:t>I N F O C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-3932555</wp:posOffset>
            </wp:positionV>
            <wp:extent cx="5844540" cy="9944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2">
                      <a:extLst>
                        <a:ext uri="{28A0092B-C50C-407E-A947-70E740481C1C}"/>
                      </a:extLst>
                    </a:blip>
                    <a:srcRect/>
                    <a:stretch>
                      <a:fillRect/>
                    </a:stretch>
                  </pic:blipFill>
                  <pic:spPr bwMode="auto">
                    <a:xfrm>
                      <a:off x="0" y="0"/>
                      <a:ext cx="5844540" cy="99441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100"/>
        <w:spacing w:after="0" w:line="265" w:lineRule="auto"/>
        <w:rPr>
          <w:sz w:val="20"/>
          <w:szCs w:val="20"/>
          <w:color w:val="auto"/>
        </w:rPr>
      </w:pPr>
      <w:r>
        <w:rPr>
          <w:rFonts w:ascii="Arial" w:cs="Arial" w:eastAsia="Arial" w:hAnsi="Arial"/>
          <w:sz w:val="45"/>
          <w:szCs w:val="45"/>
          <w:color w:val="00D2DC"/>
        </w:rPr>
        <w:t>Delivering data-driven solutions at scale</w:t>
      </w:r>
    </w:p>
    <w:p>
      <w:pPr>
        <w:spacing w:after="0" w:line="229" w:lineRule="exact"/>
        <w:rPr>
          <w:sz w:val="20"/>
          <w:szCs w:val="20"/>
          <w:color w:val="auto"/>
        </w:rPr>
      </w:pPr>
    </w:p>
    <w:p>
      <w:pPr>
        <w:sectPr>
          <w:pgSz w:w="12060" w:h="15660" w:orient="portrait"/>
          <w:cols w:equalWidth="0" w:num="2">
            <w:col w:w="3320" w:space="720"/>
            <w:col w:w="6560"/>
          </w:cols>
          <w:pgMar w:left="820" w:top="1440" w:right="640" w:bottom="65" w:gutter="0" w:footer="0" w:header="0"/>
        </w:sectPr>
      </w:pPr>
    </w:p>
    <w:p>
      <w:pPr>
        <w:ind w:right="140"/>
        <w:spacing w:after="0" w:line="256" w:lineRule="auto"/>
        <w:rPr>
          <w:sz w:val="20"/>
          <w:szCs w:val="20"/>
          <w:color w:val="auto"/>
        </w:rPr>
      </w:pPr>
      <w:r>
        <w:rPr>
          <w:rFonts w:ascii="Arial" w:cs="Arial" w:eastAsia="Arial" w:hAnsi="Arial"/>
          <w:sz w:val="19"/>
          <w:szCs w:val="19"/>
          <w:color w:val="auto"/>
        </w:rPr>
        <w:t>and extensible digital sustainability platform, which will enable companies to collect, measure, report and verify their emissions, while also evaluating different decarbonization pathways.</w:t>
      </w:r>
    </w:p>
    <w:p>
      <w:pPr>
        <w:spacing w:after="0" w:line="8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Saudi Aramco is the first industry partner to collaborate with us on this initiative to deliver a digital sustainability ecosystem that will enable global organizations to manage their carbon emissions and realize ambitious sustainability goals.</w:t>
      </w:r>
    </w:p>
    <w:p>
      <w:pPr>
        <w:spacing w:after="0" w:line="61"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color w:val="auto"/>
        </w:rPr>
        <w:t>In September, SLB’s Digital Forum brought together more than 1,250 industry leaders, domain experts, and digital professionals and showcased the power of digital to accelerate the industry’s transformation.</w:t>
      </w:r>
    </w:p>
    <w:p>
      <w:pPr>
        <w:spacing w:after="0" w:line="73" w:lineRule="exact"/>
        <w:rPr>
          <w:sz w:val="20"/>
          <w:szCs w:val="20"/>
          <w:color w:val="auto"/>
        </w:rPr>
      </w:pPr>
    </w:p>
    <w:p>
      <w:pPr>
        <w:ind w:right="560"/>
        <w:spacing w:after="0" w:line="271" w:lineRule="auto"/>
        <w:rPr>
          <w:sz w:val="20"/>
          <w:szCs w:val="20"/>
          <w:color w:val="auto"/>
        </w:rPr>
      </w:pPr>
      <w:r>
        <w:rPr>
          <w:rFonts w:ascii="Arial" w:cs="Arial" w:eastAsia="Arial" w:hAnsi="Arial"/>
          <w:sz w:val="19"/>
          <w:szCs w:val="19"/>
          <w:color w:val="auto"/>
        </w:rPr>
        <w:t>We are at an inflection point, and Digital is helping us solve the challenge of energy affordability, sustainability, and security, supporting our Core and New Energy growth engines.</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8"/>
          <w:szCs w:val="18"/>
          <w:b w:val="1"/>
          <w:bCs w:val="1"/>
          <w:color w:val="FFFFFF"/>
        </w:rPr>
        <w:t>We are continuing to accelerate adoption of our digital platform to expand coverage across the entire technical workforce of our industry, including the subsurface, where SLB is the recognized global leader in modeling and simulation.</w:t>
      </w:r>
    </w:p>
    <w:p>
      <w:pPr>
        <w:spacing w:after="0" w:line="61" w:lineRule="exact"/>
        <w:rPr>
          <w:sz w:val="20"/>
          <w:szCs w:val="20"/>
          <w:color w:val="auto"/>
        </w:rPr>
      </w:pPr>
    </w:p>
    <w:p>
      <w:pPr>
        <w:spacing w:after="0" w:line="252" w:lineRule="auto"/>
        <w:rPr>
          <w:sz w:val="20"/>
          <w:szCs w:val="20"/>
          <w:color w:val="auto"/>
        </w:rPr>
      </w:pPr>
      <w:r>
        <w:rPr>
          <w:rFonts w:ascii="Arial" w:cs="Arial" w:eastAsia="Arial" w:hAnsi="Arial"/>
          <w:sz w:val="20"/>
          <w:szCs w:val="20"/>
          <w:color w:val="FFFFFF"/>
        </w:rPr>
        <w:t>In 2022, we formed a strategic partnership with Cognite to integrate SLB’s Enterprise Data Solution for subsurface with Cognite Data Fusion</w:t>
      </w:r>
      <w:r>
        <w:rPr>
          <w:rFonts w:ascii="Arial" w:cs="Arial" w:eastAsia="Arial" w:hAnsi="Arial"/>
          <w:sz w:val="11"/>
          <w:szCs w:val="11"/>
          <w:color w:val="FFFFFF"/>
        </w:rPr>
        <w:t>®</w:t>
      </w:r>
      <w:r>
        <w:rPr>
          <w:rFonts w:ascii="Arial" w:cs="Arial" w:eastAsia="Arial" w:hAnsi="Arial"/>
          <w:sz w:val="20"/>
          <w:szCs w:val="20"/>
          <w:color w:val="FFFFFF"/>
        </w:rPr>
        <w:t>, Cognite’s leading open industrial DataOps platform, that will enable customers to integrate data from reservoirs, wells, and facilities in a single, open platform, and leverage embedded AI and advanced analytics tools to optimize production, reduce costs, and decrease operational footprint.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200" w:hanging="112"/>
        <w:spacing w:after="0" w:line="245" w:lineRule="auto"/>
        <w:rPr>
          <w:sz w:val="20"/>
          <w:szCs w:val="20"/>
          <w:color w:val="auto"/>
        </w:rPr>
      </w:pPr>
      <w:r>
        <w:rPr>
          <w:rFonts w:ascii="Arial" w:cs="Arial" w:eastAsia="Arial" w:hAnsi="Arial"/>
          <w:sz w:val="26"/>
          <w:szCs w:val="26"/>
          <w:color w:val="00D2DC"/>
        </w:rPr>
        <w:t>“Together, we will make vast quantities of data easily available for customers to use and innovate at scale quickly, to increase production, improve financial performance, and achieve sustainability goals.“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-2058670</wp:posOffset>
                </wp:positionV>
                <wp:extent cx="181483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4830" cy="4763"/>
                        </a:xfrm>
                        <a:prstGeom prst="line">
                          <a:avLst/>
                        </a:prstGeom>
                        <a:solidFill>
                          <a:srgbClr val="FFFFFF"/>
                        </a:solidFill>
                        <a:ln w="76200">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2.0999pt" to="143.25pt,-162.0999pt" o:allowincell="f" strokecolor="#FFFFFF" strokeweight="6pt"/>
            </w:pict>
          </mc:Fallback>
        </mc:AlternateConten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Rajeev Sonthalia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FFFFFF"/>
        </w:rPr>
        <w:t>President, Digital &amp; Integration</w:t>
      </w:r>
    </w:p>
    <w:p>
      <w:pPr>
        <w:spacing w:after="0" w:line="2307" w:lineRule="exact"/>
        <w:rPr>
          <w:sz w:val="20"/>
          <w:szCs w:val="20"/>
          <w:color w:val="auto"/>
        </w:rPr>
      </w:pPr>
    </w:p>
    <w:p>
      <w:pPr>
        <w:sectPr>
          <w:pgSz w:w="12060" w:h="15660" w:orient="portrait"/>
          <w:cols w:equalWidth="0" w:num="3">
            <w:col w:w="3360" w:space="720"/>
            <w:col w:w="3260" w:space="400"/>
            <w:col w:w="2860"/>
          </w:cols>
          <w:pgMar w:left="820" w:top="1440" w:right="640" w:bottom="65"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10360"/>
        <w:spacing w:after="0"/>
        <w:rPr>
          <w:sz w:val="20"/>
          <w:szCs w:val="20"/>
          <w:color w:val="auto"/>
        </w:rPr>
      </w:pPr>
      <w:r>
        <w:rPr>
          <w:rFonts w:ascii="Arial" w:cs="Arial" w:eastAsia="Arial" w:hAnsi="Arial"/>
          <w:sz w:val="20"/>
          <w:szCs w:val="20"/>
          <w:color w:val="FFFFFF"/>
        </w:rPr>
        <w:t>15</w:t>
      </w:r>
    </w:p>
    <w:p>
      <w:pPr>
        <w:sectPr>
          <w:pgSz w:w="12060" w:h="15660" w:orient="portrait"/>
          <w:cols w:equalWidth="0" w:num="1">
            <w:col w:w="10600"/>
          </w:cols>
          <w:pgMar w:left="820" w:top="1440" w:right="640" w:bottom="65" w:gutter="0" w:footer="0" w:header="0"/>
          <w:type w:val="continuous"/>
        </w:sectPr>
      </w:pPr>
    </w:p>
    <w:bookmarkStart w:id="17" w:name="page18"/>
    <w:bookmarkEnd w:id="17"/>
    <w:p>
      <w:pPr>
        <w:ind w:left="4"/>
        <w:spacing w:after="0"/>
        <w:rPr>
          <w:sz w:val="20"/>
          <w:szCs w:val="20"/>
          <w:color w:val="auto"/>
        </w:rPr>
      </w:pPr>
      <w:r>
        <w:rPr>
          <w:rFonts w:ascii="Arial" w:cs="Arial" w:eastAsia="Arial" w:hAnsi="Arial"/>
          <w:sz w:val="28"/>
          <w:szCs w:val="28"/>
          <w:b w:val="1"/>
          <w:bCs w:val="1"/>
          <w:color w:val="0014DC"/>
        </w:rPr>
        <w:t xml:space="preserve">Strategic performance </w:t>
      </w:r>
      <w:r>
        <w:rPr>
          <w:rFonts w:ascii="Arial" w:cs="Arial" w:eastAsia="Arial" w:hAnsi="Arial"/>
          <w:sz w:val="28"/>
          <w:szCs w:val="28"/>
          <w:color w:val="0014DC"/>
        </w:rPr>
        <w:t>New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3766"/>
        </w:trPr>
        <w:tc>
          <w:tcPr>
            <w:tcW w:w="2280" w:type="dxa"/>
            <w:vAlign w:val="bottom"/>
            <w:textDirection w:val="tbRl"/>
          </w:tcPr>
          <w:p>
            <w:pPr>
              <w:jc w:val="right"/>
              <w:spacing w:after="0"/>
              <w:rPr>
                <w:sz w:val="20"/>
                <w:szCs w:val="20"/>
                <w:color w:val="auto"/>
              </w:rPr>
            </w:pPr>
            <w:r>
              <w:rPr>
                <w:rFonts w:ascii="Arial" w:cs="Arial" w:eastAsia="Arial" w:hAnsi="Arial"/>
                <w:sz w:val="208"/>
                <w:szCs w:val="208"/>
                <w:color w:val="DCE1E1"/>
                <w:w w:val="90"/>
              </w:rPr>
              <w:t>New</w:t>
            </w:r>
          </w:p>
        </w:tc>
        <w:tc>
          <w:tcPr>
            <w:tcW w:w="4460" w:type="dxa"/>
            <w:vAlign w:val="bottom"/>
          </w:tcPr>
          <w:p>
            <w:pPr>
              <w:spacing w:after="0"/>
              <w:rPr>
                <w:sz w:val="24"/>
                <w:szCs w:val="24"/>
                <w:color w:val="auto"/>
              </w:rPr>
            </w:pPr>
          </w:p>
        </w:tc>
      </w:tr>
      <w:tr>
        <w:trPr>
          <w:trHeight w:val="2659"/>
        </w:trPr>
        <w:tc>
          <w:tcPr>
            <w:tcW w:w="2280" w:type="dxa"/>
            <w:vAlign w:val="bottom"/>
            <w:textDirection w:val="tbRl"/>
          </w:tcPr>
          <w:p>
            <w:pPr>
              <w:jc w:val="right"/>
              <w:ind w:left="818"/>
              <w:spacing w:after="0"/>
              <w:rPr>
                <w:sz w:val="20"/>
                <w:szCs w:val="20"/>
                <w:color w:val="auto"/>
              </w:rPr>
            </w:pPr>
            <w:r>
              <w:rPr>
                <w:rFonts w:ascii="Arial" w:cs="Arial" w:eastAsia="Arial" w:hAnsi="Arial"/>
                <w:sz w:val="119"/>
                <w:szCs w:val="119"/>
                <w:color w:val="DCE1E1"/>
                <w:w w:val="70"/>
              </w:rPr>
              <w:t>Energy</w:t>
            </w:r>
          </w:p>
        </w:tc>
        <w:tc>
          <w:tcPr>
            <w:tcW w:w="4460" w:type="dxa"/>
            <w:vAlign w:val="bottom"/>
          </w:tcPr>
          <w:p>
            <w:pPr>
              <w:ind w:left="100"/>
              <w:spacing w:after="0"/>
              <w:rPr>
                <w:sz w:val="20"/>
                <w:szCs w:val="20"/>
                <w:color w:val="auto"/>
              </w:rPr>
            </w:pPr>
            <w:r>
              <w:rPr>
                <w:rFonts w:ascii="Arial" w:cs="Arial" w:eastAsia="Arial" w:hAnsi="Arial"/>
                <w:sz w:val="66"/>
                <w:szCs w:val="66"/>
                <w:color w:val="0014DC"/>
              </w:rPr>
              <w:t>Embracing</w:t>
            </w:r>
          </w:p>
        </w:tc>
      </w:tr>
      <w:tr>
        <w:trPr>
          <w:trHeight w:val="839"/>
        </w:trPr>
        <w:tc>
          <w:tcPr>
            <w:tcW w:w="2280" w:type="dxa"/>
            <w:vAlign w:val="bottom"/>
          </w:tcPr>
          <w:p>
            <w:pPr>
              <w:spacing w:after="0"/>
              <w:rPr>
                <w:sz w:val="24"/>
                <w:szCs w:val="24"/>
                <w:color w:val="auto"/>
              </w:rPr>
            </w:pPr>
          </w:p>
        </w:tc>
        <w:tc>
          <w:tcPr>
            <w:tcW w:w="4460" w:type="dxa"/>
            <w:vAlign w:val="bottom"/>
          </w:tcPr>
          <w:p>
            <w:pPr>
              <w:ind w:left="100"/>
              <w:spacing w:after="0"/>
              <w:rPr>
                <w:sz w:val="20"/>
                <w:szCs w:val="20"/>
                <w:color w:val="auto"/>
              </w:rPr>
            </w:pPr>
            <w:r>
              <w:rPr>
                <w:rFonts w:ascii="Arial" w:cs="Arial" w:eastAsia="Arial" w:hAnsi="Arial"/>
                <w:sz w:val="66"/>
                <w:szCs w:val="66"/>
                <w:color w:val="0014DC"/>
                <w:w w:val="99"/>
              </w:rPr>
              <w:t>the opportunity</w:t>
            </w:r>
          </w:p>
        </w:tc>
      </w:tr>
      <w:tr>
        <w:trPr>
          <w:trHeight w:val="814"/>
        </w:trPr>
        <w:tc>
          <w:tcPr>
            <w:tcW w:w="2280" w:type="dxa"/>
            <w:vAlign w:val="bottom"/>
          </w:tcPr>
          <w:p>
            <w:pPr>
              <w:spacing w:after="0"/>
              <w:rPr>
                <w:sz w:val="24"/>
                <w:szCs w:val="24"/>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rPr>
              <w:t>The energy transition is</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rPr>
              <w:t>accelerating. It has moved</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rPr>
              <w:t>rapidly from talk and</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rPr>
              <w:t>commitments to policy, laws,</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rPr>
              <w:t>and investment. For SLB, this</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rPr>
              <w:t>is an immense opportunity to</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w w:val="93"/>
              </w:rPr>
              <w:t>provide the innovation and energy</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rPr>
              <w:t>technologies at scale needed to</w:t>
            </w:r>
          </w:p>
        </w:tc>
      </w:tr>
      <w:tr>
        <w:trPr>
          <w:trHeight w:val="254"/>
        </w:trPr>
        <w:tc>
          <w:tcPr>
            <w:tcW w:w="2280" w:type="dxa"/>
            <w:vAlign w:val="bottom"/>
          </w:tcPr>
          <w:p>
            <w:pPr>
              <w:spacing w:after="0"/>
              <w:rPr>
                <w:sz w:val="22"/>
                <w:szCs w:val="22"/>
                <w:color w:val="auto"/>
              </w:rPr>
            </w:pPr>
          </w:p>
        </w:tc>
        <w:tc>
          <w:tcPr>
            <w:tcW w:w="4460" w:type="dxa"/>
            <w:vAlign w:val="bottom"/>
          </w:tcPr>
          <w:p>
            <w:pPr>
              <w:ind w:left="1380"/>
              <w:spacing w:after="0"/>
              <w:rPr>
                <w:sz w:val="20"/>
                <w:szCs w:val="20"/>
                <w:color w:val="auto"/>
              </w:rPr>
            </w:pPr>
            <w:r>
              <w:rPr>
                <w:rFonts w:ascii="Arial" w:cs="Arial" w:eastAsia="Arial" w:hAnsi="Arial"/>
                <w:sz w:val="20"/>
                <w:szCs w:val="20"/>
                <w:b w:val="1"/>
                <w:bCs w:val="1"/>
                <w:color w:val="auto"/>
                <w:w w:val="96"/>
              </w:rPr>
              <w:t>reach net-zero carbon emissions.</w:t>
            </w:r>
          </w:p>
        </w:tc>
      </w:tr>
      <w:tr>
        <w:trPr>
          <w:trHeight w:val="340"/>
        </w:trPr>
        <w:tc>
          <w:tcPr>
            <w:tcW w:w="2280" w:type="dxa"/>
            <w:vAlign w:val="bottom"/>
          </w:tcPr>
          <w:p>
            <w:pPr>
              <w:spacing w:after="0"/>
              <w:rPr>
                <w:sz w:val="24"/>
                <w:szCs w:val="24"/>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rPr>
              <w:t>We are creating and scaling a</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rPr>
              <w:t>diversified portfolio of businesses</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rPr>
              <w:t>focused on decarbonization and</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rPr>
              <w:t>clean energy technology across</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w w:val="96"/>
              </w:rPr>
              <w:t>five business areas, and in 2022 we</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rPr>
              <w:t>made significant strides in building</w:t>
            </w:r>
          </w:p>
        </w:tc>
      </w:tr>
      <w:tr>
        <w:trPr>
          <w:trHeight w:val="240"/>
        </w:trPr>
        <w:tc>
          <w:tcPr>
            <w:tcW w:w="2280" w:type="dxa"/>
            <w:vAlign w:val="bottom"/>
          </w:tcPr>
          <w:p>
            <w:pPr>
              <w:spacing w:after="0"/>
              <w:rPr>
                <w:sz w:val="20"/>
                <w:szCs w:val="20"/>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w w:val="97"/>
              </w:rPr>
              <w:t>partnerships, investments, and new</w:t>
            </w:r>
          </w:p>
        </w:tc>
      </w:tr>
      <w:tr>
        <w:trPr>
          <w:trHeight w:val="254"/>
        </w:trPr>
        <w:tc>
          <w:tcPr>
            <w:tcW w:w="2280" w:type="dxa"/>
            <w:vAlign w:val="bottom"/>
          </w:tcPr>
          <w:p>
            <w:pPr>
              <w:spacing w:after="0"/>
              <w:rPr>
                <w:sz w:val="22"/>
                <w:szCs w:val="22"/>
                <w:color w:val="auto"/>
              </w:rPr>
            </w:pPr>
          </w:p>
        </w:tc>
        <w:tc>
          <w:tcPr>
            <w:tcW w:w="4460" w:type="dxa"/>
            <w:vAlign w:val="bottom"/>
          </w:tcPr>
          <w:p>
            <w:pPr>
              <w:ind w:left="1380"/>
              <w:spacing w:after="0"/>
              <w:rPr>
                <w:sz w:val="20"/>
                <w:szCs w:val="20"/>
                <w:color w:val="auto"/>
              </w:rPr>
            </w:pPr>
            <w:r>
              <w:rPr>
                <w:rFonts w:ascii="Arial" w:cs="Arial" w:eastAsia="Arial" w:hAnsi="Arial"/>
                <w:sz w:val="20"/>
                <w:szCs w:val="20"/>
                <w:color w:val="auto"/>
              </w:rPr>
              <w:t>capabilities across each of these.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-7542530</wp:posOffset>
            </wp:positionV>
            <wp:extent cx="2849880" cy="31102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3">
                      <a:extLst>
                        <a:ext uri="{28A0092B-C50C-407E-A947-70E740481C1C}"/>
                      </a:extLst>
                    </a:blip>
                    <a:srcRect/>
                    <a:stretch>
                      <a:fillRect/>
                    </a:stretch>
                  </pic:blipFill>
                  <pic:spPr bwMode="auto">
                    <a:xfrm>
                      <a:off x="0" y="0"/>
                      <a:ext cx="2849880" cy="3110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Carbon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-4229100</wp:posOffset>
            </wp:positionV>
            <wp:extent cx="2590800" cy="383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a:extLst>
                        <a:ext uri="{28A0092B-C50C-407E-A947-70E740481C1C}"/>
                      </a:extLst>
                    </a:blip>
                    <a:srcRect/>
                    <a:stretch>
                      <a:fillRect/>
                    </a:stretch>
                  </pic:blipFill>
                  <pic:spPr bwMode="auto">
                    <a:xfrm>
                      <a:off x="0" y="0"/>
                      <a:ext cx="2590800" cy="3830955"/>
                    </a:xfrm>
                    <a:prstGeom prst="rect">
                      <a:avLst/>
                    </a:prstGeom>
                    <a:noFill/>
                  </pic:spPr>
                </pic:pic>
              </a:graphicData>
            </a:graphic>
          </wp:anchor>
        </w:drawing>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Carbon Solutions leverages our strengths in both subsurface and processing equipment with enormous opportunities in carbon capture, utilization, and sequestration (CCUS), spurred by the Inflation Reduction Act in the US and national decarbonization agendas in Europe and the Middle East.</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SLB is well-positioned in the adjacent CCUS market, which is expected to grow to more than $50 billion per year by 2030, and over $250 billion by 2040. We have been in the CCUS business for more than three decades and, as of the end of 2022, are actively involved in 22 major CCUS projects globally, representing</w:t>
      </w:r>
    </w:p>
    <w:p>
      <w:pPr>
        <w:spacing w:after="0" w:line="5" w:lineRule="exact"/>
        <w:rPr>
          <w:sz w:val="20"/>
          <w:szCs w:val="20"/>
          <w:color w:val="auto"/>
        </w:rPr>
      </w:pPr>
    </w:p>
    <w:p>
      <w:pPr>
        <w:ind w:right="400"/>
        <w:spacing w:after="0" w:line="276" w:lineRule="auto"/>
        <w:rPr>
          <w:sz w:val="20"/>
          <w:szCs w:val="20"/>
          <w:color w:val="auto"/>
        </w:rPr>
      </w:pPr>
      <w:r>
        <w:rPr>
          <w:rFonts w:ascii="Arial" w:cs="Arial" w:eastAsia="Arial" w:hAnsi="Arial"/>
          <w:sz w:val="19"/>
          <w:szCs w:val="19"/>
          <w:color w:val="auto"/>
        </w:rPr>
        <w:t>175 Mtpa in abatable emissions, and providing consulting or other services to more than 50 other early-stage projects.</w:t>
      </w:r>
    </w:p>
    <w:p>
      <w:pPr>
        <w:spacing w:after="0" w:line="68" w:lineRule="exact"/>
        <w:rPr>
          <w:sz w:val="20"/>
          <w:szCs w:val="20"/>
          <w:color w:val="auto"/>
        </w:rPr>
      </w:pPr>
    </w:p>
    <w:p>
      <w:pPr>
        <w:ind w:right="400"/>
        <w:spacing w:after="0" w:line="263" w:lineRule="auto"/>
        <w:rPr>
          <w:sz w:val="20"/>
          <w:szCs w:val="20"/>
          <w:color w:val="auto"/>
        </w:rPr>
      </w:pPr>
      <w:r>
        <w:rPr>
          <w:rFonts w:ascii="Arial" w:cs="Arial" w:eastAsia="Arial" w:hAnsi="Arial"/>
          <w:sz w:val="19"/>
          <w:szCs w:val="19"/>
          <w:color w:val="auto"/>
        </w:rPr>
        <w:t>In 2022, we entered a strategic collaboration with Linde on CCUS projects to accelerate decarbonization solutions across industrial and energy sectors.</w:t>
      </w:r>
    </w:p>
    <w:p>
      <w:pPr>
        <w:spacing w:after="0" w:line="3" w:lineRule="exact"/>
        <w:rPr>
          <w:sz w:val="20"/>
          <w:szCs w:val="20"/>
          <w:color w:val="auto"/>
        </w:rPr>
      </w:pPr>
    </w:p>
    <w:p>
      <w:pPr>
        <w:ind w:right="60"/>
        <w:spacing w:after="0" w:line="283" w:lineRule="auto"/>
        <w:rPr>
          <w:sz w:val="20"/>
          <w:szCs w:val="20"/>
          <w:color w:val="auto"/>
        </w:rPr>
      </w:pPr>
      <w:r>
        <w:rPr>
          <w:rFonts w:ascii="Arial" w:cs="Arial" w:eastAsia="Arial" w:hAnsi="Arial"/>
          <w:sz w:val="19"/>
          <w:szCs w:val="19"/>
          <w:color w:val="auto"/>
        </w:rPr>
        <w:t>We also joined with RTI International to accelerate the industrialization and scale-up of innovative non-aqueous</w:t>
      </w:r>
    </w:p>
    <w:p>
      <w:pPr>
        <w:spacing w:after="0" w:line="200" w:lineRule="exact"/>
        <w:rPr>
          <w:sz w:val="20"/>
          <w:szCs w:val="20"/>
          <w:color w:val="auto"/>
        </w:rPr>
      </w:pPr>
    </w:p>
    <w:p>
      <w:pPr>
        <w:sectPr>
          <w:pgSz w:w="12060" w:h="15660" w:orient="portrait"/>
          <w:cols w:equalWidth="0" w:num="2">
            <w:col w:w="6744" w:space="600"/>
            <w:col w:w="3220"/>
          </w:cols>
          <w:pgMar w:left="636" w:top="837" w:right="860" w:bottom="77" w:gutter="0" w:footer="0" w:header="0"/>
        </w:sectPr>
      </w:pPr>
    </w:p>
    <w:p>
      <w:pPr>
        <w:spacing w:after="0" w:line="338" w:lineRule="exact"/>
        <w:rPr>
          <w:sz w:val="20"/>
          <w:szCs w:val="20"/>
          <w:color w:val="auto"/>
        </w:rPr>
      </w:pPr>
    </w:p>
    <w:p>
      <w:pPr>
        <w:ind w:left="824" w:hanging="824"/>
        <w:spacing w:after="0"/>
        <w:tabs>
          <w:tab w:leader="none" w:pos="824" w:val="left"/>
        </w:tabs>
        <w:numPr>
          <w:ilvl w:val="0"/>
          <w:numId w:val="17"/>
        </w:numPr>
        <w:rPr>
          <w:rFonts w:ascii="Arial" w:cs="Arial" w:eastAsia="Arial" w:hAnsi="Arial"/>
          <w:sz w:val="19"/>
          <w:szCs w:val="19"/>
          <w:color w:val="0033A1"/>
        </w:rPr>
      </w:pPr>
      <w:r>
        <w:rPr>
          <w:rFonts w:ascii="Arial" w:cs="Arial" w:eastAsia="Arial" w:hAnsi="Arial"/>
          <w:sz w:val="19"/>
          <w:szCs w:val="19"/>
          <w:color w:val="0033A1"/>
        </w:rPr>
        <w:t>SLB 2022 Annual Report</w:t>
      </w:r>
    </w:p>
    <w:p>
      <w:pPr>
        <w:sectPr>
          <w:pgSz w:w="12060" w:h="15660" w:orient="portrait"/>
          <w:cols w:equalWidth="0" w:num="1">
            <w:col w:w="10564"/>
          </w:cols>
          <w:pgMar w:left="636" w:top="837" w:right="860" w:bottom="77"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20"/>
        <w:spacing w:after="0" w:line="244" w:lineRule="auto"/>
        <w:rPr>
          <w:sz w:val="20"/>
          <w:szCs w:val="20"/>
          <w:color w:val="auto"/>
        </w:rPr>
      </w:pPr>
      <w:r>
        <w:rPr>
          <w:rFonts w:ascii="Arial" w:cs="Arial" w:eastAsia="Arial" w:hAnsi="Arial"/>
          <w:sz w:val="19"/>
          <w:szCs w:val="19"/>
          <w:color w:val="auto"/>
        </w:rPr>
        <w:t>solvent CO</w:t>
      </w:r>
      <w:r>
        <w:rPr>
          <w:rFonts w:ascii="Arial" w:cs="Arial" w:eastAsia="Arial" w:hAnsi="Arial"/>
          <w:sz w:val="22"/>
          <w:szCs w:val="22"/>
          <w:color w:val="auto"/>
          <w:vertAlign w:val="subscript"/>
        </w:rPr>
        <w:t>2</w:t>
      </w:r>
      <w:r>
        <w:rPr>
          <w:rFonts w:ascii="Arial" w:cs="Arial" w:eastAsia="Arial" w:hAnsi="Arial"/>
          <w:sz w:val="19"/>
          <w:szCs w:val="19"/>
          <w:color w:val="auto"/>
        </w:rPr>
        <w:t xml:space="preserve"> capture technology, an exciting solution with the potential</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to address a broad range of emissions streams, with applications covering more than 80 percent of the capture market.</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Geothermal and geoenergy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20" w:hanging="141"/>
        <w:spacing w:after="0" w:line="219" w:lineRule="auto"/>
        <w:rPr>
          <w:sz w:val="20"/>
          <w:szCs w:val="20"/>
          <w:color w:val="auto"/>
        </w:rPr>
      </w:pPr>
      <w:r>
        <w:rPr>
          <w:rFonts w:ascii="Arial" w:cs="Arial" w:eastAsia="Arial" w:hAnsi="Arial"/>
          <w:sz w:val="36"/>
          <w:szCs w:val="36"/>
          <w:color w:val="0014DC"/>
        </w:rPr>
        <w:t>“Our strategy for creating and scaling a diversified portfolio of businesses focused on decarbonization and clean energy technology will be key to the company’s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-5210175</wp:posOffset>
            </wp:positionV>
            <wp:extent cx="7658100" cy="383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extLst>
                    </a:blip>
                    <a:srcRect/>
                    <a:stretch>
                      <a:fillRect/>
                    </a:stretch>
                  </pic:blipFill>
                  <pic:spPr bwMode="auto">
                    <a:xfrm>
                      <a:off x="0" y="0"/>
                      <a:ext cx="7658100" cy="3830955"/>
                    </a:xfrm>
                    <a:prstGeom prst="rect">
                      <a:avLst/>
                    </a:prstGeom>
                    <a:noFill/>
                  </pic:spPr>
                </pic:pic>
              </a:graphicData>
            </a:graphic>
          </wp:anchor>
        </w:drawing>
      </w:r>
    </w:p>
    <w:p>
      <w:pPr>
        <w:spacing w:after="0" w:line="129" w:lineRule="exact"/>
        <w:rPr>
          <w:sz w:val="20"/>
          <w:szCs w:val="20"/>
          <w:color w:val="auto"/>
        </w:rPr>
      </w:pPr>
    </w:p>
    <w:p>
      <w:pPr>
        <w:sectPr>
          <w:pgSz w:w="12060" w:h="15660" w:orient="portrait"/>
          <w:cols w:equalWidth="0" w:num="2">
            <w:col w:w="3240" w:space="440"/>
            <w:col w:w="6920"/>
          </w:cols>
          <w:pgMar w:left="820" w:top="1440" w:right="640" w:bottom="65" w:gutter="0" w:footer="0" w:header="0"/>
        </w:sectPr>
      </w:pPr>
    </w:p>
    <w:p>
      <w:pPr>
        <w:spacing w:after="0" w:line="3"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 global economic environment and the inherent stability of geothermal energy as baseload renewable power have reinvigorated the geothermal market. Mastery of the subsurface is a key SLB strength and today our GeothermEx offering is the world’s leading geothermal consultancy. For more than 50 years, it has assessed resources across the globe and has been involved in 80 percent of all geothermal fields currently operating.</w:t>
      </w:r>
    </w:p>
    <w:p>
      <w:pPr>
        <w:spacing w:after="0" w:line="8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November, we announced a collaboration with Oman’s Ministry of Energy and Minerals and the Oman Investment Authority in building</w:t>
      </w:r>
    </w:p>
    <w:p>
      <w:pPr>
        <w:spacing w:after="0" w:line="2"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a national strategy to develop the potential of Oman’s geothermal resources.</w:t>
      </w:r>
    </w:p>
    <w:p>
      <w:pPr>
        <w:spacing w:after="0" w:line="80" w:lineRule="exact"/>
        <w:rPr>
          <w:sz w:val="20"/>
          <w:szCs w:val="20"/>
          <w:color w:val="auto"/>
        </w:rPr>
      </w:pPr>
    </w:p>
    <w:p>
      <w:pPr>
        <w:jc w:val="both"/>
        <w:ind w:right="200"/>
        <w:spacing w:after="0" w:line="305" w:lineRule="auto"/>
        <w:rPr>
          <w:sz w:val="20"/>
          <w:szCs w:val="20"/>
          <w:color w:val="auto"/>
        </w:rPr>
      </w:pPr>
      <w:r>
        <w:rPr>
          <w:rFonts w:ascii="Arial" w:cs="Arial" w:eastAsia="Arial" w:hAnsi="Arial"/>
          <w:sz w:val="18"/>
          <w:szCs w:val="18"/>
          <w:color w:val="auto"/>
        </w:rPr>
        <w:t>Founded through innovation as an internal startup, our Celsius Energy business leverages our inherent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Gavin Rennick</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President, New Energy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subsurface and engineering capabilities to provide a solution to efficiently heat and cool large-scale facilities, reducing building emissions by up to 90 percent.</w:t>
      </w:r>
    </w:p>
    <w:p>
      <w:pPr>
        <w:spacing w:after="0" w:line="87"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Celsius Energy was recently awarded the largest geoenergy project in France—one of the top 10 in Europe— and has developed a significant pipeline of projects.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Critical minerals</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Critical minerals are essential to a range of technologies driving energy transition. Lithium is under the greatest supply and demand pressure, and SLB’s initial focus is on brine, one of the two resources from which lithium is produced.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Our Neolith Energy solution integrates exciting processing technologies for lithium extraction, concentration, and conversion that efficiently and sustainably enables production of battery-grade lithium products.</w:t>
      </w:r>
    </w:p>
    <w:p>
      <w:pPr>
        <w:spacing w:after="0" w:line="3"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Our pilot project in Nevada, announced in 2021 and anticipated to be operational by the second quarter of 2023, is expected to make huge strides in sustainable operations, using just 15 percent of the water and seven percent of the land, and reducing emissions by 60 to 80 percent compared to traditional lithium extraction methods.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8"/>
          <w:szCs w:val="28"/>
          <w:b w:val="1"/>
          <w:bCs w:val="1"/>
          <w:color w:val="0014DC"/>
        </w:rPr>
        <w:t>»</w:t>
      </w:r>
    </w:p>
    <w:p>
      <w:pPr>
        <w:spacing w:after="0" w:line="730" w:lineRule="exact"/>
        <w:rPr>
          <w:sz w:val="20"/>
          <w:szCs w:val="20"/>
          <w:color w:val="auto"/>
        </w:rPr>
      </w:pPr>
    </w:p>
    <w:p>
      <w:pPr>
        <w:sectPr>
          <w:pgSz w:w="12060" w:h="15660" w:orient="portrait"/>
          <w:cols w:equalWidth="0" w:num="3">
            <w:col w:w="3140" w:space="520"/>
            <w:col w:w="3260" w:space="420"/>
            <w:col w:w="3260"/>
          </w:cols>
          <w:pgMar w:left="820" w:top="1440" w:right="640" w:bottom="65"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10360"/>
        <w:spacing w:after="0"/>
        <w:rPr>
          <w:sz w:val="20"/>
          <w:szCs w:val="20"/>
          <w:color w:val="auto"/>
        </w:rPr>
      </w:pPr>
      <w:r>
        <w:rPr>
          <w:rFonts w:ascii="Arial" w:cs="Arial" w:eastAsia="Arial" w:hAnsi="Arial"/>
          <w:sz w:val="20"/>
          <w:szCs w:val="20"/>
          <w:color w:val="0033A1"/>
        </w:rPr>
        <w:t>17</w:t>
      </w:r>
    </w:p>
    <w:p>
      <w:pPr>
        <w:sectPr>
          <w:pgSz w:w="12060" w:h="15660" w:orient="portrait"/>
          <w:cols w:equalWidth="0" w:num="1">
            <w:col w:w="10600"/>
          </w:cols>
          <w:pgMar w:left="820" w:top="1440" w:right="640" w:bottom="65" w:gutter="0" w:footer="0" w:header="0"/>
          <w:type w:val="continuous"/>
        </w:sectPr>
      </w:pPr>
    </w:p>
    <w:bookmarkStart w:id="19" w:name="page20"/>
    <w:bookmarkEnd w:id="19"/>
    <w:p>
      <w:pPr>
        <w:ind w:left="4"/>
        <w:spacing w:after="0"/>
        <w:rPr>
          <w:sz w:val="20"/>
          <w:szCs w:val="20"/>
          <w:color w:val="auto"/>
        </w:rPr>
      </w:pPr>
      <w:r>
        <w:rPr>
          <w:rFonts w:ascii="Arial" w:cs="Arial" w:eastAsia="Arial" w:hAnsi="Arial"/>
          <w:sz w:val="26"/>
          <w:szCs w:val="26"/>
          <w:b w:val="1"/>
          <w:bCs w:val="1"/>
          <w:color w:val="0014DC"/>
        </w:rPr>
        <w:t xml:space="preserve">Strategic performance </w:t>
      </w:r>
      <w:r>
        <w:rPr>
          <w:rFonts w:ascii="Arial" w:cs="Arial" w:eastAsia="Arial" w:hAnsi="Arial"/>
          <w:sz w:val="26"/>
          <w:szCs w:val="26"/>
          <w:color w:val="0014DC"/>
        </w:rPr>
        <w:t>New Energy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754380</wp:posOffset>
            </wp:positionV>
            <wp:extent cx="7133590" cy="5367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6">
                      <a:extLst>
                        <a:ext uri="{28A0092B-C50C-407E-A947-70E740481C1C}"/>
                      </a:extLst>
                    </a:blip>
                    <a:srcRect/>
                    <a:stretch>
                      <a:fillRect/>
                    </a:stretch>
                  </pic:blipFill>
                  <pic:spPr bwMode="auto">
                    <a:xfrm>
                      <a:off x="0" y="0"/>
                      <a:ext cx="7133590" cy="5367020"/>
                    </a:xfrm>
                    <a:prstGeom prst="rect">
                      <a:avLst/>
                    </a:prstGeom>
                    <a:noFill/>
                  </pic:spPr>
                </pic:pic>
              </a:graphicData>
            </a:graphic>
          </wp:anchor>
        </w:drawing>
      </w:r>
    </w:p>
    <w:p>
      <w:pPr>
        <w:sectPr>
          <w:pgSz w:w="12060" w:h="15660" w:orient="portrait"/>
          <w:cols w:equalWidth="0" w:num="1">
            <w:col w:w="10604"/>
          </w:cols>
          <w:pgMar w:left="636" w:top="837" w:right="82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0014DC"/>
        </w:rPr>
        <w:t>Stationary energy storage</w:t>
      </w:r>
    </w:p>
    <w:p>
      <w:pPr>
        <w:spacing w:after="0" w:line="122" w:lineRule="exact"/>
        <w:rPr>
          <w:sz w:val="20"/>
          <w:szCs w:val="20"/>
          <w:color w:val="auto"/>
        </w:rPr>
      </w:pPr>
    </w:p>
    <w:p>
      <w:pPr>
        <w:ind w:left="4"/>
        <w:spacing w:after="0" w:line="266" w:lineRule="auto"/>
        <w:rPr>
          <w:sz w:val="20"/>
          <w:szCs w:val="20"/>
          <w:color w:val="auto"/>
        </w:rPr>
      </w:pPr>
      <w:r>
        <w:rPr>
          <w:rFonts w:ascii="Arial" w:cs="Arial" w:eastAsia="Arial" w:hAnsi="Arial"/>
          <w:sz w:val="19"/>
          <w:szCs w:val="19"/>
          <w:color w:val="auto"/>
        </w:rPr>
        <w:t>As the penetration of renewable energy resources increases, so does the need for storage to ensure the efficiency of assets and the reliability of electricity systems. We have made investments in the rapidly growing market for large-scale, long-duration energy storage. These include Enervenue, a startup that delivers nickel hydrogen, non-lithium based, economic, safe battery technology, and Raygen, which is developing longer-duration thermal energy storage projects for large-scale solar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Hydrogen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Hydrogen may be our greatest long-term opportunity to decarbonize industrial sectors globally. Demand for low-carbon hydrogen is growing fast, supported by large public investment programs, targets, and incentives around the world.</w:t>
      </w:r>
    </w:p>
    <w:p>
      <w:pPr>
        <w:spacing w:after="0" w:line="90"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Within the hydrogen ecosystem, SLB is developing production technology that creates low-carbon hydrogen from electricity or gas in the most economic and sustainable ways.</w:t>
      </w:r>
    </w:p>
    <w:p>
      <w:pPr>
        <w:spacing w:after="0" w:line="71"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Our clean hydrogen joint venture Genvia, a public/private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between SLB, the French Alternative Energies and Atomic Energy Commission (CEA) and other partners, has six pilot projects underway in multiple high-emissions industries, including petrochemicals, cement, and steel, for its electricity-to-hydrogen conversion technology.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SLB’s New Energy business</w:t>
      </w:r>
    </w:p>
    <w:p>
      <w:pPr>
        <w:spacing w:after="0" w:line="10" w:lineRule="exact"/>
        <w:rPr>
          <w:sz w:val="20"/>
          <w:szCs w:val="20"/>
          <w:color w:val="auto"/>
        </w:rPr>
      </w:pPr>
    </w:p>
    <w:p>
      <w:pPr>
        <w:ind w:right="340"/>
        <w:spacing w:after="0" w:line="276" w:lineRule="auto"/>
        <w:rPr>
          <w:sz w:val="20"/>
          <w:szCs w:val="20"/>
          <w:color w:val="auto"/>
        </w:rPr>
      </w:pPr>
      <w:r>
        <w:rPr>
          <w:rFonts w:ascii="Arial" w:cs="Arial" w:eastAsia="Arial" w:hAnsi="Arial"/>
          <w:sz w:val="19"/>
          <w:szCs w:val="19"/>
          <w:color w:val="auto"/>
        </w:rPr>
        <w:t>has secured an investment in ZEG Power to scale up the ZEG ICC™ technology for clean hydrogen production from hydrocarbon gas.</w:t>
      </w:r>
    </w:p>
    <w:p>
      <w:pPr>
        <w:spacing w:after="0" w:line="68" w:lineRule="exact"/>
        <w:rPr>
          <w:sz w:val="20"/>
          <w:szCs w:val="20"/>
          <w:color w:val="auto"/>
        </w:rPr>
      </w:pPr>
    </w:p>
    <w:p>
      <w:pPr>
        <w:jc w:val="both"/>
        <w:ind w:right="40"/>
        <w:spacing w:after="0" w:line="263" w:lineRule="auto"/>
        <w:rPr>
          <w:sz w:val="20"/>
          <w:szCs w:val="20"/>
          <w:color w:val="auto"/>
        </w:rPr>
      </w:pPr>
      <w:r>
        <w:rPr>
          <w:rFonts w:ascii="Arial" w:cs="Arial" w:eastAsia="Arial" w:hAnsi="Arial"/>
          <w:sz w:val="19"/>
          <w:szCs w:val="19"/>
          <w:color w:val="auto"/>
        </w:rPr>
        <w:t>The ZEG ICC technology is based on sorbent enhanced reforming and was originally developed at the Institute for Energy Technology (IFE) in Norway.</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first commercial ZEG plant was installed in late 2022 and will go into operation in 2023 at CCB Energy Park at Kollsnes, Norway, adjacent to</w:t>
      </w:r>
    </w:p>
    <w:p>
      <w:pPr>
        <w:spacing w:after="0" w:line="2" w:lineRule="exact"/>
        <w:rPr>
          <w:sz w:val="20"/>
          <w:szCs w:val="20"/>
          <w:color w:val="auto"/>
        </w:rPr>
      </w:pPr>
    </w:p>
    <w:p>
      <w:pPr>
        <w:ind w:right="880"/>
        <w:spacing w:after="0" w:line="307" w:lineRule="auto"/>
        <w:rPr>
          <w:sz w:val="20"/>
          <w:szCs w:val="20"/>
          <w:color w:val="auto"/>
        </w:rPr>
      </w:pPr>
      <w:r>
        <w:rPr>
          <w:rFonts w:ascii="Arial" w:cs="Arial" w:eastAsia="Arial" w:hAnsi="Arial"/>
          <w:sz w:val="19"/>
          <w:szCs w:val="19"/>
          <w:color w:val="auto"/>
        </w:rPr>
        <w:t>the planned Northern Lights CO</w:t>
      </w:r>
      <w:r>
        <w:rPr>
          <w:rFonts w:ascii="Arial" w:cs="Arial" w:eastAsia="Arial" w:hAnsi="Arial"/>
          <w:sz w:val="22"/>
          <w:szCs w:val="22"/>
          <w:color w:val="auto"/>
          <w:vertAlign w:val="subscript"/>
        </w:rPr>
        <w:t>2</w:t>
      </w:r>
      <w:r>
        <w:rPr>
          <w:rFonts w:ascii="Arial" w:cs="Arial" w:eastAsia="Arial" w:hAnsi="Arial"/>
          <w:sz w:val="19"/>
          <w:szCs w:val="19"/>
          <w:color w:val="auto"/>
        </w:rPr>
        <w:t xml:space="preserve"> storage infrastructure.</w:t>
      </w:r>
    </w:p>
    <w:p>
      <w:pPr>
        <w:spacing w:after="0" w:line="200" w:lineRule="exact"/>
        <w:rPr>
          <w:sz w:val="20"/>
          <w:szCs w:val="20"/>
          <w:color w:val="auto"/>
        </w:rPr>
      </w:pPr>
    </w:p>
    <w:p>
      <w:pPr>
        <w:sectPr>
          <w:pgSz w:w="12060" w:h="15660" w:orient="portrait"/>
          <w:cols w:equalWidth="0" w:num="3">
            <w:col w:w="3144" w:space="520"/>
            <w:col w:w="3240" w:space="440"/>
            <w:col w:w="3260"/>
          </w:cols>
          <w:pgMar w:left="636" w:top="837" w:right="820" w:bottom="77"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824" w:hanging="824"/>
        <w:spacing w:after="0"/>
        <w:tabs>
          <w:tab w:leader="none" w:pos="824" w:val="left"/>
        </w:tabs>
        <w:numPr>
          <w:ilvl w:val="0"/>
          <w:numId w:val="18"/>
        </w:numPr>
        <w:rPr>
          <w:rFonts w:ascii="Arial" w:cs="Arial" w:eastAsia="Arial" w:hAnsi="Arial"/>
          <w:sz w:val="19"/>
          <w:szCs w:val="19"/>
          <w:color w:val="0033A1"/>
        </w:rPr>
      </w:pPr>
      <w:r>
        <w:rPr>
          <w:rFonts w:ascii="Arial" w:cs="Arial" w:eastAsia="Arial" w:hAnsi="Arial"/>
          <w:sz w:val="19"/>
          <w:szCs w:val="19"/>
          <w:color w:val="0033A1"/>
        </w:rPr>
        <w:t>SLB 2022 Annual Report</w:t>
      </w:r>
    </w:p>
    <w:p>
      <w:pPr>
        <w:sectPr>
          <w:pgSz w:w="12060" w:h="15660" w:orient="portrait"/>
          <w:cols w:equalWidth="0" w:num="1">
            <w:col w:w="10604"/>
          </w:cols>
          <w:pgMar w:left="636" w:top="837" w:right="820" w:bottom="77" w:gutter="0" w:footer="0" w:header="0"/>
          <w:type w:val="continuous"/>
        </w:sectPr>
      </w:pPr>
    </w:p>
    <w:bookmarkStart w:id="20" w:name="page21"/>
    <w:bookmarkEnd w:id="20"/>
    <w:p>
      <w:pPr>
        <w:spacing w:after="0"/>
        <w:rPr>
          <w:sz w:val="20"/>
          <w:szCs w:val="20"/>
          <w:color w:val="auto"/>
        </w:rPr>
      </w:pPr>
      <w:r>
        <w:rPr>
          <w:rFonts w:ascii="Arial" w:cs="Arial" w:eastAsia="Arial" w:hAnsi="Arial"/>
          <w:sz w:val="26"/>
          <w:szCs w:val="26"/>
          <w:b w:val="1"/>
          <w:bCs w:val="1"/>
          <w:color w:val="0014DC"/>
        </w:rPr>
        <w:t xml:space="preserve">Strategic performance </w:t>
      </w:r>
      <w:r>
        <w:rPr>
          <w:rFonts w:ascii="Arial" w:cs="Arial" w:eastAsia="Arial" w:hAnsi="Arial"/>
          <w:sz w:val="26"/>
          <w:szCs w:val="26"/>
          <w:color w:val="0014DC"/>
        </w:rPr>
        <w:t>Global deployment platform</w:t>
      </w:r>
    </w:p>
    <w:p>
      <w:pPr>
        <w:sectPr>
          <w:pgSz w:w="12060" w:h="15660" w:orient="portrait"/>
          <w:cols w:equalWidth="0" w:num="1">
            <w:col w:w="11240"/>
          </w:cols>
          <w:pgMar w:left="820" w:top="837" w:right="0"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0" w:lineRule="auto"/>
        <w:rPr>
          <w:sz w:val="20"/>
          <w:szCs w:val="20"/>
          <w:color w:val="auto"/>
        </w:rPr>
      </w:pPr>
      <w:r>
        <w:rPr>
          <w:rFonts w:ascii="Arial" w:cs="Arial" w:eastAsia="Arial" w:hAnsi="Arial"/>
          <w:sz w:val="62"/>
          <w:szCs w:val="62"/>
          <w:color w:val="0014DC"/>
        </w:rPr>
        <w:t>Unmatched scale and breadth</w:t>
      </w:r>
    </w:p>
    <w:p>
      <w:pPr>
        <w:spacing w:after="0" w:line="391"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b w:val="1"/>
          <w:bCs w:val="1"/>
          <w:color w:val="auto"/>
        </w:rPr>
        <w:t>Our global scale is core to who we are. With a workforce of nearly 100,000, SLB serves more than 2,000 active customers across more than 100 countries. This footprint fueled our success in 2022 and has positioned us for continued outperformance in all operating areas moving forward.</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Global power, local solutions</w:t>
      </w:r>
    </w:p>
    <w:p>
      <w:pPr>
        <w:spacing w:after="0" w:line="122"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color w:val="auto"/>
        </w:rPr>
        <w:t>SLB’s fit-for-basin technology solutions bring global engineering capabilities to the local level with custom solutions for each operating area. This expertise generates a competitive advantage and drives higher value for our customers.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In the world’s largest gas field in Qatar, we developed a custom logging-while-drilling tool. It saves Qatar Gas several days of rig time per well– contributing tens of millions in savings. This type of solution is only possible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46"/>
        <w:spacing w:after="0" w:line="258" w:lineRule="auto"/>
        <w:rPr>
          <w:sz w:val="20"/>
          <w:szCs w:val="20"/>
          <w:color w:val="auto"/>
        </w:rPr>
      </w:pPr>
      <w:r>
        <w:rPr>
          <w:rFonts w:ascii="Arial" w:cs="Arial" w:eastAsia="Arial" w:hAnsi="Arial"/>
          <w:sz w:val="20"/>
          <w:szCs w:val="20"/>
          <w:color w:val="auto"/>
        </w:rPr>
        <w:t>through the unique combination of our deep global domain knowledge and our understanding of the local reservoir challenge.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And we’re just getting started.</w:t>
      </w:r>
    </w:p>
    <w:p>
      <w:pPr>
        <w:spacing w:after="0" w:line="10" w:lineRule="exact"/>
        <w:rPr>
          <w:sz w:val="20"/>
          <w:szCs w:val="20"/>
          <w:color w:val="auto"/>
        </w:rPr>
      </w:pPr>
    </w:p>
    <w:p>
      <w:pPr>
        <w:ind w:right="606"/>
        <w:spacing w:after="0" w:line="254" w:lineRule="auto"/>
        <w:rPr>
          <w:sz w:val="20"/>
          <w:szCs w:val="20"/>
          <w:color w:val="auto"/>
        </w:rPr>
      </w:pPr>
      <w:r>
        <w:rPr>
          <w:rFonts w:ascii="Arial" w:cs="Arial" w:eastAsia="Arial" w:hAnsi="Arial"/>
          <w:sz w:val="20"/>
          <w:szCs w:val="20"/>
          <w:color w:val="auto"/>
        </w:rPr>
        <w:t>For example, in the US land market, technology access for the directional drilling market has grown steadily over the last three years, and today it’s almost equivalent in size to our traditional service business, effectively doubling our share of this highly fragmented marketplace.</w:t>
      </w:r>
    </w:p>
    <w:p>
      <w:pPr>
        <w:spacing w:after="0" w:line="86" w:lineRule="exact"/>
        <w:rPr>
          <w:sz w:val="20"/>
          <w:szCs w:val="20"/>
          <w:color w:val="auto"/>
        </w:rPr>
      </w:pPr>
    </w:p>
    <w:p>
      <w:pPr>
        <w:ind w:right="1026"/>
        <w:spacing w:after="0" w:line="267" w:lineRule="auto"/>
        <w:rPr>
          <w:sz w:val="20"/>
          <w:szCs w:val="20"/>
          <w:color w:val="auto"/>
        </w:rPr>
      </w:pPr>
      <w:r>
        <w:rPr>
          <w:rFonts w:ascii="Arial" w:cs="Arial" w:eastAsia="Arial" w:hAnsi="Arial"/>
          <w:sz w:val="19"/>
          <w:szCs w:val="19"/>
          <w:color w:val="auto"/>
        </w:rPr>
        <w:t>At SLB, customer relationships run deep. With more than 60 manufacturing sites and a robust supply chain network, we’ve been manufacturing for decades in Malaysia, UAE, Saudi Arabia, Brazil, and many other non-traditional manufacturing centers. These relationships unlock new opportunities and value, allowing us to invest in the communities where we live and work.</w:t>
      </w:r>
    </w:p>
    <w:p>
      <w:pPr>
        <w:spacing w:after="0" w:line="77" w:lineRule="exact"/>
        <w:rPr>
          <w:sz w:val="20"/>
          <w:szCs w:val="20"/>
          <w:color w:val="auto"/>
        </w:rPr>
      </w:pPr>
    </w:p>
    <w:p>
      <w:pPr>
        <w:ind w:right="646"/>
        <w:spacing w:after="0" w:line="270" w:lineRule="auto"/>
        <w:rPr>
          <w:sz w:val="20"/>
          <w:szCs w:val="20"/>
          <w:color w:val="auto"/>
        </w:rPr>
      </w:pPr>
      <w:r>
        <w:rPr>
          <w:rFonts w:ascii="Arial" w:cs="Arial" w:eastAsia="Arial" w:hAnsi="Arial"/>
          <w:sz w:val="19"/>
          <w:szCs w:val="19"/>
          <w:color w:val="auto"/>
        </w:rPr>
        <w:t>This is evident in our commitment to In Country Value programs around the world. These programs help us build local talent where our customers are and contribute to regional energy security, GDP diversification, and supply chain integration.</w:t>
      </w:r>
    </w:p>
    <w:p>
      <w:pPr>
        <w:spacing w:after="0" w:line="4" w:lineRule="exact"/>
        <w:rPr>
          <w:sz w:val="20"/>
          <w:szCs w:val="20"/>
          <w:color w:val="auto"/>
        </w:rPr>
      </w:pPr>
    </w:p>
    <w:p>
      <w:pPr>
        <w:jc w:val="right"/>
        <w:ind w:right="606"/>
        <w:spacing w:after="0"/>
        <w:rPr>
          <w:sz w:val="20"/>
          <w:szCs w:val="20"/>
          <w:color w:val="auto"/>
        </w:rPr>
      </w:pPr>
      <w:r>
        <w:rPr>
          <w:rFonts w:ascii="Arial" w:cs="Arial" w:eastAsia="Arial" w:hAnsi="Arial"/>
          <w:sz w:val="28"/>
          <w:szCs w:val="28"/>
          <w:b w:val="1"/>
          <w:bCs w:val="1"/>
          <w:color w:val="0014D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395605</wp:posOffset>
            </wp:positionV>
            <wp:extent cx="5440045" cy="2743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7">
                      <a:extLst>
                        <a:ext uri="{28A0092B-C50C-407E-A947-70E740481C1C}"/>
                      </a:extLst>
                    </a:blip>
                    <a:srcRect/>
                    <a:stretch>
                      <a:fillRect/>
                    </a:stretch>
                  </pic:blipFill>
                  <pic:spPr bwMode="auto">
                    <a:xfrm>
                      <a:off x="0" y="0"/>
                      <a:ext cx="5440045" cy="2743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9680"/>
        </w:trPr>
        <w:tc>
          <w:tcPr>
            <w:tcW w:w="3068" w:type="dxa"/>
            <w:vAlign w:val="bottom"/>
            <w:textDirection w:val="tbRl"/>
          </w:tcPr>
          <w:p>
            <w:pPr>
              <w:spacing w:after="0" w:line="276" w:lineRule="auto"/>
              <w:rPr>
                <w:sz w:val="20"/>
                <w:szCs w:val="20"/>
                <w:color w:val="auto"/>
              </w:rPr>
            </w:pPr>
            <w:r>
              <w:rPr>
                <w:rFonts w:ascii="Arial" w:cs="Arial" w:eastAsia="Arial" w:hAnsi="Arial"/>
                <w:sz w:val="116"/>
                <w:szCs w:val="116"/>
                <w:color w:val="DCE1E1"/>
              </w:rPr>
              <w:t>Global deployment platform</w:t>
            </w:r>
          </w:p>
        </w:tc>
      </w:tr>
    </w:tbl>
    <w:p>
      <w:pPr>
        <w:spacing w:after="0" w:line="200" w:lineRule="exact"/>
        <w:rPr>
          <w:sz w:val="20"/>
          <w:szCs w:val="20"/>
          <w:color w:val="auto"/>
        </w:rPr>
      </w:pPr>
    </w:p>
    <w:p>
      <w:pPr>
        <w:sectPr>
          <w:pgSz w:w="12060" w:h="15660" w:orient="portrait"/>
          <w:cols w:equalWidth="0" w:num="3">
            <w:col w:w="3240" w:space="420"/>
            <w:col w:w="3886" w:space="720"/>
            <w:col w:w="2974"/>
          </w:cols>
          <w:pgMar w:left="820" w:top="837" w:right="0"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360"/>
        <w:spacing w:after="0"/>
        <w:rPr>
          <w:sz w:val="20"/>
          <w:szCs w:val="20"/>
          <w:color w:val="auto"/>
        </w:rPr>
      </w:pPr>
      <w:r>
        <w:rPr>
          <w:rFonts w:ascii="Arial" w:cs="Arial" w:eastAsia="Arial" w:hAnsi="Arial"/>
          <w:sz w:val="20"/>
          <w:szCs w:val="20"/>
          <w:color w:val="0033A1"/>
        </w:rPr>
        <w:t>19</w:t>
      </w:r>
    </w:p>
    <w:p>
      <w:pPr>
        <w:sectPr>
          <w:pgSz w:w="12060" w:h="15660" w:orient="portrait"/>
          <w:cols w:equalWidth="0" w:num="1">
            <w:col w:w="11240"/>
          </w:cols>
          <w:pgMar w:left="820" w:top="837" w:right="0" w:bottom="65" w:gutter="0" w:footer="0" w:header="0"/>
          <w:type w:val="continuous"/>
        </w:sectPr>
      </w:pPr>
    </w:p>
    <w:bookmarkStart w:id="21" w:name="page22"/>
    <w:bookmarkEnd w:id="21"/>
    <w:p>
      <w:pPr>
        <w:ind w:left="4"/>
        <w:spacing w:after="0"/>
        <w:rPr>
          <w:sz w:val="20"/>
          <w:szCs w:val="20"/>
          <w:color w:val="auto"/>
        </w:rPr>
      </w:pPr>
      <w:r>
        <w:rPr>
          <w:rFonts w:ascii="Arial" w:cs="Arial" w:eastAsia="Arial" w:hAnsi="Arial"/>
          <w:sz w:val="26"/>
          <w:szCs w:val="26"/>
          <w:b w:val="1"/>
          <w:bCs w:val="1"/>
          <w:color w:val="0014DC"/>
        </w:rPr>
        <w:t xml:space="preserve">Strategic performance </w:t>
      </w:r>
      <w:r>
        <w:rPr>
          <w:rFonts w:ascii="Arial" w:cs="Arial" w:eastAsia="Arial" w:hAnsi="Arial"/>
          <w:sz w:val="26"/>
          <w:szCs w:val="26"/>
          <w:color w:val="0014DC"/>
        </w:rPr>
        <w:t>Global deployment platform continued</w:t>
      </w:r>
    </w:p>
    <w:p>
      <w:pPr>
        <w:sectPr>
          <w:pgSz w:w="12060" w:h="15660" w:orient="portrait"/>
          <w:cols w:equalWidth="0" w:num="1">
            <w:col w:w="10444"/>
          </w:cols>
          <w:pgMar w:left="636" w:top="837" w:right="98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64"/>
        <w:spacing w:after="0"/>
        <w:rPr>
          <w:sz w:val="20"/>
          <w:szCs w:val="20"/>
          <w:color w:val="auto"/>
        </w:rPr>
      </w:pPr>
      <w:r>
        <w:rPr>
          <w:rFonts w:ascii="Arial" w:cs="Arial" w:eastAsia="Arial" w:hAnsi="Arial"/>
          <w:sz w:val="22"/>
          <w:szCs w:val="22"/>
          <w:b w:val="1"/>
          <w:bCs w:val="1"/>
          <w:color w:val="0014DC"/>
        </w:rPr>
        <w:t>Unrivaled 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-139065</wp:posOffset>
            </wp:positionV>
            <wp:extent cx="2476500" cy="2073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a:extLst>
                        <a:ext uri="{28A0092B-C50C-407E-A947-70E740481C1C}"/>
                      </a:extLst>
                    </a:blip>
                    <a:srcRect/>
                    <a:stretch>
                      <a:fillRect/>
                    </a:stretch>
                  </pic:blipFill>
                  <pic:spPr bwMode="auto">
                    <a:xfrm>
                      <a:off x="0" y="0"/>
                      <a:ext cx="2476500" cy="2073910"/>
                    </a:xfrm>
                    <a:prstGeom prst="rect">
                      <a:avLst/>
                    </a:prstGeom>
                    <a:noFill/>
                  </pic:spPr>
                </pic:pic>
              </a:graphicData>
            </a:graphic>
          </wp:anchor>
        </w:drawing>
      </w:r>
    </w:p>
    <w:p>
      <w:pPr>
        <w:spacing w:after="0" w:line="102" w:lineRule="exact"/>
        <w:rPr>
          <w:sz w:val="20"/>
          <w:szCs w:val="20"/>
          <w:color w:val="auto"/>
        </w:rPr>
      </w:pPr>
    </w:p>
    <w:p>
      <w:pPr>
        <w:ind w:left="3664"/>
        <w:spacing w:after="0" w:line="267" w:lineRule="auto"/>
        <w:rPr>
          <w:sz w:val="20"/>
          <w:szCs w:val="20"/>
          <w:color w:val="auto"/>
        </w:rPr>
      </w:pPr>
      <w:r>
        <w:rPr>
          <w:rFonts w:ascii="Arial" w:cs="Arial" w:eastAsia="Arial" w:hAnsi="Arial"/>
          <w:sz w:val="19"/>
          <w:szCs w:val="19"/>
          <w:color w:val="auto"/>
        </w:rPr>
        <w:t>We’re proud to be the world’s most trusted energy development partner. Our broad reach, confidence, and performance provide us unique access to strategic initiatives across the globe. As countries chart their own paths for energy transition under the Paris Agreement, the most successful partners will deploy technology close to the end user—and SLB is ready to help them meet their goals.</w:t>
      </w:r>
    </w:p>
    <w:p>
      <w:pPr>
        <w:spacing w:after="0" w:line="200" w:lineRule="exact"/>
        <w:rPr>
          <w:sz w:val="20"/>
          <w:szCs w:val="20"/>
          <w:color w:val="auto"/>
        </w:rPr>
      </w:pPr>
    </w:p>
    <w:p>
      <w:pPr>
        <w:spacing w:after="0" w:line="334" w:lineRule="exact"/>
        <w:rPr>
          <w:sz w:val="20"/>
          <w:szCs w:val="20"/>
          <w:color w:val="auto"/>
        </w:rPr>
      </w:pPr>
    </w:p>
    <w:p>
      <w:pPr>
        <w:ind w:left="1644" w:right="160" w:hanging="141"/>
        <w:spacing w:after="0" w:line="239" w:lineRule="auto"/>
        <w:rPr>
          <w:sz w:val="20"/>
          <w:szCs w:val="20"/>
          <w:color w:val="auto"/>
        </w:rPr>
      </w:pPr>
      <w:r>
        <w:rPr>
          <w:rFonts w:ascii="Arial" w:cs="Arial" w:eastAsia="Arial" w:hAnsi="Arial"/>
          <w:sz w:val="33"/>
          <w:szCs w:val="33"/>
          <w:color w:val="0014DC"/>
        </w:rPr>
        <w:t>“Our diverse, powerful team is fully ready and committed to deliver. For our customers, for you, our shareholders, and for our planet— with integrity and purpose.”</w:t>
      </w:r>
    </w:p>
    <w:p>
      <w:pPr>
        <w:spacing w:after="0" w:line="129" w:lineRule="exact"/>
        <w:rPr>
          <w:sz w:val="20"/>
          <w:szCs w:val="20"/>
          <w:color w:val="auto"/>
        </w:rPr>
      </w:pPr>
    </w:p>
    <w:p>
      <w:pPr>
        <w:ind w:left="1624"/>
        <w:spacing w:after="0"/>
        <w:rPr>
          <w:sz w:val="20"/>
          <w:szCs w:val="20"/>
          <w:color w:val="auto"/>
        </w:rPr>
      </w:pPr>
      <w:r>
        <w:rPr>
          <w:rFonts w:ascii="Arial" w:cs="Arial" w:eastAsia="Arial" w:hAnsi="Arial"/>
          <w:sz w:val="20"/>
          <w:szCs w:val="20"/>
          <w:b w:val="1"/>
          <w:bCs w:val="1"/>
          <w:color w:val="auto"/>
        </w:rPr>
        <w:t>Carmen Rando Bejar</w:t>
      </w:r>
    </w:p>
    <w:p>
      <w:pPr>
        <w:spacing w:after="0" w:line="10" w:lineRule="exact"/>
        <w:rPr>
          <w:sz w:val="20"/>
          <w:szCs w:val="20"/>
          <w:color w:val="auto"/>
        </w:rPr>
      </w:pPr>
    </w:p>
    <w:p>
      <w:pPr>
        <w:ind w:left="1624"/>
        <w:spacing w:after="0"/>
        <w:rPr>
          <w:sz w:val="20"/>
          <w:szCs w:val="20"/>
          <w:color w:val="auto"/>
        </w:rPr>
      </w:pPr>
      <w:r>
        <w:rPr>
          <w:rFonts w:ascii="Arial" w:cs="Arial" w:eastAsia="Arial" w:hAnsi="Arial"/>
          <w:sz w:val="20"/>
          <w:szCs w:val="20"/>
          <w:color w:val="auto"/>
        </w:rPr>
        <w:t>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572135</wp:posOffset>
            </wp:positionV>
            <wp:extent cx="7139940" cy="4039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extLst>
                        <a:ext uri="{28A0092B-C50C-407E-A947-70E740481C1C}"/>
                      </a:extLst>
                    </a:blip>
                    <a:srcRect/>
                    <a:stretch>
                      <a:fillRect/>
                    </a:stretch>
                  </pic:blipFill>
                  <pic:spPr bwMode="auto">
                    <a:xfrm>
                      <a:off x="0" y="0"/>
                      <a:ext cx="7139940" cy="403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0014DC"/>
        </w:rPr>
        <w:t>Our strongest asset</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One unique advantage continues to differentiate SLB and propel us as a global force: our people. Across the globe, our diverse team of pioneering scientists, engineers, leaders, and innovators finds new ways to better our world and business while enjoying and nurturing a culture of inclusivity.</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With our inspiring new identity, ambitious decarbonization activities, and ability to scale innovation,</w:t>
      </w:r>
    </w:p>
    <w:p>
      <w:pPr>
        <w:spacing w:after="0" w:line="2" w:lineRule="exact"/>
        <w:rPr>
          <w:sz w:val="20"/>
          <w:szCs w:val="20"/>
          <w:color w:val="auto"/>
        </w:rPr>
      </w:pPr>
    </w:p>
    <w:p>
      <w:pPr>
        <w:ind w:right="220"/>
        <w:spacing w:after="0" w:line="270" w:lineRule="auto"/>
        <w:rPr>
          <w:sz w:val="20"/>
          <w:szCs w:val="20"/>
          <w:color w:val="auto"/>
        </w:rPr>
      </w:pPr>
      <w:r>
        <w:rPr>
          <w:rFonts w:ascii="Arial" w:cs="Arial" w:eastAsia="Arial" w:hAnsi="Arial"/>
          <w:sz w:val="19"/>
          <w:szCs w:val="19"/>
          <w:color w:val="auto"/>
        </w:rPr>
        <w:t>our employee value proposition is stronger than ever, and it shows in our talent engagement. In 2022, we recruited upwards of 10,000 employees, and applications reached a historic high of more than 300,000.</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As a global technology leader, we offer an environment of continuous challenge and development alongside the most talented and diverse team of experts in any industry.</w:t>
      </w:r>
    </w:p>
    <w:p>
      <w:pPr>
        <w:spacing w:after="0" w:line="200" w:lineRule="exact"/>
        <w:rPr>
          <w:sz w:val="20"/>
          <w:szCs w:val="20"/>
          <w:color w:val="auto"/>
        </w:rPr>
      </w:pPr>
    </w:p>
    <w:p>
      <w:pPr>
        <w:sectPr>
          <w:pgSz w:w="12060" w:h="15660" w:orient="portrait"/>
          <w:cols w:equalWidth="0" w:num="2">
            <w:col w:w="6944" w:space="400"/>
            <w:col w:w="3100"/>
          </w:cols>
          <w:pgMar w:left="636" w:top="837" w:right="980" w:bottom="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4" w:hanging="824"/>
        <w:spacing w:after="0"/>
        <w:tabs>
          <w:tab w:leader="none" w:pos="824" w:val="left"/>
        </w:tabs>
        <w:numPr>
          <w:ilvl w:val="0"/>
          <w:numId w:val="19"/>
        </w:numPr>
        <w:rPr>
          <w:rFonts w:ascii="Arial" w:cs="Arial" w:eastAsia="Arial" w:hAnsi="Arial"/>
          <w:sz w:val="19"/>
          <w:szCs w:val="19"/>
          <w:color w:val="FFFFFF"/>
        </w:rPr>
      </w:pPr>
      <w:r>
        <w:rPr>
          <w:rFonts w:ascii="Arial" w:cs="Arial" w:eastAsia="Arial" w:hAnsi="Arial"/>
          <w:sz w:val="19"/>
          <w:szCs w:val="19"/>
          <w:color w:val="FFFFFF"/>
        </w:rPr>
        <w:t>SLB 2022 Annual Report</w:t>
      </w:r>
    </w:p>
    <w:p>
      <w:pPr>
        <w:sectPr>
          <w:pgSz w:w="12060" w:h="15660" w:orient="portrait"/>
          <w:cols w:equalWidth="0" w:num="1">
            <w:col w:w="10444"/>
          </w:cols>
          <w:pgMar w:left="636" w:top="837" w:right="980" w:bottom="77"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26"/>
          <w:szCs w:val="26"/>
          <w:b w:val="1"/>
          <w:bCs w:val="1"/>
          <w:color w:val="0014DC"/>
        </w:rPr>
        <w:t xml:space="preserve">Strategic performance </w:t>
      </w:r>
      <w:r>
        <w:rPr>
          <w:rFonts w:ascii="Arial" w:cs="Arial" w:eastAsia="Arial" w:hAnsi="Arial"/>
          <w:sz w:val="26"/>
          <w:szCs w:val="26"/>
          <w:color w:val="0014DC"/>
        </w:rPr>
        <w:t>Financial commentary</w:t>
      </w:r>
    </w:p>
    <w:p>
      <w:pPr>
        <w:sectPr>
          <w:pgSz w:w="12060" w:h="15660" w:orient="portrait"/>
          <w:cols w:equalWidth="0" w:num="1">
            <w:col w:w="10640"/>
          </w:cols>
          <w:pgMar w:left="780" w:top="837" w:right="640"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88" w:lineRule="auto"/>
        <w:rPr>
          <w:sz w:val="20"/>
          <w:szCs w:val="20"/>
          <w:color w:val="auto"/>
        </w:rPr>
      </w:pPr>
      <w:r>
        <w:rPr>
          <w:rFonts w:ascii="Arial" w:cs="Arial" w:eastAsia="Arial" w:hAnsi="Arial"/>
          <w:sz w:val="60"/>
          <w:szCs w:val="60"/>
          <w:color w:val="0014DC"/>
        </w:rPr>
        <w:t>Delivering higher value</w:t>
      </w:r>
    </w:p>
    <w:p>
      <w:pPr>
        <w:spacing w:after="0" w:line="200" w:lineRule="exact"/>
        <w:rPr>
          <w:sz w:val="20"/>
          <w:szCs w:val="20"/>
          <w:color w:val="auto"/>
        </w:rPr>
      </w:pPr>
    </w:p>
    <w:p>
      <w:pPr>
        <w:spacing w:after="0" w:line="253" w:lineRule="exact"/>
        <w:rPr>
          <w:sz w:val="20"/>
          <w:szCs w:val="20"/>
          <w:color w:val="auto"/>
        </w:rPr>
      </w:pPr>
    </w:p>
    <w:p>
      <w:pPr>
        <w:ind w:left="40"/>
        <w:spacing w:after="0" w:line="254" w:lineRule="auto"/>
        <w:rPr>
          <w:sz w:val="20"/>
          <w:szCs w:val="20"/>
          <w:color w:val="auto"/>
        </w:rPr>
      </w:pPr>
      <w:r>
        <w:rPr>
          <w:rFonts w:ascii="Arial" w:cs="Arial" w:eastAsia="Arial" w:hAnsi="Arial"/>
          <w:sz w:val="20"/>
          <w:szCs w:val="20"/>
          <w:color w:val="auto"/>
        </w:rPr>
        <w:t>Our 2022 results highlight the continued success of SLB’s financial and operational performance strategy, demonstrating the ability to leverage the breadth of our portfolio and our competitive strengths to deliver peer-leading outcomes for our customers and shareholders.</w:t>
      </w:r>
    </w:p>
    <w:p>
      <w:pPr>
        <w:spacing w:after="0" w:line="86" w:lineRule="exact"/>
        <w:rPr>
          <w:sz w:val="20"/>
          <w:szCs w:val="20"/>
          <w:color w:val="auto"/>
        </w:rPr>
      </w:pPr>
    </w:p>
    <w:p>
      <w:pPr>
        <w:ind w:left="40" w:right="20"/>
        <w:spacing w:after="0" w:line="263" w:lineRule="auto"/>
        <w:rPr>
          <w:sz w:val="20"/>
          <w:szCs w:val="20"/>
          <w:color w:val="auto"/>
        </w:rPr>
      </w:pPr>
      <w:r>
        <w:rPr>
          <w:rFonts w:ascii="Arial" w:cs="Arial" w:eastAsia="Arial" w:hAnsi="Arial"/>
          <w:sz w:val="19"/>
          <w:szCs w:val="19"/>
          <w:color w:val="auto"/>
        </w:rPr>
        <w:t>Since 2019 we have repositioned SLB from a strategic and financial standpoint, strengthening our balance sheet and creating a returns-driven culture. We have enhanced our portfolio management process, making SLB a less capital-intensive business, with a much-improved returns and free cash flow generation profile. We have optimized our portfolio for resilience and long-term growth across three engines</w:t>
      </w:r>
    </w:p>
    <w:p>
      <w:pPr>
        <w:spacing w:after="0" w:line="7" w:lineRule="exact"/>
        <w:rPr>
          <w:sz w:val="20"/>
          <w:szCs w:val="20"/>
          <w:color w:val="auto"/>
        </w:rPr>
      </w:pPr>
    </w:p>
    <w:p>
      <w:pPr>
        <w:ind w:left="40" w:right="380"/>
        <w:spacing w:after="0" w:line="256" w:lineRule="auto"/>
        <w:rPr>
          <w:sz w:val="20"/>
          <w:szCs w:val="20"/>
          <w:color w:val="auto"/>
        </w:rPr>
      </w:pPr>
      <w:r>
        <w:rPr>
          <w:rFonts w:ascii="Arial" w:cs="Arial" w:eastAsia="Arial" w:hAnsi="Arial"/>
          <w:sz w:val="20"/>
          <w:szCs w:val="20"/>
          <w:color w:val="auto"/>
        </w:rPr>
        <w:t>of growth—Core, Digital, and New Energy—to generate compelling returns and position us for long-term strength in all markets where we operate.</w:t>
      </w:r>
    </w:p>
    <w:p>
      <w:pPr>
        <w:spacing w:after="0" w:line="87" w:lineRule="exact"/>
        <w:rPr>
          <w:sz w:val="20"/>
          <w:szCs w:val="20"/>
          <w:color w:val="auto"/>
        </w:rPr>
      </w:pPr>
    </w:p>
    <w:p>
      <w:pPr>
        <w:ind w:left="40" w:right="80"/>
        <w:spacing w:after="0" w:line="254" w:lineRule="auto"/>
        <w:rPr>
          <w:sz w:val="20"/>
          <w:szCs w:val="20"/>
          <w:color w:val="auto"/>
        </w:rPr>
      </w:pPr>
      <w:r>
        <w:rPr>
          <w:rFonts w:ascii="Arial" w:cs="Arial" w:eastAsia="Arial" w:hAnsi="Arial"/>
          <w:sz w:val="20"/>
          <w:szCs w:val="20"/>
          <w:color w:val="auto"/>
        </w:rPr>
        <w:t>Effective portfolio management, combined with the actions we have taken to lower costs, have enabled us to substantially improve operating leverage, positioning us for continued margin expansion as global activity accelerates.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color w:val="auto"/>
        </w:rPr>
        <w:t>We will fully seize the growth cycle to maximize earnings and cash flow generation with capital allocation guided by three principles: maintain a strong balance sheet; invest in accretive return growth opportunities; and deliver attractive returns to shareholders through sustainable dividends and share buybacks. We increased our dividend by 40% in April 2022, followed by a further 43% increase in January 2023, and we resumed our share buyback program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-3429635</wp:posOffset>
            </wp:positionV>
            <wp:extent cx="5067300" cy="84461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0">
                      <a:extLst>
                        <a:ext uri="{28A0092B-C50C-407E-A947-70E740481C1C}"/>
                      </a:extLst>
                    </a:blip>
                    <a:srcRect/>
                    <a:stretch>
                      <a:fillRect/>
                    </a:stretch>
                  </pic:blipFill>
                  <pic:spPr bwMode="auto">
                    <a:xfrm>
                      <a:off x="0" y="0"/>
                      <a:ext cx="5067300" cy="8446135"/>
                    </a:xfrm>
                    <a:prstGeom prst="rect">
                      <a:avLst/>
                    </a:prstGeom>
                    <a:noFill/>
                  </pic:spPr>
                </pic:pic>
              </a:graphicData>
            </a:graphic>
          </wp:anchor>
        </w:drawing>
      </w:r>
    </w:p>
    <w:p>
      <w:pPr>
        <w:spacing w:after="0" w:line="6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Today, SLB is more agile, less capital intensive, and more returns-focused than ever before. We have significantly strengthened the foundations of</w:t>
      </w:r>
    </w:p>
    <w:p>
      <w:pPr>
        <w:spacing w:after="0" w:line="1" w:lineRule="exact"/>
        <w:rPr>
          <w:sz w:val="20"/>
          <w:szCs w:val="20"/>
          <w:color w:val="auto"/>
        </w:rPr>
      </w:pPr>
    </w:p>
    <w:p>
      <w:pPr>
        <w:ind w:right="420"/>
        <w:spacing w:after="0" w:line="262" w:lineRule="auto"/>
        <w:rPr>
          <w:sz w:val="20"/>
          <w:szCs w:val="20"/>
          <w:color w:val="auto"/>
        </w:rPr>
      </w:pPr>
      <w:r>
        <w:rPr>
          <w:rFonts w:ascii="Arial" w:cs="Arial" w:eastAsia="Arial" w:hAnsi="Arial"/>
          <w:sz w:val="20"/>
          <w:szCs w:val="20"/>
          <w:color w:val="auto"/>
        </w:rPr>
        <w:t>the company and are poised to outperform financially in the years to 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84"/>
          <w:szCs w:val="84"/>
          <w:color w:val="00D2DC"/>
        </w:rPr>
        <w:t>$1.7B</w:t>
      </w:r>
    </w:p>
    <w:p>
      <w:pPr>
        <w:spacing w:after="0" w:line="123" w:lineRule="exact"/>
        <w:rPr>
          <w:sz w:val="20"/>
          <w:szCs w:val="20"/>
          <w:color w:val="auto"/>
        </w:rPr>
      </w:pPr>
    </w:p>
    <w:p>
      <w:pPr>
        <w:jc w:val="both"/>
        <w:ind w:left="60" w:right="20"/>
        <w:spacing w:after="0" w:line="273" w:lineRule="auto"/>
        <w:rPr>
          <w:sz w:val="20"/>
          <w:szCs w:val="20"/>
          <w:color w:val="auto"/>
        </w:rPr>
      </w:pPr>
      <w:r>
        <w:rPr>
          <w:rFonts w:ascii="Arial" w:cs="Arial" w:eastAsia="Arial" w:hAnsi="Arial"/>
          <w:sz w:val="16"/>
          <w:szCs w:val="16"/>
          <w:color w:val="auto"/>
        </w:rPr>
        <w:t xml:space="preserve">Strengthened balance sheet by reducing both </w:t>
      </w:r>
      <w:r>
        <w:rPr>
          <w:rFonts w:ascii="Arial" w:cs="Arial" w:eastAsia="Arial" w:hAnsi="Arial"/>
          <w:sz w:val="16"/>
          <w:szCs w:val="16"/>
          <w:b w:val="1"/>
          <w:bCs w:val="1"/>
          <w:color w:val="auto"/>
        </w:rPr>
        <w:t>gross and net debt</w:t>
      </w:r>
      <w:r>
        <w:rPr>
          <w:rFonts w:ascii="Arial" w:cs="Arial" w:eastAsia="Arial" w:hAnsi="Arial"/>
          <w:sz w:val="9"/>
          <w:szCs w:val="9"/>
          <w:b w:val="1"/>
          <w:bCs w:val="1"/>
          <w:color w:val="auto"/>
        </w:rPr>
        <w:t>†</w:t>
      </w:r>
      <w:r>
        <w:rPr>
          <w:rFonts w:ascii="Arial" w:cs="Arial" w:eastAsia="Arial" w:hAnsi="Arial"/>
          <w:sz w:val="16"/>
          <w:szCs w:val="16"/>
          <w:color w:val="auto"/>
        </w:rPr>
        <w:t xml:space="preserve"> by $1.7 billion in 2022</w:t>
      </w:r>
    </w:p>
    <w:p>
      <w:pPr>
        <w:spacing w:after="0" w:line="119" w:lineRule="exact"/>
        <w:rPr>
          <w:sz w:val="20"/>
          <w:szCs w:val="20"/>
          <w:color w:val="auto"/>
        </w:rPr>
      </w:pPr>
    </w:p>
    <w:p>
      <w:pPr>
        <w:spacing w:after="0"/>
        <w:rPr>
          <w:sz w:val="20"/>
          <w:szCs w:val="20"/>
          <w:color w:val="auto"/>
        </w:rPr>
      </w:pPr>
      <w:r>
        <w:rPr>
          <w:rFonts w:ascii="Arial" w:cs="Arial" w:eastAsia="Arial" w:hAnsi="Arial"/>
          <w:sz w:val="84"/>
          <w:szCs w:val="84"/>
          <w:color w:val="00D2DC"/>
        </w:rPr>
        <w:t>1.4x</w:t>
      </w:r>
    </w:p>
    <w:p>
      <w:pPr>
        <w:spacing w:after="0" w:line="123" w:lineRule="exact"/>
        <w:rPr>
          <w:sz w:val="20"/>
          <w:szCs w:val="20"/>
          <w:color w:val="auto"/>
        </w:rPr>
      </w:pPr>
    </w:p>
    <w:p>
      <w:pPr>
        <w:ind w:left="60" w:right="280"/>
        <w:spacing w:after="0" w:line="273" w:lineRule="auto"/>
        <w:rPr>
          <w:sz w:val="20"/>
          <w:szCs w:val="20"/>
          <w:color w:val="auto"/>
        </w:rPr>
      </w:pPr>
      <w:r>
        <w:rPr>
          <w:rFonts w:ascii="Arial" w:cs="Arial" w:eastAsia="Arial" w:hAnsi="Arial"/>
          <w:sz w:val="16"/>
          <w:szCs w:val="16"/>
          <w:color w:val="auto"/>
        </w:rPr>
        <w:t xml:space="preserve">Ended 2022 with </w:t>
      </w:r>
      <w:r>
        <w:rPr>
          <w:rFonts w:ascii="Arial" w:cs="Arial" w:eastAsia="Arial" w:hAnsi="Arial"/>
          <w:sz w:val="16"/>
          <w:szCs w:val="16"/>
          <w:b w:val="1"/>
          <w:bCs w:val="1"/>
          <w:color w:val="auto"/>
        </w:rPr>
        <w:t>1.4x net debt to</w:t>
      </w:r>
      <w:r>
        <w:rPr>
          <w:rFonts w:ascii="Arial" w:cs="Arial" w:eastAsia="Arial" w:hAnsi="Arial"/>
          <w:sz w:val="16"/>
          <w:szCs w:val="16"/>
          <w:color w:val="auto"/>
        </w:rPr>
        <w:t xml:space="preserve"> </w:t>
      </w:r>
      <w:r>
        <w:rPr>
          <w:rFonts w:ascii="Arial" w:cs="Arial" w:eastAsia="Arial" w:hAnsi="Arial"/>
          <w:sz w:val="16"/>
          <w:szCs w:val="16"/>
          <w:b w:val="1"/>
          <w:bCs w:val="1"/>
          <w:color w:val="auto"/>
        </w:rPr>
        <w:t>adjusted EBITDA</w:t>
      </w:r>
      <w:r>
        <w:rPr>
          <w:rFonts w:ascii="Arial" w:cs="Arial" w:eastAsia="Arial" w:hAnsi="Arial"/>
          <w:sz w:val="9"/>
          <w:szCs w:val="9"/>
          <w:b w:val="1"/>
          <w:bCs w:val="1"/>
          <w:color w:val="auto"/>
        </w:rPr>
        <w:t>†</w:t>
      </w:r>
      <w:r>
        <w:rPr>
          <w:rFonts w:ascii="Arial" w:cs="Arial" w:eastAsia="Arial" w:hAnsi="Arial"/>
          <w:sz w:val="16"/>
          <w:szCs w:val="16"/>
          <w:b w:val="1"/>
          <w:bCs w:val="1"/>
          <w:color w:val="auto"/>
        </w:rPr>
        <w:t xml:space="preserve"> ratio</w:t>
      </w:r>
      <w:r>
        <w:rPr>
          <w:rFonts w:ascii="Arial" w:cs="Arial" w:eastAsia="Arial" w:hAnsi="Arial"/>
          <w:sz w:val="16"/>
          <w:szCs w:val="16"/>
          <w:color w:val="auto"/>
        </w:rPr>
        <w:t>—lowest level</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2016</w:t>
      </w:r>
    </w:p>
    <w:p>
      <w:pPr>
        <w:spacing w:after="0" w:line="126" w:lineRule="exact"/>
        <w:rPr>
          <w:sz w:val="20"/>
          <w:szCs w:val="20"/>
          <w:color w:val="auto"/>
        </w:rPr>
      </w:pPr>
    </w:p>
    <w:p>
      <w:pPr>
        <w:spacing w:after="0"/>
        <w:rPr>
          <w:sz w:val="20"/>
          <w:szCs w:val="20"/>
          <w:color w:val="auto"/>
        </w:rPr>
      </w:pPr>
      <w:r>
        <w:rPr>
          <w:rFonts w:ascii="Arial" w:cs="Arial" w:eastAsia="Arial" w:hAnsi="Arial"/>
          <w:sz w:val="84"/>
          <w:szCs w:val="84"/>
          <w:color w:val="00D2DC"/>
        </w:rPr>
        <w:t>43%</w:t>
      </w:r>
    </w:p>
    <w:p>
      <w:pPr>
        <w:spacing w:after="0" w:line="122" w:lineRule="exact"/>
        <w:rPr>
          <w:sz w:val="20"/>
          <w:szCs w:val="20"/>
          <w:color w:val="auto"/>
        </w:rPr>
      </w:pPr>
    </w:p>
    <w:p>
      <w:pPr>
        <w:ind w:left="60" w:right="720"/>
        <w:spacing w:after="0" w:line="321" w:lineRule="auto"/>
        <w:rPr>
          <w:sz w:val="20"/>
          <w:szCs w:val="20"/>
          <w:color w:val="auto"/>
        </w:rPr>
      </w:pPr>
      <w:r>
        <w:rPr>
          <w:rFonts w:ascii="Arial" w:cs="Arial" w:eastAsia="Arial" w:hAnsi="Arial"/>
          <w:sz w:val="15"/>
          <w:szCs w:val="15"/>
          <w:color w:val="auto"/>
        </w:rPr>
        <w:t xml:space="preserve">Increase in </w:t>
      </w:r>
      <w:r>
        <w:rPr>
          <w:rFonts w:ascii="Arial" w:cs="Arial" w:eastAsia="Arial" w:hAnsi="Arial"/>
          <w:sz w:val="15"/>
          <w:szCs w:val="15"/>
          <w:b w:val="1"/>
          <w:bCs w:val="1"/>
          <w:color w:val="auto"/>
        </w:rPr>
        <w:t>quarterly dividend</w:t>
      </w:r>
      <w:r>
        <w:rPr>
          <w:rFonts w:ascii="Arial" w:cs="Arial" w:eastAsia="Arial" w:hAnsi="Arial"/>
          <w:sz w:val="15"/>
          <w:szCs w:val="15"/>
          <w:color w:val="auto"/>
        </w:rPr>
        <w:t xml:space="preserve"> announced in January 2023</w:t>
      </w:r>
    </w:p>
    <w:p>
      <w:pPr>
        <w:spacing w:after="0" w:line="4564" w:lineRule="exact"/>
        <w:rPr>
          <w:sz w:val="20"/>
          <w:szCs w:val="20"/>
          <w:color w:val="auto"/>
        </w:rPr>
      </w:pPr>
    </w:p>
    <w:p>
      <w:pPr>
        <w:sectPr>
          <w:pgSz w:w="12060" w:h="15660" w:orient="portrait"/>
          <w:cols w:equalWidth="0" w:num="3">
            <w:col w:w="3300" w:space="400"/>
            <w:col w:w="3300" w:space="720"/>
            <w:col w:w="2920"/>
          </w:cols>
          <w:pgMar w:left="780" w:top="837" w:right="640"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400"/>
        <w:spacing w:after="0"/>
        <w:rPr>
          <w:sz w:val="20"/>
          <w:szCs w:val="20"/>
          <w:color w:val="auto"/>
        </w:rPr>
      </w:pPr>
      <w:r>
        <w:rPr>
          <w:rFonts w:ascii="Arial" w:cs="Arial" w:eastAsia="Arial" w:hAnsi="Arial"/>
          <w:sz w:val="20"/>
          <w:szCs w:val="20"/>
          <w:color w:val="FFFFFF"/>
        </w:rPr>
        <w:t>21</w:t>
      </w:r>
    </w:p>
    <w:p>
      <w:pPr>
        <w:sectPr>
          <w:pgSz w:w="12060" w:h="15660" w:orient="portrait"/>
          <w:cols w:equalWidth="0" w:num="1">
            <w:col w:w="10640"/>
          </w:cols>
          <w:pgMar w:left="780" w:top="837" w:right="640" w:bottom="65" w:gutter="0" w:footer="0" w:header="0"/>
          <w:type w:val="continuous"/>
        </w:sectPr>
      </w:pPr>
    </w:p>
    <w:bookmarkStart w:id="23" w:name="page24"/>
    <w:bookmarkEnd w:id="23"/>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8100" cy="9944100"/>
                        </a:xfrm>
                        <a:prstGeom prst="rect">
                          <a:avLst/>
                        </a:prstGeom>
                        <a:solidFill>
                          <a:srgbClr val="0014DC"/>
                        </a:solidFill>
                      </wps:spPr>
                      <wps:bodyPr/>
                    </wps:wsp>
                  </a:graphicData>
                </a:graphic>
              </wp:anchor>
            </w:drawing>
          </mc:Choice>
          <mc:Fallback>
            <w:pict>
              <v:rect id="Shape 71" o:spid="_x0000_s1096" style="position:absolute;margin-left:0pt;margin-top:0pt;width:603pt;height:78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14DC" stroked="f">
                <w10:wrap anchorx="page" anchory="page"/>
              </v:rec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8"/>
          <w:szCs w:val="198"/>
          <w:color w:val="FFFFFF"/>
        </w:rPr>
        <w:t>2022</w:t>
      </w:r>
    </w:p>
    <w:p>
      <w:pPr>
        <w:spacing w:after="0"/>
        <w:rPr>
          <w:sz w:val="20"/>
          <w:szCs w:val="20"/>
          <w:color w:val="auto"/>
        </w:rPr>
      </w:pPr>
      <w:r>
        <w:rPr>
          <w:rFonts w:ascii="Arial" w:cs="Arial" w:eastAsia="Arial" w:hAnsi="Arial"/>
          <w:sz w:val="183"/>
          <w:szCs w:val="183"/>
          <w:color w:val="FFFFFF"/>
        </w:rPr>
        <w:t>Form 10-K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30"/>
          <w:szCs w:val="30"/>
          <w:color w:val="FFFFFF"/>
        </w:rPr>
        <w:t>Schlumberger Limited</w:t>
      </w:r>
    </w:p>
    <w:p>
      <w:pPr>
        <w:sectPr>
          <w:pgSz w:w="12060" w:h="15660" w:orient="portrait"/>
          <w:cols w:equalWidth="0" w:num="1">
            <w:col w:w="10120"/>
          </w:cols>
          <w:pgMar w:left="500" w:top="1440" w:right="1440" w:bottom="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60" w:hanging="824"/>
        <w:spacing w:after="0"/>
        <w:tabs>
          <w:tab w:leader="none" w:pos="960" w:val="left"/>
        </w:tabs>
        <w:numPr>
          <w:ilvl w:val="0"/>
          <w:numId w:val="20"/>
        </w:numPr>
        <w:rPr>
          <w:rFonts w:ascii="Arial" w:cs="Arial" w:eastAsia="Arial" w:hAnsi="Arial"/>
          <w:sz w:val="19"/>
          <w:szCs w:val="19"/>
          <w:color w:val="FFFFFF"/>
        </w:rPr>
      </w:pPr>
      <w:r>
        <w:rPr>
          <w:rFonts w:ascii="Arial" w:cs="Arial" w:eastAsia="Arial" w:hAnsi="Arial"/>
          <w:sz w:val="19"/>
          <w:szCs w:val="19"/>
          <w:color w:val="FFFFFF"/>
        </w:rPr>
        <w:t>SLB 2022 Annual Report</w:t>
      </w:r>
    </w:p>
    <w:p>
      <w:pPr>
        <w:sectPr>
          <w:pgSz w:w="12060" w:h="15660" w:orient="portrait"/>
          <w:cols w:equalWidth="0" w:num="1">
            <w:col w:w="10120"/>
          </w:cols>
          <w:pgMar w:left="500" w:top="1440" w:right="1440" w:bottom="77"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32"/>
          <w:szCs w:val="32"/>
          <w:b w:val="1"/>
          <w:bCs w:val="1"/>
          <w:color w:val="auto"/>
        </w:rPr>
        <mc:AlternateContent>
          <mc:Choice Requires="wps">
            <w:drawing>
              <wp:anchor simplePos="0" relativeHeight="251657728" behindDoc="1" locked="0" layoutInCell="0" allowOverlap="1">
                <wp:simplePos x="0" y="0"/>
                <wp:positionH relativeFrom="page">
                  <wp:posOffset>533400</wp:posOffset>
                </wp:positionH>
                <wp:positionV relativeFrom="page">
                  <wp:posOffset>497840</wp:posOffset>
                </wp:positionV>
                <wp:extent cx="67056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pt,39.2pt" to="570pt,39.2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533400</wp:posOffset>
                </wp:positionH>
                <wp:positionV relativeFrom="page">
                  <wp:posOffset>535940</wp:posOffset>
                </wp:positionV>
                <wp:extent cx="67056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2pt,42.2pt" to="570pt,42.2pt" o:allowincell="f" strokecolor="#000000" strokeweight="0.5pt">
                <w10:wrap anchorx="page" anchory="page"/>
              </v:line>
            </w:pict>
          </mc:Fallback>
        </mc:AlternateContent>
        <w:t>UNITED STATES</w:t>
      </w:r>
    </w:p>
    <w:p>
      <w:pPr>
        <w:jc w:val="center"/>
        <w:spacing w:after="0" w:line="208"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26" w:lineRule="auto"/>
        <w:rPr>
          <w:sz w:val="20"/>
          <w:szCs w:val="20"/>
          <w:color w:val="auto"/>
        </w:rPr>
      </w:pPr>
      <w:r>
        <w:rPr>
          <w:rFonts w:ascii="Arial" w:cs="Arial" w:eastAsia="Arial" w:hAnsi="Arial"/>
          <w:sz w:val="20"/>
          <w:szCs w:val="20"/>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2641600</wp:posOffset>
                </wp:positionH>
                <wp:positionV relativeFrom="paragraph">
                  <wp:posOffset>61595</wp:posOffset>
                </wp:positionV>
                <wp:extent cx="14224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pt,4.85pt" to="320pt,4.85pt" o:allowincell="f" strokecolor="#000000" strokeweight="1pt"/>
            </w:pict>
          </mc:Fallback>
        </mc:AlternateConten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2641600</wp:posOffset>
                </wp:positionH>
                <wp:positionV relativeFrom="paragraph">
                  <wp:posOffset>46355</wp:posOffset>
                </wp:positionV>
                <wp:extent cx="14224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pt,3.65pt" to="320pt,3.65pt" o:allowincell="f" strokecolor="#000000" strokeweight="1pt"/>
            </w:pict>
          </mc:Fallback>
        </mc:AlternateConten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(Mark One)</w:t>
      </w:r>
    </w:p>
    <w:p>
      <w:pPr>
        <w:ind w:left="500" w:hanging="500"/>
        <w:spacing w:after="0"/>
        <w:tabs>
          <w:tab w:leader="none" w:pos="50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TRANSITION REPORT PURSUANT TO SECTION 13 OR 15(d) OF THE SECURITIES EXCHANGE ACT OF 1934</w:t>
      </w:r>
    </w:p>
    <w:p>
      <w:pPr>
        <w:spacing w:after="0" w:line="37" w:lineRule="exact"/>
        <w:rPr>
          <w:sz w:val="20"/>
          <w:szCs w:val="20"/>
          <w:color w:val="auto"/>
        </w:rPr>
      </w:pPr>
    </w:p>
    <w:p>
      <w:pPr>
        <w:ind w:left="3240"/>
        <w:spacing w:after="0"/>
        <w:tabs>
          <w:tab w:leader="none" w:pos="63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3509645</wp:posOffset>
                </wp:positionH>
                <wp:positionV relativeFrom="paragraph">
                  <wp:posOffset>14605</wp:posOffset>
                </wp:positionV>
                <wp:extent cx="5080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35pt,1.15pt" to="316.35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4141470</wp:posOffset>
                </wp:positionH>
                <wp:positionV relativeFrom="paragraph">
                  <wp:posOffset>14605</wp:posOffset>
                </wp:positionV>
                <wp:extent cx="5080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1pt,1.15pt" to="366.1pt,1.15pt" o:allowincell="f" strokecolor="#000000" strokeweight="0.5pt"/>
            </w:pict>
          </mc:Fallback>
        </mc:AlternateContent>
      </w:r>
    </w:p>
    <w:p>
      <w:pPr>
        <w:jc w:val="center"/>
        <w:spacing w:after="0"/>
        <w:rPr>
          <w:sz w:val="20"/>
          <w:szCs w:val="20"/>
          <w:color w:val="auto"/>
        </w:rPr>
      </w:pPr>
      <w:r>
        <w:rPr>
          <w:rFonts w:ascii="Arial" w:cs="Arial" w:eastAsia="Arial" w:hAnsi="Arial"/>
          <w:sz w:val="16"/>
          <w:szCs w:val="16"/>
          <w:b w:val="1"/>
          <w:bCs w:val="1"/>
          <w:color w:val="auto"/>
        </w:rPr>
        <w:t>Commission File Number 1-4601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61595</wp:posOffset>
            </wp:positionV>
            <wp:extent cx="1422400" cy="762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1">
                      <a:extLst>
                        <a:ext uri="{28A0092B-C50C-407E-A947-70E740481C1C}"/>
                      </a:extLst>
                    </a:blip>
                    <a:srcRect/>
                    <a:stretch>
                      <a:fillRect/>
                    </a:stretch>
                  </pic:blipFill>
                  <pic:spPr bwMode="auto">
                    <a:xfrm>
                      <a:off x="0" y="0"/>
                      <a:ext cx="1422400"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44"/>
          <w:szCs w:val="44"/>
          <w:b w:val="1"/>
          <w:bCs w:val="1"/>
          <w:color w:val="auto"/>
        </w:rPr>
        <w:t>Schlumberger N.V.</w:t>
      </w:r>
    </w:p>
    <w:p>
      <w:pPr>
        <w:jc w:val="center"/>
        <w:spacing w:after="0" w:line="222" w:lineRule="auto"/>
        <w:rPr>
          <w:sz w:val="20"/>
          <w:szCs w:val="20"/>
          <w:color w:val="auto"/>
        </w:rPr>
      </w:pPr>
      <w:r>
        <w:rPr>
          <w:rFonts w:ascii="Arial" w:cs="Arial" w:eastAsia="Arial" w:hAnsi="Arial"/>
          <w:sz w:val="44"/>
          <w:szCs w:val="44"/>
          <w:b w:val="1"/>
          <w:bCs w:val="1"/>
          <w:color w:val="auto"/>
        </w:rPr>
        <w:t>(Schlumberger Limited)</w:t>
      </w:r>
    </w:p>
    <w:p>
      <w:pPr>
        <w:jc w:val="center"/>
        <w:spacing w:after="0" w:line="236" w:lineRule="auto"/>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2641600</wp:posOffset>
                </wp:positionH>
                <wp:positionV relativeFrom="paragraph">
                  <wp:posOffset>67945</wp:posOffset>
                </wp:positionV>
                <wp:extent cx="14224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pt,5.35pt" to="320pt,5.35pt" o:allowincell="f" strokecolor="#000000" strokeweight="1pt"/>
            </w:pict>
          </mc:Fallback>
        </mc:AlternateContent>
      </w:r>
    </w:p>
    <w:p>
      <w:pPr>
        <w:spacing w:after="0" w:line="175"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4860" w:type="dxa"/>
            <w:vAlign w:val="bottom"/>
          </w:tcPr>
          <w:p>
            <w:pPr>
              <w:jc w:val="center"/>
              <w:ind w:right="1141"/>
              <w:spacing w:after="0"/>
              <w:rPr>
                <w:sz w:val="20"/>
                <w:szCs w:val="20"/>
                <w:color w:val="auto"/>
              </w:rPr>
            </w:pPr>
            <w:r>
              <w:rPr>
                <w:rFonts w:ascii="Arial" w:cs="Arial" w:eastAsia="Arial" w:hAnsi="Arial"/>
                <w:sz w:val="18"/>
                <w:szCs w:val="18"/>
                <w:b w:val="1"/>
                <w:bCs w:val="1"/>
                <w:color w:val="auto"/>
                <w:w w:val="99"/>
              </w:rPr>
              <w:t>Curaçao</w:t>
            </w:r>
          </w:p>
        </w:tc>
        <w:tc>
          <w:tcPr>
            <w:tcW w:w="3300" w:type="dxa"/>
            <w:vAlign w:val="bottom"/>
          </w:tcPr>
          <w:p>
            <w:pPr>
              <w:jc w:val="center"/>
              <w:ind w:left="1181"/>
              <w:spacing w:after="0"/>
              <w:rPr>
                <w:sz w:val="20"/>
                <w:szCs w:val="20"/>
                <w:color w:val="auto"/>
              </w:rPr>
            </w:pPr>
            <w:r>
              <w:rPr>
                <w:rFonts w:ascii="Arial" w:cs="Arial" w:eastAsia="Arial" w:hAnsi="Arial"/>
                <w:sz w:val="18"/>
                <w:szCs w:val="18"/>
                <w:b w:val="1"/>
                <w:bCs w:val="1"/>
                <w:color w:val="auto"/>
                <w:w w:val="99"/>
              </w:rPr>
              <w:t>52-0684746</w:t>
            </w:r>
          </w:p>
        </w:tc>
      </w:tr>
      <w:tr>
        <w:trPr>
          <w:trHeight w:val="172"/>
        </w:trPr>
        <w:tc>
          <w:tcPr>
            <w:tcW w:w="4860" w:type="dxa"/>
            <w:vAlign w:val="bottom"/>
          </w:tcPr>
          <w:p>
            <w:pPr>
              <w:jc w:val="center"/>
              <w:ind w:right="1161"/>
              <w:spacing w:after="0"/>
              <w:rPr>
                <w:sz w:val="20"/>
                <w:szCs w:val="20"/>
                <w:color w:val="auto"/>
              </w:rPr>
            </w:pPr>
            <w:r>
              <w:rPr>
                <w:rFonts w:ascii="Arial" w:cs="Arial" w:eastAsia="Arial" w:hAnsi="Arial"/>
                <w:sz w:val="14"/>
                <w:szCs w:val="14"/>
                <w:color w:val="auto"/>
              </w:rPr>
              <w:t>(State or other jurisdiction of incorporation or organization)</w:t>
            </w:r>
          </w:p>
        </w:tc>
        <w:tc>
          <w:tcPr>
            <w:tcW w:w="3300" w:type="dxa"/>
            <w:vAlign w:val="bottom"/>
          </w:tcPr>
          <w:p>
            <w:pPr>
              <w:jc w:val="center"/>
              <w:ind w:left="1181"/>
              <w:spacing w:after="0"/>
              <w:rPr>
                <w:sz w:val="20"/>
                <w:szCs w:val="20"/>
                <w:color w:val="auto"/>
              </w:rPr>
            </w:pPr>
            <w:r>
              <w:rPr>
                <w:rFonts w:ascii="Arial" w:cs="Arial" w:eastAsia="Arial" w:hAnsi="Arial"/>
                <w:sz w:val="14"/>
                <w:szCs w:val="14"/>
                <w:color w:val="auto"/>
              </w:rPr>
              <w:t>(IRS Employer Identification No.)</w:t>
            </w:r>
          </w:p>
        </w:tc>
      </w:tr>
      <w:tr>
        <w:trPr>
          <w:trHeight w:val="212"/>
        </w:trPr>
        <w:tc>
          <w:tcPr>
            <w:tcW w:w="4860" w:type="dxa"/>
            <w:vAlign w:val="bottom"/>
          </w:tcPr>
          <w:p>
            <w:pPr>
              <w:jc w:val="center"/>
              <w:ind w:right="1161"/>
              <w:spacing w:after="0"/>
              <w:rPr>
                <w:sz w:val="20"/>
                <w:szCs w:val="20"/>
                <w:color w:val="auto"/>
              </w:rPr>
            </w:pPr>
            <w:r>
              <w:rPr>
                <w:rFonts w:ascii="Arial" w:cs="Arial" w:eastAsia="Arial" w:hAnsi="Arial"/>
                <w:sz w:val="16"/>
                <w:szCs w:val="16"/>
                <w:b w:val="1"/>
                <w:bCs w:val="1"/>
                <w:color w:val="auto"/>
                <w:w w:val="99"/>
              </w:rPr>
              <w:t>42 rue Saint-Dominique</w:t>
            </w:r>
          </w:p>
        </w:tc>
        <w:tc>
          <w:tcPr>
            <w:tcW w:w="3300" w:type="dxa"/>
            <w:vAlign w:val="bottom"/>
          </w:tcPr>
          <w:p>
            <w:pPr>
              <w:spacing w:after="0"/>
              <w:rPr>
                <w:sz w:val="18"/>
                <w:szCs w:val="18"/>
                <w:color w:val="auto"/>
              </w:rPr>
            </w:pPr>
          </w:p>
        </w:tc>
      </w:tr>
      <w:tr>
        <w:trPr>
          <w:trHeight w:val="181"/>
        </w:trPr>
        <w:tc>
          <w:tcPr>
            <w:tcW w:w="4860" w:type="dxa"/>
            <w:vAlign w:val="bottom"/>
          </w:tcPr>
          <w:p>
            <w:pPr>
              <w:jc w:val="center"/>
              <w:ind w:right="1161"/>
              <w:spacing w:after="0" w:line="181" w:lineRule="exact"/>
              <w:rPr>
                <w:sz w:val="20"/>
                <w:szCs w:val="20"/>
                <w:color w:val="auto"/>
              </w:rPr>
            </w:pPr>
            <w:r>
              <w:rPr>
                <w:rFonts w:ascii="Arial" w:cs="Arial" w:eastAsia="Arial" w:hAnsi="Arial"/>
                <w:sz w:val="16"/>
                <w:szCs w:val="16"/>
                <w:b w:val="1"/>
                <w:bCs w:val="1"/>
                <w:color w:val="auto"/>
              </w:rPr>
              <w:t>Paris, France</w:t>
            </w:r>
          </w:p>
        </w:tc>
        <w:tc>
          <w:tcPr>
            <w:tcW w:w="3300" w:type="dxa"/>
            <w:vAlign w:val="bottom"/>
          </w:tcPr>
          <w:p>
            <w:pPr>
              <w:jc w:val="center"/>
              <w:ind w:left="1181"/>
              <w:spacing w:after="0" w:line="181" w:lineRule="exact"/>
              <w:rPr>
                <w:sz w:val="20"/>
                <w:szCs w:val="20"/>
                <w:color w:val="auto"/>
              </w:rPr>
            </w:pPr>
            <w:r>
              <w:rPr>
                <w:rFonts w:ascii="Arial" w:cs="Arial" w:eastAsia="Arial" w:hAnsi="Arial"/>
                <w:sz w:val="16"/>
                <w:szCs w:val="16"/>
                <w:b w:val="1"/>
                <w:bCs w:val="1"/>
                <w:color w:val="auto"/>
                <w:w w:val="98"/>
              </w:rPr>
              <w:t>75007</w:t>
            </w:r>
          </w:p>
        </w:tc>
      </w:tr>
      <w:tr>
        <w:trPr>
          <w:trHeight w:val="208"/>
        </w:trPr>
        <w:tc>
          <w:tcPr>
            <w:tcW w:w="4860" w:type="dxa"/>
            <w:vAlign w:val="bottom"/>
          </w:tcPr>
          <w:p>
            <w:pPr>
              <w:jc w:val="center"/>
              <w:ind w:right="1161"/>
              <w:spacing w:after="0" w:line="208" w:lineRule="exact"/>
              <w:rPr>
                <w:sz w:val="20"/>
                <w:szCs w:val="20"/>
                <w:color w:val="auto"/>
              </w:rPr>
            </w:pPr>
            <w:r>
              <w:rPr>
                <w:rFonts w:ascii="Arial" w:cs="Arial" w:eastAsia="Arial" w:hAnsi="Arial"/>
                <w:sz w:val="16"/>
                <w:szCs w:val="16"/>
                <w:b w:val="1"/>
                <w:bCs w:val="1"/>
                <w:color w:val="auto"/>
                <w:w w:val="99"/>
              </w:rPr>
              <w:t>5599 San Felipe, 17</w:t>
            </w:r>
            <w:r>
              <w:rPr>
                <w:rFonts w:ascii="Arial" w:cs="Arial" w:eastAsia="Arial" w:hAnsi="Arial"/>
                <w:sz w:val="20"/>
                <w:szCs w:val="20"/>
                <w:b w:val="1"/>
                <w:bCs w:val="1"/>
                <w:color w:val="auto"/>
                <w:w w:val="99"/>
                <w:vertAlign w:val="superscript"/>
              </w:rPr>
              <w:t>th</w:t>
            </w:r>
            <w:r>
              <w:rPr>
                <w:rFonts w:ascii="Arial" w:cs="Arial" w:eastAsia="Arial" w:hAnsi="Arial"/>
                <w:sz w:val="16"/>
                <w:szCs w:val="16"/>
                <w:b w:val="1"/>
                <w:bCs w:val="1"/>
                <w:color w:val="auto"/>
                <w:w w:val="99"/>
              </w:rPr>
              <w:t xml:space="preserve"> Floor</w:t>
            </w:r>
          </w:p>
        </w:tc>
        <w:tc>
          <w:tcPr>
            <w:tcW w:w="3300" w:type="dxa"/>
            <w:vAlign w:val="bottom"/>
          </w:tcPr>
          <w:p>
            <w:pPr>
              <w:spacing w:after="0"/>
              <w:rPr>
                <w:sz w:val="18"/>
                <w:szCs w:val="18"/>
                <w:color w:val="auto"/>
              </w:rPr>
            </w:pPr>
          </w:p>
        </w:tc>
      </w:tr>
      <w:tr>
        <w:trPr>
          <w:trHeight w:val="181"/>
        </w:trPr>
        <w:tc>
          <w:tcPr>
            <w:tcW w:w="4860" w:type="dxa"/>
            <w:vAlign w:val="bottom"/>
          </w:tcPr>
          <w:p>
            <w:pPr>
              <w:jc w:val="center"/>
              <w:ind w:right="1161"/>
              <w:spacing w:after="0" w:line="181" w:lineRule="exact"/>
              <w:rPr>
                <w:sz w:val="20"/>
                <w:szCs w:val="20"/>
                <w:color w:val="auto"/>
              </w:rPr>
            </w:pPr>
            <w:r>
              <w:rPr>
                <w:rFonts w:ascii="Arial" w:cs="Arial" w:eastAsia="Arial" w:hAnsi="Arial"/>
                <w:sz w:val="16"/>
                <w:szCs w:val="16"/>
                <w:b w:val="1"/>
                <w:bCs w:val="1"/>
                <w:color w:val="auto"/>
              </w:rPr>
              <w:t>Houston, Texas, United States of America</w:t>
            </w:r>
          </w:p>
        </w:tc>
        <w:tc>
          <w:tcPr>
            <w:tcW w:w="3300" w:type="dxa"/>
            <w:vAlign w:val="bottom"/>
          </w:tcPr>
          <w:p>
            <w:pPr>
              <w:jc w:val="center"/>
              <w:ind w:left="1181"/>
              <w:spacing w:after="0" w:line="181" w:lineRule="exact"/>
              <w:rPr>
                <w:sz w:val="20"/>
                <w:szCs w:val="20"/>
                <w:color w:val="auto"/>
              </w:rPr>
            </w:pPr>
            <w:r>
              <w:rPr>
                <w:rFonts w:ascii="Arial" w:cs="Arial" w:eastAsia="Arial" w:hAnsi="Arial"/>
                <w:sz w:val="16"/>
                <w:szCs w:val="16"/>
                <w:b w:val="1"/>
                <w:bCs w:val="1"/>
                <w:color w:val="auto"/>
                <w:w w:val="98"/>
              </w:rPr>
              <w:t>77056</w:t>
            </w:r>
          </w:p>
        </w:tc>
      </w:tr>
      <w:tr>
        <w:trPr>
          <w:trHeight w:val="208"/>
        </w:trPr>
        <w:tc>
          <w:tcPr>
            <w:tcW w:w="4860" w:type="dxa"/>
            <w:vAlign w:val="bottom"/>
          </w:tcPr>
          <w:p>
            <w:pPr>
              <w:jc w:val="center"/>
              <w:ind w:right="1161"/>
              <w:spacing w:after="0"/>
              <w:rPr>
                <w:sz w:val="20"/>
                <w:szCs w:val="20"/>
                <w:color w:val="auto"/>
              </w:rPr>
            </w:pPr>
            <w:r>
              <w:rPr>
                <w:rFonts w:ascii="Arial" w:cs="Arial" w:eastAsia="Arial" w:hAnsi="Arial"/>
                <w:sz w:val="16"/>
                <w:szCs w:val="16"/>
                <w:b w:val="1"/>
                <w:bCs w:val="1"/>
                <w:color w:val="auto"/>
                <w:w w:val="99"/>
              </w:rPr>
              <w:t>62 Buckingham Gate</w:t>
            </w:r>
          </w:p>
        </w:tc>
        <w:tc>
          <w:tcPr>
            <w:tcW w:w="3300" w:type="dxa"/>
            <w:vAlign w:val="bottom"/>
          </w:tcPr>
          <w:p>
            <w:pPr>
              <w:spacing w:after="0"/>
              <w:rPr>
                <w:sz w:val="18"/>
                <w:szCs w:val="18"/>
                <w:color w:val="auto"/>
              </w:rPr>
            </w:pPr>
          </w:p>
        </w:tc>
      </w:tr>
      <w:tr>
        <w:trPr>
          <w:trHeight w:val="181"/>
        </w:trPr>
        <w:tc>
          <w:tcPr>
            <w:tcW w:w="4860" w:type="dxa"/>
            <w:vAlign w:val="bottom"/>
          </w:tcPr>
          <w:p>
            <w:pPr>
              <w:jc w:val="center"/>
              <w:ind w:right="1161"/>
              <w:spacing w:after="0" w:line="181" w:lineRule="exact"/>
              <w:rPr>
                <w:sz w:val="20"/>
                <w:szCs w:val="20"/>
                <w:color w:val="auto"/>
              </w:rPr>
            </w:pPr>
            <w:r>
              <w:rPr>
                <w:rFonts w:ascii="Arial" w:cs="Arial" w:eastAsia="Arial" w:hAnsi="Arial"/>
                <w:sz w:val="16"/>
                <w:szCs w:val="16"/>
                <w:b w:val="1"/>
                <w:bCs w:val="1"/>
                <w:color w:val="auto"/>
                <w:w w:val="99"/>
              </w:rPr>
              <w:t>London, United Kingdom</w:t>
            </w:r>
          </w:p>
        </w:tc>
        <w:tc>
          <w:tcPr>
            <w:tcW w:w="3300" w:type="dxa"/>
            <w:vAlign w:val="bottom"/>
          </w:tcPr>
          <w:p>
            <w:pPr>
              <w:jc w:val="center"/>
              <w:ind w:left="1181"/>
              <w:spacing w:after="0" w:line="181" w:lineRule="exact"/>
              <w:rPr>
                <w:sz w:val="20"/>
                <w:szCs w:val="20"/>
                <w:color w:val="auto"/>
              </w:rPr>
            </w:pPr>
            <w:r>
              <w:rPr>
                <w:rFonts w:ascii="Arial" w:cs="Arial" w:eastAsia="Arial" w:hAnsi="Arial"/>
                <w:sz w:val="16"/>
                <w:szCs w:val="16"/>
                <w:b w:val="1"/>
                <w:bCs w:val="1"/>
                <w:color w:val="auto"/>
              </w:rPr>
              <w:t>SW1E 6AJ</w:t>
            </w:r>
          </w:p>
        </w:tc>
      </w:tr>
      <w:tr>
        <w:trPr>
          <w:trHeight w:val="208"/>
        </w:trPr>
        <w:tc>
          <w:tcPr>
            <w:tcW w:w="4860" w:type="dxa"/>
            <w:vAlign w:val="bottom"/>
          </w:tcPr>
          <w:p>
            <w:pPr>
              <w:jc w:val="center"/>
              <w:ind w:right="1161"/>
              <w:spacing w:after="0"/>
              <w:rPr>
                <w:sz w:val="20"/>
                <w:szCs w:val="20"/>
                <w:color w:val="auto"/>
              </w:rPr>
            </w:pPr>
            <w:r>
              <w:rPr>
                <w:rFonts w:ascii="Arial" w:cs="Arial" w:eastAsia="Arial" w:hAnsi="Arial"/>
                <w:sz w:val="16"/>
                <w:szCs w:val="16"/>
                <w:b w:val="1"/>
                <w:bCs w:val="1"/>
                <w:color w:val="auto"/>
              </w:rPr>
              <w:t>Parkstraat 83</w:t>
            </w:r>
          </w:p>
        </w:tc>
        <w:tc>
          <w:tcPr>
            <w:tcW w:w="3300" w:type="dxa"/>
            <w:vAlign w:val="bottom"/>
          </w:tcPr>
          <w:p>
            <w:pPr>
              <w:spacing w:after="0"/>
              <w:rPr>
                <w:sz w:val="18"/>
                <w:szCs w:val="18"/>
                <w:color w:val="auto"/>
              </w:rPr>
            </w:pPr>
          </w:p>
        </w:tc>
      </w:tr>
      <w:tr>
        <w:trPr>
          <w:trHeight w:val="181"/>
        </w:trPr>
        <w:tc>
          <w:tcPr>
            <w:tcW w:w="4860" w:type="dxa"/>
            <w:vAlign w:val="bottom"/>
          </w:tcPr>
          <w:p>
            <w:pPr>
              <w:jc w:val="center"/>
              <w:ind w:right="1181"/>
              <w:spacing w:after="0" w:line="181" w:lineRule="exact"/>
              <w:rPr>
                <w:sz w:val="20"/>
                <w:szCs w:val="20"/>
                <w:color w:val="auto"/>
              </w:rPr>
            </w:pPr>
            <w:r>
              <w:rPr>
                <w:rFonts w:ascii="Arial" w:cs="Arial" w:eastAsia="Arial" w:hAnsi="Arial"/>
                <w:sz w:val="16"/>
                <w:szCs w:val="16"/>
                <w:b w:val="1"/>
                <w:bCs w:val="1"/>
                <w:color w:val="auto"/>
                <w:w w:val="99"/>
              </w:rPr>
              <w:t>The Hague, The Netherlands</w:t>
            </w:r>
          </w:p>
        </w:tc>
        <w:tc>
          <w:tcPr>
            <w:tcW w:w="3300" w:type="dxa"/>
            <w:vAlign w:val="bottom"/>
          </w:tcPr>
          <w:p>
            <w:pPr>
              <w:jc w:val="center"/>
              <w:ind w:left="1181"/>
              <w:spacing w:after="0" w:line="181" w:lineRule="exact"/>
              <w:rPr>
                <w:sz w:val="20"/>
                <w:szCs w:val="20"/>
                <w:color w:val="auto"/>
              </w:rPr>
            </w:pPr>
            <w:r>
              <w:rPr>
                <w:rFonts w:ascii="Arial" w:cs="Arial" w:eastAsia="Arial" w:hAnsi="Arial"/>
                <w:sz w:val="16"/>
                <w:szCs w:val="16"/>
                <w:b w:val="1"/>
                <w:bCs w:val="1"/>
                <w:color w:val="auto"/>
                <w:w w:val="97"/>
              </w:rPr>
              <w:t>2514 JG</w:t>
            </w:r>
          </w:p>
        </w:tc>
      </w:tr>
      <w:tr>
        <w:trPr>
          <w:trHeight w:val="157"/>
        </w:trPr>
        <w:tc>
          <w:tcPr>
            <w:tcW w:w="4860" w:type="dxa"/>
            <w:vAlign w:val="bottom"/>
          </w:tcPr>
          <w:p>
            <w:pPr>
              <w:jc w:val="center"/>
              <w:ind w:right="1161"/>
              <w:spacing w:after="0" w:line="157" w:lineRule="exact"/>
              <w:rPr>
                <w:sz w:val="20"/>
                <w:szCs w:val="20"/>
                <w:color w:val="auto"/>
              </w:rPr>
            </w:pPr>
            <w:r>
              <w:rPr>
                <w:rFonts w:ascii="Arial" w:cs="Arial" w:eastAsia="Arial" w:hAnsi="Arial"/>
                <w:sz w:val="14"/>
                <w:szCs w:val="14"/>
                <w:color w:val="auto"/>
                <w:w w:val="99"/>
              </w:rPr>
              <w:t>(Addresses of principal executive offices)</w:t>
            </w:r>
          </w:p>
        </w:tc>
        <w:tc>
          <w:tcPr>
            <w:tcW w:w="3300" w:type="dxa"/>
            <w:vAlign w:val="bottom"/>
          </w:tcPr>
          <w:p>
            <w:pPr>
              <w:jc w:val="center"/>
              <w:ind w:left="1181"/>
              <w:spacing w:after="0" w:line="157" w:lineRule="exact"/>
              <w:rPr>
                <w:sz w:val="20"/>
                <w:szCs w:val="20"/>
                <w:color w:val="auto"/>
              </w:rPr>
            </w:pPr>
            <w:r>
              <w:rPr>
                <w:rFonts w:ascii="Arial" w:cs="Arial" w:eastAsia="Arial" w:hAnsi="Arial"/>
                <w:sz w:val="14"/>
                <w:szCs w:val="14"/>
                <w:color w:val="auto"/>
                <w:w w:val="98"/>
              </w:rPr>
              <w:t>(Zip Codes)</w:t>
            </w:r>
          </w:p>
        </w:tc>
      </w:tr>
    </w:tbl>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 the United States, including area code, is: (713) 513-2000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260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rPr>
              <w:t>Title of each class</w:t>
            </w:r>
          </w:p>
        </w:tc>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2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8"/>
        </w:trPr>
        <w:tc>
          <w:tcPr>
            <w:tcW w:w="8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r>
        <w:trPr>
          <w:trHeight w:val="202"/>
        </w:trPr>
        <w:tc>
          <w:tcPr>
            <w:tcW w:w="3420" w:type="dxa"/>
            <w:vAlign w:val="bottom"/>
            <w:gridSpan w:val="3"/>
          </w:tcPr>
          <w:p>
            <w:pPr>
              <w:jc w:val="center"/>
              <w:ind w:right="400"/>
              <w:spacing w:after="0"/>
              <w:rPr>
                <w:sz w:val="20"/>
                <w:szCs w:val="20"/>
                <w:color w:val="auto"/>
              </w:rPr>
            </w:pPr>
            <w:r>
              <w:rPr>
                <w:rFonts w:ascii="Arial" w:cs="Arial" w:eastAsia="Arial" w:hAnsi="Arial"/>
                <w:sz w:val="16"/>
                <w:szCs w:val="16"/>
                <w:color w:val="auto"/>
              </w:rPr>
              <w:t>Common Stock, par value $0.01 per share</w:t>
            </w:r>
          </w:p>
        </w:tc>
        <w:tc>
          <w:tcPr>
            <w:tcW w:w="3320" w:type="dxa"/>
            <w:vAlign w:val="bottom"/>
          </w:tcPr>
          <w:p>
            <w:pPr>
              <w:jc w:val="center"/>
              <w:spacing w:after="0"/>
              <w:rPr>
                <w:sz w:val="20"/>
                <w:szCs w:val="20"/>
                <w:color w:val="auto"/>
              </w:rPr>
            </w:pPr>
            <w:r>
              <w:rPr>
                <w:rFonts w:ascii="Arial" w:cs="Arial" w:eastAsia="Arial" w:hAnsi="Arial"/>
                <w:sz w:val="16"/>
                <w:szCs w:val="16"/>
                <w:color w:val="auto"/>
              </w:rPr>
              <w:t>SLB</w:t>
            </w:r>
          </w:p>
        </w:tc>
        <w:tc>
          <w:tcPr>
            <w:tcW w:w="2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2641600</wp:posOffset>
                </wp:positionH>
                <wp:positionV relativeFrom="paragraph">
                  <wp:posOffset>67945</wp:posOffset>
                </wp:positionV>
                <wp:extent cx="14224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pt,5.35pt" to="320pt,5.35pt" o:allowincell="f" strokecolor="#000000" strokeweight="1pt"/>
            </w:pict>
          </mc:Fallback>
        </mc:AlternateContent>
      </w:r>
    </w:p>
    <w:p>
      <w:pPr>
        <w:spacing w:after="0" w:line="159" w:lineRule="exact"/>
        <w:rPr>
          <w:sz w:val="20"/>
          <w:szCs w:val="20"/>
          <w:color w:val="auto"/>
        </w:rPr>
      </w:pPr>
    </w:p>
    <w:p>
      <w:pPr>
        <w:ind w:right="1160"/>
        <w:spacing w:after="0" w:line="2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w:t>
      </w:r>
      <w:r>
        <w:rPr>
          <w:rFonts w:ascii="Arial" w:cs="Arial" w:eastAsia="Arial" w:hAnsi="Arial"/>
          <w:sz w:val="12"/>
          <w:szCs w:val="12"/>
          <w:color w:val="auto"/>
        </w:rPr>
        <w:t>ES</w:t>
      </w:r>
      <w:r>
        <w:rPr>
          <w:rFonts w:ascii="Arial" w:cs="Arial" w:eastAsia="Arial" w:hAnsi="Arial"/>
          <w:sz w:val="16"/>
          <w:szCs w:val="16"/>
          <w:color w:val="auto"/>
        </w:rPr>
        <w:t xml:space="preserve"> Í N</w:t>
      </w:r>
      <w:r>
        <w:rPr>
          <w:rFonts w:ascii="Arial" w:cs="Arial" w:eastAsia="Arial" w:hAnsi="Arial"/>
          <w:sz w:val="12"/>
          <w:szCs w:val="12"/>
          <w:color w:val="auto"/>
        </w:rPr>
        <w:t>O</w:t>
      </w:r>
      <w:r>
        <w:rPr>
          <w:rFonts w:ascii="Arial" w:cs="Arial" w:eastAsia="Arial" w:hAnsi="Arial"/>
          <w:sz w:val="16"/>
          <w:szCs w:val="16"/>
          <w:color w:val="auto"/>
        </w:rPr>
        <w:t xml:space="preserve"> ‘ Indicate by check mark if the registrant is not required to file reports pursuant to Section 13 or Section 15(d) of the Act. Y</w:t>
      </w:r>
      <w:r>
        <w:rPr>
          <w:rFonts w:ascii="Arial" w:cs="Arial" w:eastAsia="Arial" w:hAnsi="Arial"/>
          <w:sz w:val="12"/>
          <w:szCs w:val="12"/>
          <w:color w:val="auto"/>
        </w:rPr>
        <w:t>ES</w:t>
      </w:r>
      <w:r>
        <w:rPr>
          <w:rFonts w:ascii="Arial" w:cs="Arial" w:eastAsia="Arial" w:hAnsi="Arial"/>
          <w:sz w:val="16"/>
          <w:szCs w:val="16"/>
          <w:color w:val="auto"/>
        </w:rPr>
        <w:t xml:space="preserve"> ‘ N</w:t>
      </w:r>
      <w:r>
        <w:rPr>
          <w:rFonts w:ascii="Arial" w:cs="Arial" w:eastAsia="Arial" w:hAnsi="Arial"/>
          <w:sz w:val="12"/>
          <w:szCs w:val="12"/>
          <w:color w:val="auto"/>
        </w:rPr>
        <w:t>O</w:t>
      </w:r>
      <w:r>
        <w:rPr>
          <w:rFonts w:ascii="Arial" w:cs="Arial" w:eastAsia="Arial" w:hAnsi="Arial"/>
          <w:sz w:val="16"/>
          <w:szCs w:val="16"/>
          <w:color w:val="auto"/>
        </w:rPr>
        <w:t xml:space="preserve"> Í</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cs="Arial" w:eastAsia="Arial" w:hAnsi="Arial"/>
          <w:sz w:val="12"/>
          <w:szCs w:val="12"/>
          <w:color w:val="auto"/>
        </w:rPr>
        <w:t>ES</w:t>
      </w:r>
      <w:r>
        <w:rPr>
          <w:rFonts w:ascii="Arial" w:cs="Arial" w:eastAsia="Arial" w:hAnsi="Arial"/>
          <w:sz w:val="16"/>
          <w:szCs w:val="16"/>
          <w:color w:val="auto"/>
        </w:rPr>
        <w:t xml:space="preserve"> Í N</w:t>
      </w:r>
      <w:r>
        <w:rPr>
          <w:rFonts w:ascii="Arial" w:cs="Arial" w:eastAsia="Arial" w:hAnsi="Arial"/>
          <w:sz w:val="12"/>
          <w:szCs w:val="12"/>
          <w:color w:val="auto"/>
        </w:rPr>
        <w:t>O</w:t>
      </w:r>
      <w:r>
        <w:rPr>
          <w:rFonts w:ascii="Arial" w:cs="Arial" w:eastAsia="Arial" w:hAnsi="Arial"/>
          <w:sz w:val="16"/>
          <w:szCs w:val="16"/>
          <w:color w:val="auto"/>
        </w:rPr>
        <w:t xml:space="preserve"> ‘</w:t>
      </w:r>
    </w:p>
    <w:p>
      <w:pPr>
        <w:spacing w:after="0" w:line="3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w:t>
      </w:r>
      <w:r>
        <w:rPr>
          <w:rFonts w:ascii="Arial" w:cs="Arial" w:eastAsia="Arial" w:hAnsi="Arial"/>
          <w:sz w:val="12"/>
          <w:szCs w:val="12"/>
          <w:color w:val="auto"/>
        </w:rPr>
        <w:t>ES</w:t>
      </w:r>
      <w:r>
        <w:rPr>
          <w:rFonts w:ascii="Arial" w:cs="Arial" w:eastAsia="Arial" w:hAnsi="Arial"/>
          <w:sz w:val="16"/>
          <w:szCs w:val="16"/>
          <w:color w:val="auto"/>
        </w:rPr>
        <w:t xml:space="preserve"> Í N</w:t>
      </w:r>
      <w:r>
        <w:rPr>
          <w:rFonts w:ascii="Arial" w:cs="Arial" w:eastAsia="Arial" w:hAnsi="Arial"/>
          <w:sz w:val="12"/>
          <w:szCs w:val="12"/>
          <w:color w:val="auto"/>
        </w:rPr>
        <w:t>O</w:t>
      </w:r>
      <w:r>
        <w:rPr>
          <w:rFonts w:ascii="Arial" w:cs="Arial" w:eastAsia="Arial" w:hAnsi="Arial"/>
          <w:sz w:val="16"/>
          <w:szCs w:val="16"/>
          <w:color w:val="auto"/>
        </w:rPr>
        <w:t xml:space="preserve"> ‘ 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Large accelerated filer È Accelerated filer ‘ Non-accelerated filer ‘ Smaller reporting company ‘ Emerging growth company ‘ 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5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È</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 NO Í</w:t>
      </w:r>
    </w:p>
    <w:p>
      <w:pPr>
        <w:spacing w:after="0" w:line="3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of June 30, 2022, the aggregate market value of the common stock of the registrant held by non-affiliates of the registrant was approximately $50.51 billion.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number of shares of common stock outstanding was 1,420,188,492.</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Certain information required to be furnished pursuant to Part III of this Form 10-K is set forth in, and is incorporated by reference from, the registrant’s definitive proxy statement for its 2023 Annual General Meeting of Stockholders, to be filed by the registrant with the Securities and Exchange Commission (“SEC”) pursuant to Regulation 14A within 120 days after December 31, 2022 (the “2023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33655</wp:posOffset>
                </wp:positionV>
                <wp:extent cx="67056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5pt" to="528pt,2.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7056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528pt,5.65pt" o:allowincell="f" strokecolor="#000000" strokeweight="0.5pt"/>
            </w:pict>
          </mc:Fallback>
        </mc:AlternateContent>
      </w:r>
    </w:p>
    <w:p>
      <w:pPr>
        <w:sectPr>
          <w:pgSz w:w="12240" w:h="15840" w:orient="portrait"/>
          <w:cols w:equalWidth="0" w:num="1">
            <w:col w:w="10560"/>
          </w:cols>
          <w:pgMar w:left="840" w:top="947" w:right="840" w:bottom="345" w:gutter="0" w:footer="0" w:header="0"/>
        </w:sectPr>
      </w:pPr>
    </w:p>
    <w:bookmarkStart w:id="25" w:name="page26"/>
    <w:bookmarkEnd w:id="25"/>
    <w:p>
      <w:pPr>
        <w:spacing w:after="0" w:line="5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SCHLUMBERGER LIMITED</w:t>
      </w:r>
    </w:p>
    <w:p>
      <w:pPr>
        <w:spacing w:after="0" w:line="1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Table of Contents</w:t>
      </w:r>
    </w:p>
    <w:p>
      <w:pPr>
        <w:spacing w:after="0" w:line="1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Form 10-K</w:t>
      </w:r>
    </w:p>
    <w:p>
      <w:pPr>
        <w:spacing w:after="0" w:line="226"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5658485</wp:posOffset>
                </wp:positionH>
                <wp:positionV relativeFrom="paragraph">
                  <wp:posOffset>27305</wp:posOffset>
                </wp:positionV>
                <wp:extent cx="20891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9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55pt,2.15pt" to="462pt,2.15pt" o:allowincell="f" strokecolor="#000000" strokeweight="0.5pt"/>
            </w:pict>
          </mc:Fallback>
        </mc:AlternateConten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 I</w:t>
      </w:r>
    </w:p>
    <w:p>
      <w:pPr>
        <w:spacing w:after="0" w:line="130" w:lineRule="exact"/>
        <w:rPr>
          <w:sz w:val="20"/>
          <w:szCs w:val="20"/>
          <w:color w:val="auto"/>
        </w:rPr>
      </w:pPr>
    </w:p>
    <w:p>
      <w:pPr>
        <w:ind w:left="120"/>
        <w:spacing w:after="0"/>
        <w:tabs>
          <w:tab w:leader="none" w:pos="1120" w:val="left"/>
          <w:tab w:leader="none" w:pos="910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20"/>
          <w:szCs w:val="20"/>
          <w:color w:val="auto"/>
        </w:rPr>
        <w:t>Business . . . . . . . . . . . . . . . . . . . . . . . . . . . . . . . . . . . . . . . . . . . . . . . . . . . . . . . . . . . . . . . . .</w:t>
        <w:tab/>
        <w:t>3</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9"/>
          <w:szCs w:val="19"/>
          <w:color w:val="auto"/>
        </w:rPr>
        <w:t>Risk Factors . . . . . . . . . . . . . . . . . . . . . . . . . . . . . . . . . . . . . . . . . . . . . . . . . . . . . . . . . . . . . . 13</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9"/>
          <w:szCs w:val="19"/>
          <w:color w:val="auto"/>
        </w:rPr>
        <w:t>Unresolved Staff Comments . . . . . . . . . . . . . . . . . . . . . . . . . . . . . . . . . . . . . . . . . . . . . . . . . 20</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9"/>
          <w:szCs w:val="19"/>
          <w:color w:val="auto"/>
        </w:rPr>
        <w:t>Properties . . . . . . . . . . . . . . . . . . . . . . . . . . . . . . . . . . . . . . . . . . . . . . . . . . . . . . . . . . . . . . . . 20</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9"/>
          <w:szCs w:val="19"/>
          <w:color w:val="auto"/>
        </w:rPr>
        <w:t>Legal Proceedings . . . . . . . . . . . . . . . . . . . . . . . . . . . . . . . . . . . . . . . . . . . . . . . . . . . . . . . . . 20</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9"/>
          <w:szCs w:val="19"/>
          <w:color w:val="auto"/>
        </w:rPr>
        <w:t>Mine Safety Disclosures  . . . . . . . . . . . . . . . . . . . . . . . . . . . . . . . . . . . . . . . . . . . . . . . . . . . . 20</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 II</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20"/>
          <w:szCs w:val="20"/>
          <w:color w:val="auto"/>
        </w:rPr>
        <w:t>Market for SLB’s Common Stock, Related Stockholder Matters and Issuer Purchases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of Equity Securities  . . . . . . . . . . . . . . . . . . . . . . . . . . . . . . . . . . . . . . . . . . . . . . . . . . . . . . . . 21</w:t>
      </w:r>
    </w:p>
    <w:p>
      <w:pPr>
        <w:spacing w:after="0" w:line="137"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9"/>
          <w:szCs w:val="19"/>
          <w:color w:val="auto"/>
        </w:rPr>
        <w:t>[Reserved]  . . . . . . . . . . . . . . . . . . . . . . . . . . . . . . . . . . . . . . . . . . . . . . . . . . . . . . . . . . . . . . . 21</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Management’s Discussion and Analysis of Financial Condition and Results of</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Operations  . . . . . . . . . . . . . . . . . . . . . . . . . . . . . . . . . . . . . . . . . . . . . . . . . . . . . . . . . . . . . . . 22</w:t>
      </w:r>
    </w:p>
    <w:p>
      <w:pPr>
        <w:spacing w:after="0" w:line="137"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7A.</w:t>
        <w:tab/>
        <w:t>Quantitative and Qualitative Disclosures About Market Risk . . . . . . . . . . . . . . . . . . . . . . . 36</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9"/>
          <w:szCs w:val="19"/>
          <w:color w:val="auto"/>
        </w:rPr>
        <w:t>Financial Statements and Supplementary Data . . . . . . . . . . . . . . . . . . . . . . . . . . . . . . . . . . 38</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20"/>
          <w:szCs w:val="20"/>
          <w:color w:val="auto"/>
        </w:rPr>
        <w:t>Changes in and Disagreements with Accountants on Accounting and Financial</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Disclosure . . . . . . . . . . . . . . . . . . . . . . . . . . . . . . . . . . . . . . . . . . . . . . . . . . . . . . . . . . . . . . . . 78</w:t>
      </w:r>
    </w:p>
    <w:p>
      <w:pPr>
        <w:spacing w:after="0" w:line="137"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9"/>
          <w:szCs w:val="19"/>
          <w:color w:val="auto"/>
        </w:rPr>
        <w:t>Controls and Procedures . . . . . . . . . . . . . . . . . . . . . . . . . . . . . . . . . . . . . . . . . . . . . . . . . . . . 78</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9"/>
          <w:szCs w:val="19"/>
          <w:color w:val="auto"/>
        </w:rPr>
        <w:t>Other Information . . . . . . . . . . . . . . . . . . . . . . . . . . . . . . . . . . . . . . . . . . . . . . . . . . . . . . . . . . 78</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9C.</w:t>
        <w:tab/>
        <w:t>Disclosure Regarding Foreign Jurisdictions that Prevent Inspections . . . . . . . . . . . . . . . . 78</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 III</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9"/>
          <w:szCs w:val="19"/>
          <w:color w:val="auto"/>
        </w:rPr>
        <w:t>Directors, Executive Officers and Corporate Governance  . . . . . . . . . . . . . . . . . . . . . . . . . 79</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9"/>
          <w:szCs w:val="19"/>
          <w:color w:val="auto"/>
        </w:rPr>
        <w:t>Executive Compensation . . . . . . . . . . . . . . . . . . . . . . . . . . . . . . . . . . . . . . . . . . . . . . . . . . . . 79</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12.</w:t>
        <w:tab/>
        <w:t>Security Ownership of Certain Beneficial Owners and Management and Related</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Stockholder Matters . . . . . . . . . . . . . . . . . . . . . . . . . . . . . . . . . . . . . . . . . . . . . . . . . . . . . . . . 79</w:t>
      </w:r>
    </w:p>
    <w:p>
      <w:pPr>
        <w:spacing w:after="0" w:line="137"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13.</w:t>
        <w:tab/>
        <w:t>Certain Relationships and Related Transactions, and Director Independence . . . . . . . . . 79</w:t>
      </w:r>
    </w:p>
    <w:p>
      <w:pPr>
        <w:spacing w:after="0" w:line="13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9"/>
          <w:szCs w:val="19"/>
          <w:color w:val="auto"/>
        </w:rPr>
        <w:t>Principal Accounting Fees and Services  . . . . . . . . . . . . . . . . . . . . . . . . . . . . . . . . . . . . . . . 79</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 IV</w:t>
      </w:r>
    </w:p>
    <w:p>
      <w:pPr>
        <w:spacing w:after="0" w:line="134" w:lineRule="exact"/>
        <w:rPr>
          <w:sz w:val="20"/>
          <w:szCs w:val="20"/>
          <w:color w:val="auto"/>
        </w:rPr>
      </w:pPr>
    </w:p>
    <w:p>
      <w:pPr>
        <w:jc w:val="right"/>
        <w:ind w:left="120" w:right="120"/>
        <w:spacing w:after="0" w:line="373" w:lineRule="auto"/>
        <w:rPr>
          <w:sz w:val="20"/>
          <w:szCs w:val="20"/>
          <w:color w:val="auto"/>
        </w:rPr>
      </w:pPr>
      <w:r>
        <w:rPr>
          <w:rFonts w:ascii="Arial" w:cs="Arial" w:eastAsia="Arial" w:hAnsi="Arial"/>
          <w:sz w:val="20"/>
          <w:szCs w:val="20"/>
          <w:color w:val="auto"/>
        </w:rPr>
        <w:t>Item 15.   Exhibits and Financial Statement Schedules . . . . . . . . . . . . . . . . . . . . . . . . . . . . . . . . . . . . 80 Item 16.   Form 10-K Summary . . . . . . . . . . . . . . . . . . . . . . . . . . . . . . . . . . . . . . . . . . . . . . . . . . . . . . . 84 Signatures . . . . . . . . . . . . . . . . . . . . . . . . . . . . . . . . . . . . . . . . . . . . . . . . . . . . . . . . . . . . . . . . 85</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Certifications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9360"/>
          </w:cols>
          <w:pgMar w:left="1440" w:top="1440" w:right="1440" w:bottom="836" w:gutter="0" w:footer="0" w:header="0"/>
          <w:type w:val="continuous"/>
        </w:sectPr>
      </w:pPr>
    </w:p>
    <w:bookmarkStart w:id="26" w:name="page27"/>
    <w:bookmarkEnd w:id="26"/>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PART I</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 Business.</w:t>
      </w:r>
    </w:p>
    <w:p>
      <w:pPr>
        <w:spacing w:after="0" w:line="216"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All references in this report to “Registrant,” “Company,” “SLB,” “we” or “our” are to Schlumberger Limited (Schlumberger N.V.) and its consolidated subsidiaries.</w:t>
      </w:r>
    </w:p>
    <w:p>
      <w:pPr>
        <w:spacing w:after="0" w:line="21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We are SLB. In October 2022, we announced our brand which is built around a new name—SLB—and a logo that underscores our vision for a decarbonized energy future. This move affirmed our transformation from the world’s largest oilfield services company to a global technology company focused on driving energy innovation. The SLB brand builds on nearly a century of technology innovation and industrialization expertise in the energy services industry—continuing to drive innovation, decarbonization and performance for the oil and gas industry while increasing our focus on low- and zero-carbon energy technology solutions. Our new identity symbolizes SLB’s commitment to moving farther and faster in facilitating the world’s energy needs today and forging the road ahead for a sustainable future.</w:t>
      </w:r>
    </w:p>
    <w:p>
      <w:pPr>
        <w:spacing w:after="0" w:line="21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w:t>
      </w:r>
    </w:p>
    <w:p>
      <w:pPr>
        <w:spacing w:after="0" w:line="211"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is organized under four Divisions that combine and integrate SLB’s technologies, enhancing our ability to support the emerging long-term growth opportunities in each of these market segments. The Divisions operate through the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and are focused on agility, responsiveness, and competitiveness. The Basins are organized into GeoUnits, which can be a single country or made up of several countries. With a strong focus on customers, the Basins identify opportunities for growth.</w:t>
      </w:r>
    </w:p>
    <w:p>
      <w:pPr>
        <w:spacing w:after="0" w:line="21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four Divisions are:</w:t>
      </w:r>
    </w:p>
    <w:p>
      <w:pPr>
        <w:spacing w:after="0" w:line="113" w:lineRule="exact"/>
        <w:rPr>
          <w:sz w:val="20"/>
          <w:szCs w:val="20"/>
          <w:color w:val="auto"/>
        </w:rPr>
      </w:pPr>
    </w:p>
    <w:p>
      <w:pPr>
        <w:ind w:left="840" w:hanging="360"/>
        <w:spacing w:after="0"/>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Digital &amp; Integration</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Reservoir Performance</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Well Construction</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Production Systems</w:t>
      </w:r>
    </w:p>
    <w:p>
      <w:pPr>
        <w:spacing w:after="0" w:line="21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b w:val="1"/>
          <w:bCs w:val="1"/>
          <w:i w:val="1"/>
          <w:iCs w:val="1"/>
          <w:color w:val="auto"/>
        </w:rPr>
        <w:t xml:space="preserve">Digital &amp; Integration </w:t>
      </w:r>
      <w:r>
        <w:rPr>
          <w:rFonts w:ascii="Arial" w:cs="Arial" w:eastAsia="Arial" w:hAnsi="Arial"/>
          <w:sz w:val="20"/>
          <w:szCs w:val="20"/>
          <w:color w:val="auto"/>
        </w:rPr>
        <w:t>– Combines SLB’s industry-leading digital solutions and data products with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integrated offering of Asset Performance Solutions (“APS”). This Division enables greater performance for our customers by reducing cycle times and risk, accelerating returns, increasing productivity, and lowering costs and carbon emissions.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primary offerings comprising this Division are:</w:t>
      </w:r>
    </w:p>
    <w:p>
      <w:pPr>
        <w:spacing w:after="0" w:line="113" w:lineRule="exact"/>
        <w:rPr>
          <w:sz w:val="20"/>
          <w:szCs w:val="20"/>
          <w:color w:val="auto"/>
        </w:rPr>
      </w:pPr>
    </w:p>
    <w:p>
      <w:pPr>
        <w:jc w:val="both"/>
        <w:ind w:left="840" w:right="120" w:hanging="360"/>
        <w:spacing w:after="0" w:line="249" w:lineRule="auto"/>
        <w:tabs>
          <w:tab w:leader="none" w:pos="840"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Digital solutions: </w:t>
      </w:r>
      <w:r>
        <w:rPr>
          <w:rFonts w:ascii="Arial" w:cs="Arial" w:eastAsia="Arial" w:hAnsi="Arial"/>
          <w:sz w:val="20"/>
          <w:szCs w:val="20"/>
          <w:color w:val="auto"/>
        </w:rPr>
        <w:t>Includes products, services, and solutions that span the energy value chain</w:t>
      </w:r>
      <w:r>
        <w:rPr>
          <w:rFonts w:ascii="Arial" w:cs="Arial" w:eastAsia="Arial" w:hAnsi="Arial"/>
          <w:sz w:val="20"/>
          <w:szCs w:val="20"/>
          <w:i w:val="1"/>
          <w:iCs w:val="1"/>
          <w:color w:val="auto"/>
        </w:rPr>
        <w:t xml:space="preserve"> </w:t>
      </w:r>
      <w:r>
        <w:rPr>
          <w:rFonts w:ascii="Arial" w:cs="Arial" w:eastAsia="Arial" w:hAnsi="Arial"/>
          <w:sz w:val="20"/>
          <w:szCs w:val="20"/>
          <w:color w:val="auto"/>
        </w:rPr>
        <w:t>from subsurface characterization through field development and hydrocarbon production to carbon management and the integration of adjacent energy systems. Offerings are founded upon proprietary and open-source data platform technologies, industry-leading simulators and</w:t>
      </w:r>
    </w:p>
    <w:p>
      <w:pPr>
        <w:sectPr>
          <w:pgSz w:w="12240" w:h="15840" w:orient="portrait"/>
          <w:cols w:equalWidth="0" w:num="1">
            <w:col w:w="9360"/>
          </w:cols>
          <w:pgMar w:left="1440" w:top="1440" w:right="1440" w:bottom="836"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9360"/>
          </w:cols>
          <w:pgMar w:left="1440" w:top="1440" w:right="1440" w:bottom="836" w:gutter="0" w:footer="0" w:header="0"/>
          <w:type w:val="continuous"/>
        </w:sectPr>
      </w:pPr>
    </w:p>
    <w:bookmarkStart w:id="27" w:name="page28"/>
    <w:bookmarkEnd w:id="27"/>
    <w:p>
      <w:pPr>
        <w:spacing w:after="0" w:line="56" w:lineRule="exact"/>
        <w:rPr>
          <w:sz w:val="20"/>
          <w:szCs w:val="20"/>
          <w:color w:val="auto"/>
        </w:rPr>
      </w:pPr>
    </w:p>
    <w:p>
      <w:pPr>
        <w:jc w:val="both"/>
        <w:ind w:left="840" w:right="120"/>
        <w:spacing w:after="0" w:line="248" w:lineRule="auto"/>
        <w:rPr>
          <w:sz w:val="20"/>
          <w:szCs w:val="20"/>
          <w:color w:val="auto"/>
        </w:rPr>
      </w:pPr>
      <w:r>
        <w:rPr>
          <w:rFonts w:ascii="Arial" w:cs="Arial" w:eastAsia="Arial" w:hAnsi="Arial"/>
          <w:sz w:val="20"/>
          <w:szCs w:val="20"/>
          <w:color w:val="auto"/>
        </w:rPr>
        <w:t>workflow tools, and include domain-specific application of innovative digital capabilities such as artificial intelligence and machine learning. Solutions are deployable on traditional on-premise IT infrastructures, the cloud, and the edge, allowing for full market coverage irrespective of customer constraints.</w:t>
      </w:r>
    </w:p>
    <w:p>
      <w:pPr>
        <w:spacing w:after="0" w:line="7" w:lineRule="exact"/>
        <w:rPr>
          <w:sz w:val="20"/>
          <w:szCs w:val="20"/>
          <w:color w:val="auto"/>
        </w:rPr>
      </w:pPr>
    </w:p>
    <w:p>
      <w:pPr>
        <w:jc w:val="both"/>
        <w:ind w:left="840" w:right="120" w:hanging="360"/>
        <w:spacing w:after="0" w:line="249" w:lineRule="auto"/>
        <w:tabs>
          <w:tab w:leader="none" w:pos="84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Exploration data and data processing: </w:t>
      </w:r>
      <w:r>
        <w:rPr>
          <w:rFonts w:ascii="Arial" w:cs="Arial" w:eastAsia="Arial" w:hAnsi="Arial"/>
          <w:sz w:val="20"/>
          <w:szCs w:val="20"/>
          <w:color w:val="auto"/>
        </w:rPr>
        <w:t>Provides comprehensive worldwide reservoir</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interpretation and data processing services, enabled by a scientifically advanced platform and innovative subsurface imaging techniques for exploration data, also referred to as “multiclient surveys.” Offers one of the industry’s most extensive multiclient libraries.</w:t>
      </w:r>
    </w:p>
    <w:p>
      <w:pPr>
        <w:spacing w:after="0" w:line="5"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Asset Performance Solutions: </w:t>
      </w:r>
      <w:r>
        <w:rPr>
          <w:rFonts w:ascii="Arial" w:cs="Arial" w:eastAsia="Arial" w:hAnsi="Arial"/>
          <w:sz w:val="20"/>
          <w:szCs w:val="20"/>
          <w:color w:val="auto"/>
        </w:rPr>
        <w:t>Offers an integrated business model for field production</w:t>
      </w:r>
      <w:r>
        <w:rPr>
          <w:rFonts w:ascii="Arial" w:cs="Arial" w:eastAsia="Arial" w:hAnsi="Arial"/>
          <w:sz w:val="20"/>
          <w:szCs w:val="20"/>
          <w:i w:val="1"/>
          <w:iCs w:val="1"/>
          <w:color w:val="auto"/>
        </w:rPr>
        <w:t xml:space="preserve"> </w:t>
      </w:r>
      <w:r>
        <w:rPr>
          <w:rFonts w:ascii="Arial" w:cs="Arial" w:eastAsia="Arial" w:hAnsi="Arial"/>
          <w:sz w:val="20"/>
          <w:szCs w:val="20"/>
          <w:color w:val="auto"/>
        </w:rPr>
        <w:t>projects, by combining SLB’s services and products with drilling rig management and specialized engineering and project management expertise, to provide a complete solution to well construction and production improvement. As of December 31, 2022, SLB’s APS portfolio primarily consisted of three field production projects in Ecuador and one in Canada.</w:t>
      </w:r>
    </w:p>
    <w:p>
      <w:pPr>
        <w:spacing w:after="0" w:line="283"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i w:val="1"/>
          <w:iCs w:val="1"/>
          <w:color w:val="auto"/>
        </w:rPr>
        <w:t xml:space="preserve">Reservoir Performance </w:t>
      </w:r>
      <w:r>
        <w:rPr>
          <w:rFonts w:ascii="Arial" w:cs="Arial" w:eastAsia="Arial" w:hAnsi="Arial"/>
          <w:sz w:val="20"/>
          <w:szCs w:val="20"/>
          <w:color w:val="auto"/>
        </w:rPr>
        <w:t>– Consists of reservoir-centric technologies and services that are critical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optimizing reservoir productivity and performance. Reservoir Performance develops and deploys innovative technologies and services to evaluate, intervene, and stimulate reservoirs that help customers understand subsurface assets and maximize their value.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primary offerings comprising this Division are:</w:t>
      </w:r>
    </w:p>
    <w:p>
      <w:pPr>
        <w:spacing w:after="0" w:line="153" w:lineRule="exact"/>
        <w:rPr>
          <w:sz w:val="20"/>
          <w:szCs w:val="20"/>
          <w:color w:val="auto"/>
        </w:rPr>
      </w:pPr>
    </w:p>
    <w:p>
      <w:pPr>
        <w:jc w:val="both"/>
        <w:ind w:left="840" w:right="120" w:hanging="360"/>
        <w:spacing w:after="0" w:line="249"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Wireline: </w:t>
      </w:r>
      <w:r>
        <w:rPr>
          <w:rFonts w:ascii="Arial" w:cs="Arial" w:eastAsia="Arial" w:hAnsi="Arial"/>
          <w:sz w:val="20"/>
          <w:szCs w:val="20"/>
          <w:color w:val="auto"/>
        </w:rPr>
        <w:t>Provides the information necessary to evaluate subsurface geology and fluids to plan</w:t>
      </w:r>
      <w:r>
        <w:rPr>
          <w:rFonts w:ascii="Arial" w:cs="Arial" w:eastAsia="Arial" w:hAnsi="Arial"/>
          <w:sz w:val="20"/>
          <w:szCs w:val="20"/>
          <w:i w:val="1"/>
          <w:iCs w:val="1"/>
          <w:color w:val="auto"/>
        </w:rPr>
        <w:t xml:space="preserve"> </w:t>
      </w:r>
      <w:r>
        <w:rPr>
          <w:rFonts w:ascii="Arial" w:cs="Arial" w:eastAsia="Arial" w:hAnsi="Arial"/>
          <w:sz w:val="20"/>
          <w:szCs w:val="20"/>
          <w:color w:val="auto"/>
        </w:rPr>
        <w:t>and monitor well construction and to monitor and evaluate well production through both openhole and cased hole services, including wireline logging and perforating.</w:t>
      </w:r>
    </w:p>
    <w:p>
      <w:pPr>
        <w:spacing w:after="0" w:line="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Testing: </w:t>
      </w:r>
      <w:r>
        <w:rPr>
          <w:rFonts w:ascii="Arial" w:cs="Arial" w:eastAsia="Arial" w:hAnsi="Arial"/>
          <w:sz w:val="20"/>
          <w:szCs w:val="20"/>
          <w:color w:val="auto"/>
        </w:rPr>
        <w:t>Provides exploration and production pressure and flow-rate measurement services</w:t>
      </w:r>
      <w:r>
        <w:rPr>
          <w:rFonts w:ascii="Arial" w:cs="Arial" w:eastAsia="Arial" w:hAnsi="Arial"/>
          <w:sz w:val="20"/>
          <w:szCs w:val="20"/>
          <w:i w:val="1"/>
          <w:iCs w:val="1"/>
          <w:color w:val="auto"/>
        </w:rPr>
        <w:t xml:space="preserve"> </w:t>
      </w:r>
      <w:r>
        <w:rPr>
          <w:rFonts w:ascii="Arial" w:cs="Arial" w:eastAsia="Arial" w:hAnsi="Arial"/>
          <w:sz w:val="20"/>
          <w:szCs w:val="20"/>
          <w:color w:val="auto"/>
        </w:rPr>
        <w:t>both at the surface and downhole supported by a network of laboratories that facilitate rock and fluid characterization.</w:t>
      </w:r>
    </w:p>
    <w:p>
      <w:pPr>
        <w:spacing w:after="0" w:line="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Stimulation and Intervention: </w:t>
      </w:r>
      <w:r>
        <w:rPr>
          <w:rFonts w:ascii="Arial" w:cs="Arial" w:eastAsia="Arial" w:hAnsi="Arial"/>
          <w:sz w:val="20"/>
          <w:szCs w:val="20"/>
          <w:color w:val="auto"/>
        </w:rPr>
        <w:t>Provides services used during well completions, as well as those</w:t>
      </w:r>
      <w:r>
        <w:rPr>
          <w:rFonts w:ascii="Arial" w:cs="Arial" w:eastAsia="Arial" w:hAnsi="Arial"/>
          <w:sz w:val="20"/>
          <w:szCs w:val="20"/>
          <w:i w:val="1"/>
          <w:iCs w:val="1"/>
          <w:color w:val="auto"/>
        </w:rPr>
        <w:t xml:space="preserve"> </w:t>
      </w:r>
      <w:r>
        <w:rPr>
          <w:rFonts w:ascii="Arial" w:cs="Arial" w:eastAsia="Arial" w:hAnsi="Arial"/>
          <w:sz w:val="20"/>
          <w:szCs w:val="20"/>
          <w:color w:val="auto"/>
        </w:rPr>
        <w:t>used to maintain optimal production throughout the life of a well, including pressure pumping, well stimulation, and coiled tubing equipment for downhole mechanical well intervention, reservoir monitoring, and downhole data acquisition.</w:t>
      </w:r>
    </w:p>
    <w:p>
      <w:pPr>
        <w:spacing w:after="0" w:line="287" w:lineRule="exact"/>
        <w:rPr>
          <w:sz w:val="20"/>
          <w:szCs w:val="20"/>
          <w:color w:val="auto"/>
        </w:rPr>
      </w:pPr>
    </w:p>
    <w:p>
      <w:pPr>
        <w:jc w:val="both"/>
        <w:ind w:left="120" w:right="120"/>
        <w:spacing w:after="0" w:line="224" w:lineRule="auto"/>
        <w:rPr>
          <w:sz w:val="20"/>
          <w:szCs w:val="20"/>
          <w:color w:val="auto"/>
        </w:rPr>
      </w:pPr>
      <w:r>
        <w:rPr>
          <w:rFonts w:ascii="Arial" w:cs="Arial" w:eastAsia="Arial" w:hAnsi="Arial"/>
          <w:sz w:val="20"/>
          <w:szCs w:val="20"/>
          <w:color w:val="auto"/>
        </w:rPr>
        <w:t>On December 31, 2020, SLB contributed its onshore hydraulic fracturing business in the United States and Canada (“OneStim</w:t>
      </w:r>
      <w:r>
        <w:rPr>
          <w:rFonts w:ascii="Arial" w:cs="Arial" w:eastAsia="Arial" w:hAnsi="Arial"/>
          <w:sz w:val="30"/>
          <w:szCs w:val="30"/>
          <w:color w:val="auto"/>
          <w:vertAlign w:val="superscript"/>
        </w:rPr>
        <w:t>®</w:t>
      </w:r>
      <w:r>
        <w:rPr>
          <w:rFonts w:ascii="Arial" w:cs="Arial" w:eastAsia="Arial" w:hAnsi="Arial"/>
          <w:sz w:val="20"/>
          <w:szCs w:val="20"/>
          <w:color w:val="auto"/>
        </w:rPr>
        <w:t>”), including its pressure pumping, pumpdown perforating, and Permian frac sand businesses, to Liberty Energy Inc. (“Liberty”), in exchange for a 37% equity interest in Liberty. OneStim’s historical results were reported as part of the Reservoir Performance Division through the closing of the transaction. As of December 31, 2022, SLB had a 5% equity interest in Liberty.</w:t>
      </w:r>
    </w:p>
    <w:p>
      <w:pPr>
        <w:spacing w:after="0" w:line="294"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i w:val="1"/>
          <w:iCs w:val="1"/>
          <w:color w:val="auto"/>
        </w:rPr>
        <w:t xml:space="preserve">Well Construction </w:t>
      </w:r>
      <w:r>
        <w:rPr>
          <w:rFonts w:ascii="Arial" w:cs="Arial" w:eastAsia="Arial" w:hAnsi="Arial"/>
          <w:sz w:val="20"/>
          <w:szCs w:val="20"/>
          <w:color w:val="auto"/>
        </w:rPr>
        <w:t>– Combines the full portfolio of products and services to optimize well placement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performance, maximize drilling efficiency, and improve wellbore assurance. Well Construction provides operators and drilling rig manufacturers with services and products related to designing and constructing a well.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primary offerings comprising this Division are:</w:t>
      </w:r>
    </w:p>
    <w:p>
      <w:pPr>
        <w:spacing w:after="0" w:line="151" w:lineRule="exact"/>
        <w:rPr>
          <w:sz w:val="20"/>
          <w:szCs w:val="20"/>
          <w:color w:val="auto"/>
        </w:rPr>
      </w:pPr>
    </w:p>
    <w:p>
      <w:pPr>
        <w:jc w:val="both"/>
        <w:ind w:left="840" w:right="120" w:hanging="360"/>
        <w:spacing w:after="0" w:line="249" w:lineRule="auto"/>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Drilling &amp; Measurements: </w:t>
      </w:r>
      <w:r>
        <w:rPr>
          <w:rFonts w:ascii="Arial" w:cs="Arial" w:eastAsia="Arial" w:hAnsi="Arial"/>
          <w:sz w:val="20"/>
          <w:szCs w:val="20"/>
          <w:color w:val="auto"/>
        </w:rPr>
        <w:t>Provides mud logging services for geological and drilling</w:t>
      </w:r>
      <w:r>
        <w:rPr>
          <w:rFonts w:ascii="Arial" w:cs="Arial" w:eastAsia="Arial" w:hAnsi="Arial"/>
          <w:sz w:val="20"/>
          <w:szCs w:val="20"/>
          <w:i w:val="1"/>
          <w:iCs w:val="1"/>
          <w:color w:val="auto"/>
        </w:rPr>
        <w:t xml:space="preserve"> </w:t>
      </w:r>
      <w:r>
        <w:rPr>
          <w:rFonts w:ascii="Arial" w:cs="Arial" w:eastAsia="Arial" w:hAnsi="Arial"/>
          <w:sz w:val="20"/>
          <w:szCs w:val="20"/>
          <w:color w:val="auto"/>
        </w:rPr>
        <w:t>surveillance, directional drilling, measurement-while-drilling, and logging-while-drilling services for all well profiles as well as engineering support.</w:t>
      </w:r>
    </w:p>
    <w:p>
      <w:pPr>
        <w:spacing w:after="0" w:line="4"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Drilling Fluids: </w:t>
      </w:r>
      <w:r>
        <w:rPr>
          <w:rFonts w:ascii="Arial" w:cs="Arial" w:eastAsia="Arial" w:hAnsi="Arial"/>
          <w:sz w:val="20"/>
          <w:szCs w:val="20"/>
          <w:color w:val="auto"/>
        </w:rPr>
        <w:t>Supplies individually engineered drilling fluid systems that improve drilling</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and maintain well control and wellbore stability throughout drilling operations.</w:t>
      </w:r>
    </w:p>
    <w:p>
      <w:pPr>
        <w:spacing w:after="0" w:line="10"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Drill Bits: </w:t>
      </w:r>
      <w:r>
        <w:rPr>
          <w:rFonts w:ascii="Arial" w:cs="Arial" w:eastAsia="Arial" w:hAnsi="Arial"/>
          <w:sz w:val="20"/>
          <w:szCs w:val="20"/>
          <w:color w:val="auto"/>
        </w:rPr>
        <w:t>Designs, manufactures, and markets roller cone and fixed cutter drill bits for all</w:t>
      </w:r>
      <w:r>
        <w:rPr>
          <w:rFonts w:ascii="Arial" w:cs="Arial" w:eastAsia="Arial" w:hAnsi="Arial"/>
          <w:sz w:val="20"/>
          <w:szCs w:val="20"/>
          <w:i w:val="1"/>
          <w:iCs w:val="1"/>
          <w:color w:val="auto"/>
        </w:rPr>
        <w:t xml:space="preserve"> </w:t>
      </w:r>
      <w:r>
        <w:rPr>
          <w:rFonts w:ascii="Arial" w:cs="Arial" w:eastAsia="Arial" w:hAnsi="Arial"/>
          <w:sz w:val="20"/>
          <w:szCs w:val="20"/>
          <w:color w:val="auto"/>
        </w:rPr>
        <w:t>drilling environments.</w:t>
      </w:r>
    </w:p>
    <w:p>
      <w:pPr>
        <w:sectPr>
          <w:pgSz w:w="12240" w:h="15840" w:orient="portrait"/>
          <w:cols w:equalWidth="0" w:num="1">
            <w:col w:w="9360"/>
          </w:cols>
          <w:pgMar w:left="1440" w:top="1440" w:right="1440" w:bottom="836"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9360"/>
          </w:cols>
          <w:pgMar w:left="1440" w:top="1440" w:right="1440" w:bottom="836" w:gutter="0" w:footer="0" w:header="0"/>
          <w:type w:val="continuous"/>
        </w:sectPr>
      </w:pPr>
    </w:p>
    <w:bookmarkStart w:id="28" w:name="page29"/>
    <w:bookmarkEnd w:id="28"/>
    <w:p>
      <w:pPr>
        <w:spacing w:after="0" w:line="54" w:lineRule="exact"/>
        <w:rPr>
          <w:sz w:val="20"/>
          <w:szCs w:val="20"/>
          <w:color w:val="auto"/>
        </w:rPr>
      </w:pPr>
    </w:p>
    <w:p>
      <w:pPr>
        <w:ind w:left="840" w:right="120" w:hanging="360"/>
        <w:spacing w:after="0" w:line="247" w:lineRule="auto"/>
        <w:tabs>
          <w:tab w:leader="none" w:pos="84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Drilling Tools</w:t>
      </w:r>
      <w:r>
        <w:rPr>
          <w:rFonts w:ascii="Arial" w:cs="Arial" w:eastAsia="Arial" w:hAnsi="Arial"/>
          <w:sz w:val="20"/>
          <w:szCs w:val="20"/>
          <w:color w:val="auto"/>
        </w:rPr>
        <w:t>: Includes a wide variety of bottom-hole-assembly and borehole enlargement</w:t>
      </w:r>
      <w:r>
        <w:rPr>
          <w:rFonts w:ascii="Arial" w:cs="Arial" w:eastAsia="Arial" w:hAnsi="Arial"/>
          <w:sz w:val="20"/>
          <w:szCs w:val="20"/>
          <w:i w:val="1"/>
          <w:iCs w:val="1"/>
          <w:color w:val="auto"/>
        </w:rPr>
        <w:t xml:space="preserve"> </w:t>
      </w:r>
      <w:r>
        <w:rPr>
          <w:rFonts w:ascii="Arial" w:cs="Arial" w:eastAsia="Arial" w:hAnsi="Arial"/>
          <w:sz w:val="20"/>
          <w:szCs w:val="20"/>
          <w:color w:val="auto"/>
        </w:rPr>
        <w:t>technologies for drilling operations.</w:t>
      </w:r>
    </w:p>
    <w:p>
      <w:pPr>
        <w:spacing w:after="0" w:line="6" w:lineRule="exact"/>
        <w:rPr>
          <w:rFonts w:ascii="Arial" w:cs="Arial" w:eastAsia="Arial" w:hAnsi="Arial"/>
          <w:sz w:val="20"/>
          <w:szCs w:val="20"/>
          <w:color w:val="auto"/>
        </w:rPr>
      </w:pPr>
    </w:p>
    <w:p>
      <w:pPr>
        <w:ind w:left="840" w:right="120" w:hanging="360"/>
        <w:spacing w:after="0" w:line="247" w:lineRule="auto"/>
        <w:tabs>
          <w:tab w:leader="none" w:pos="84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Well Cementing</w:t>
      </w:r>
      <w:r>
        <w:rPr>
          <w:rFonts w:ascii="Arial" w:cs="Arial" w:eastAsia="Arial" w:hAnsi="Arial"/>
          <w:sz w:val="20"/>
          <w:szCs w:val="20"/>
          <w:color w:val="auto"/>
        </w:rPr>
        <w:t>: Provides products and services that secure and protect well casings while</w:t>
      </w:r>
      <w:r>
        <w:rPr>
          <w:rFonts w:ascii="Arial" w:cs="Arial" w:eastAsia="Arial" w:hAnsi="Arial"/>
          <w:sz w:val="20"/>
          <w:szCs w:val="20"/>
          <w:i w:val="1"/>
          <w:iCs w:val="1"/>
          <w:color w:val="auto"/>
        </w:rPr>
        <w:t xml:space="preserve"> </w:t>
      </w:r>
      <w:r>
        <w:rPr>
          <w:rFonts w:ascii="Arial" w:cs="Arial" w:eastAsia="Arial" w:hAnsi="Arial"/>
          <w:sz w:val="20"/>
          <w:szCs w:val="20"/>
          <w:color w:val="auto"/>
        </w:rPr>
        <w:t>isolating fluid zones and maximizing wellbore activity.</w:t>
      </w:r>
    </w:p>
    <w:p>
      <w:pPr>
        <w:spacing w:after="0" w:line="6"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Integrated Well Construction: </w:t>
      </w:r>
      <w:r>
        <w:rPr>
          <w:rFonts w:ascii="Arial" w:cs="Arial" w:eastAsia="Arial" w:hAnsi="Arial"/>
          <w:sz w:val="20"/>
          <w:szCs w:val="20"/>
          <w:color w:val="auto"/>
        </w:rPr>
        <w:t>Provides integrated solutions to construct or change the</w:t>
      </w:r>
      <w:r>
        <w:rPr>
          <w:rFonts w:ascii="Arial" w:cs="Arial" w:eastAsia="Arial" w:hAnsi="Arial"/>
          <w:sz w:val="20"/>
          <w:szCs w:val="20"/>
          <w:i w:val="1"/>
          <w:iCs w:val="1"/>
          <w:color w:val="auto"/>
        </w:rPr>
        <w:t xml:space="preserve"> </w:t>
      </w:r>
      <w:r>
        <w:rPr>
          <w:rFonts w:ascii="Arial" w:cs="Arial" w:eastAsia="Arial" w:hAnsi="Arial"/>
          <w:sz w:val="20"/>
          <w:szCs w:val="20"/>
          <w:color w:val="auto"/>
        </w:rPr>
        <w:t>architecture (re-entry) of wells, including well planning, well drilling, engineering, supervision, logistics, procurement and contracting of third parties, and drilling rig management.</w:t>
      </w:r>
    </w:p>
    <w:p>
      <w:pPr>
        <w:spacing w:after="0" w:line="4" w:lineRule="exact"/>
        <w:rPr>
          <w:rFonts w:ascii="Arial" w:cs="Arial" w:eastAsia="Arial" w:hAnsi="Arial"/>
          <w:sz w:val="20"/>
          <w:szCs w:val="20"/>
          <w:color w:val="auto"/>
        </w:rPr>
      </w:pPr>
    </w:p>
    <w:p>
      <w:pPr>
        <w:jc w:val="both"/>
        <w:ind w:left="840" w:right="120" w:hanging="360"/>
        <w:spacing w:after="0" w:line="250" w:lineRule="auto"/>
        <w:tabs>
          <w:tab w:leader="none" w:pos="84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Rigs and Equipment</w:t>
      </w:r>
      <w:r>
        <w:rPr>
          <w:rFonts w:ascii="Arial" w:cs="Arial" w:eastAsia="Arial" w:hAnsi="Arial"/>
          <w:sz w:val="20"/>
          <w:szCs w:val="20"/>
          <w:color w:val="auto"/>
        </w:rPr>
        <w:t>: Provides drilling equipment and services for shipyards, drilling</w:t>
      </w:r>
      <w:r>
        <w:rPr>
          <w:rFonts w:ascii="Arial" w:cs="Arial" w:eastAsia="Arial" w:hAnsi="Arial"/>
          <w:sz w:val="20"/>
          <w:szCs w:val="20"/>
          <w:i w:val="1"/>
          <w:iCs w:val="1"/>
          <w:color w:val="auto"/>
        </w:rPr>
        <w:t xml:space="preserve"> </w:t>
      </w:r>
      <w:r>
        <w:rPr>
          <w:rFonts w:ascii="Arial" w:cs="Arial" w:eastAsia="Arial" w:hAnsi="Arial"/>
          <w:sz w:val="20"/>
          <w:szCs w:val="20"/>
          <w:color w:val="auto"/>
        </w:rPr>
        <w:t>contractors, operators, and rental tool companies, as well as land drilling rigs and related services. Drilling equipment falls into two broad categories: pressure control equipment and rotary drilling equipment. These products are designed for either onshore or offshore applications and include drilling equipment packages, blowout preventers, blowout preventer control systems, connectors, riser systems, valves and choke manifold systems, top drives, mud pumps, pipe handling equipment, rig designs and rig kits.</w:t>
      </w:r>
    </w:p>
    <w:p>
      <w:pPr>
        <w:spacing w:after="0" w:line="240"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i w:val="1"/>
          <w:iCs w:val="1"/>
          <w:color w:val="auto"/>
        </w:rPr>
        <w:t xml:space="preserve">Production Systems </w:t>
      </w:r>
      <w:r>
        <w:rPr>
          <w:rFonts w:ascii="Arial" w:cs="Arial" w:eastAsia="Arial" w:hAnsi="Arial"/>
          <w:sz w:val="20"/>
          <w:szCs w:val="20"/>
          <w:color w:val="auto"/>
        </w:rPr>
        <w:t>– Develops technologies and provides expertise that enhance production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recovery from subsurface reservoirs to the surface, into pipelines, and to refineries. Production Systems provides a comprehensive portfolio of equipment and services including subsurface production systems, subsea and surface equipment and services, and midstream production systems.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primary offerings comprising this Division are:</w:t>
      </w:r>
    </w:p>
    <w:p>
      <w:pPr>
        <w:spacing w:after="0" w:line="132" w:lineRule="exact"/>
        <w:rPr>
          <w:sz w:val="20"/>
          <w:szCs w:val="20"/>
          <w:color w:val="auto"/>
        </w:rPr>
      </w:pPr>
    </w:p>
    <w:p>
      <w:pPr>
        <w:jc w:val="both"/>
        <w:ind w:left="840" w:right="120" w:hanging="360"/>
        <w:spacing w:after="0" w:line="249" w:lineRule="auto"/>
        <w:tabs>
          <w:tab w:leader="none" w:pos="8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Artificial Lift: </w:t>
      </w:r>
      <w:r>
        <w:rPr>
          <w:rFonts w:ascii="Arial" w:cs="Arial" w:eastAsia="Arial" w:hAnsi="Arial"/>
          <w:sz w:val="20"/>
          <w:szCs w:val="20"/>
          <w:color w:val="auto"/>
        </w:rPr>
        <w:t>Provides production equipment and optimization services using electrical</w:t>
      </w:r>
      <w:r>
        <w:rPr>
          <w:rFonts w:ascii="Arial" w:cs="Arial" w:eastAsia="Arial" w:hAnsi="Arial"/>
          <w:sz w:val="20"/>
          <w:szCs w:val="20"/>
          <w:i w:val="1"/>
          <w:iCs w:val="1"/>
          <w:color w:val="auto"/>
        </w:rPr>
        <w:t xml:space="preserve"> </w:t>
      </w:r>
      <w:r>
        <w:rPr>
          <w:rFonts w:ascii="Arial" w:cs="Arial" w:eastAsia="Arial" w:hAnsi="Arial"/>
          <w:sz w:val="20"/>
          <w:szCs w:val="20"/>
          <w:color w:val="auto"/>
        </w:rPr>
        <w:t>submersible pumps, gas lift equipment, progressing cavity pumps and surface horizontal pumping systems.</w:t>
      </w:r>
    </w:p>
    <w:p>
      <w:pPr>
        <w:spacing w:after="0" w:line="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Completions Equipment: </w:t>
      </w:r>
      <w:r>
        <w:rPr>
          <w:rFonts w:ascii="Arial" w:cs="Arial" w:eastAsia="Arial" w:hAnsi="Arial"/>
          <w:sz w:val="20"/>
          <w:szCs w:val="20"/>
          <w:color w:val="auto"/>
        </w:rPr>
        <w:t>Supplies well completion services and equipment that include</w:t>
      </w:r>
      <w:r>
        <w:rPr>
          <w:rFonts w:ascii="Arial" w:cs="Arial" w:eastAsia="Arial" w:hAnsi="Arial"/>
          <w:sz w:val="20"/>
          <w:szCs w:val="20"/>
          <w:i w:val="1"/>
          <w:iCs w:val="1"/>
          <w:color w:val="auto"/>
        </w:rPr>
        <w:t xml:space="preserve"> </w:t>
      </w:r>
      <w:r>
        <w:rPr>
          <w:rFonts w:ascii="Arial" w:cs="Arial" w:eastAsia="Arial" w:hAnsi="Arial"/>
          <w:sz w:val="20"/>
          <w:szCs w:val="20"/>
          <w:color w:val="auto"/>
        </w:rPr>
        <w:t>packers, safety valves and sand control technology, as well as a range of intelligent well completions technology and equipment.</w:t>
      </w:r>
    </w:p>
    <w:p>
      <w:pPr>
        <w:spacing w:after="0" w:line="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Surface: </w:t>
      </w:r>
      <w:r>
        <w:rPr>
          <w:rFonts w:ascii="Arial" w:cs="Arial" w:eastAsia="Arial" w:hAnsi="Arial"/>
          <w:sz w:val="20"/>
          <w:szCs w:val="20"/>
          <w:color w:val="auto"/>
        </w:rPr>
        <w:t>Designs and manufactures onshore and offshore platform wellhead systems and</w:t>
      </w:r>
      <w:r>
        <w:rPr>
          <w:rFonts w:ascii="Arial" w:cs="Arial" w:eastAsia="Arial" w:hAnsi="Arial"/>
          <w:sz w:val="20"/>
          <w:szCs w:val="20"/>
          <w:i w:val="1"/>
          <w:iCs w:val="1"/>
          <w:color w:val="auto"/>
        </w:rPr>
        <w:t xml:space="preserve"> </w:t>
      </w:r>
      <w:r>
        <w:rPr>
          <w:rFonts w:ascii="Arial" w:cs="Arial" w:eastAsia="Arial" w:hAnsi="Arial"/>
          <w:sz w:val="20"/>
          <w:szCs w:val="20"/>
          <w:color w:val="auto"/>
        </w:rPr>
        <w:t>processing solutions, including valves, chokes, actuators, and surface trees, and provides services to operators.</w:t>
      </w:r>
    </w:p>
    <w:p>
      <w:pPr>
        <w:spacing w:after="0" w:line="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Valves: </w:t>
      </w:r>
      <w:r>
        <w:rPr>
          <w:rFonts w:ascii="Arial" w:cs="Arial" w:eastAsia="Arial" w:hAnsi="Arial"/>
          <w:sz w:val="20"/>
          <w:szCs w:val="20"/>
          <w:color w:val="auto"/>
        </w:rPr>
        <w:t>Serves portions of the upstream, midstream, and downstream markets and provides</w:t>
      </w:r>
      <w:r>
        <w:rPr>
          <w:rFonts w:ascii="Arial" w:cs="Arial" w:eastAsia="Arial" w:hAnsi="Arial"/>
          <w:sz w:val="20"/>
          <w:szCs w:val="20"/>
          <w:i w:val="1"/>
          <w:iCs w:val="1"/>
          <w:color w:val="auto"/>
        </w:rPr>
        <w:t xml:space="preserve"> </w:t>
      </w:r>
      <w:r>
        <w:rPr>
          <w:rFonts w:ascii="Arial" w:cs="Arial" w:eastAsia="Arial" w:hAnsi="Arial"/>
          <w:sz w:val="20"/>
          <w:szCs w:val="20"/>
          <w:color w:val="auto"/>
        </w:rPr>
        <w:t>valve products that are primarily used to control and direct the flow of hydrocarbons as they are moved from wellheads through flow lines, gathering lines and transmission systems to refineries, petrochemical plants, and industrial centers for processing.</w:t>
      </w:r>
    </w:p>
    <w:p>
      <w:pPr>
        <w:spacing w:after="0" w:line="5"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 xml:space="preserve">Processing: </w:t>
      </w:r>
      <w:r>
        <w:rPr>
          <w:rFonts w:ascii="Arial" w:cs="Arial" w:eastAsia="Arial" w:hAnsi="Arial"/>
          <w:sz w:val="20"/>
          <w:szCs w:val="20"/>
          <w:color w:val="auto"/>
        </w:rPr>
        <w:t>Enables efficient monetization of subsurface assets using standard and custom-designed onshore, offshore, and downstream processing and treatment systems, as well as unique, reservoir-driven, fit-for-purpose integrated production systems for accelerating first production and maximizing project economics.</w:t>
      </w:r>
    </w:p>
    <w:p>
      <w:pPr>
        <w:spacing w:after="0" w:line="1" w:lineRule="exact"/>
        <w:rPr>
          <w:rFonts w:ascii="Arial" w:cs="Arial" w:eastAsia="Arial" w:hAnsi="Arial"/>
          <w:sz w:val="20"/>
          <w:szCs w:val="20"/>
          <w:color w:val="auto"/>
        </w:rPr>
      </w:pPr>
    </w:p>
    <w:p>
      <w:pPr>
        <w:jc w:val="both"/>
        <w:ind w:left="840" w:right="120" w:hanging="360"/>
        <w:spacing w:after="0" w:line="220" w:lineRule="auto"/>
        <w:tabs>
          <w:tab w:leader="none" w:pos="84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OneSubsea</w:t>
      </w:r>
      <w:r>
        <w:rPr>
          <w:rFonts w:ascii="Arial" w:cs="Arial" w:eastAsia="Arial" w:hAnsi="Arial"/>
          <w:sz w:val="30"/>
          <w:szCs w:val="30"/>
          <w:i w:val="1"/>
          <w:iCs w:val="1"/>
          <w:color w:val="auto"/>
          <w:vertAlign w:val="superscript"/>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Provides integrated solutions, products, systems, and services for the subsea</w:t>
      </w:r>
      <w:r>
        <w:rPr>
          <w:rFonts w:ascii="Arial" w:cs="Arial" w:eastAsia="Arial" w:hAnsi="Arial"/>
          <w:sz w:val="20"/>
          <w:szCs w:val="20"/>
          <w:i w:val="1"/>
          <w:iCs w:val="1"/>
          <w:color w:val="auto"/>
        </w:rPr>
        <w:t xml:space="preserve"> </w:t>
      </w:r>
      <w:r>
        <w:rPr>
          <w:rFonts w:ascii="Arial" w:cs="Arial" w:eastAsia="Arial" w:hAnsi="Arial"/>
          <w:sz w:val="20"/>
          <w:szCs w:val="20"/>
          <w:color w:val="auto"/>
        </w:rPr>
        <w:t>market, including integrated subsea production systems involving wellheads, subsea trees, manifolds and flowline connectors, control systems, connectors and services designed to maximize reservoir recovery and extend the life of each field.</w:t>
      </w:r>
    </w:p>
    <w:p>
      <w:pPr>
        <w:spacing w:after="0" w:line="137" w:lineRule="exact"/>
        <w:rPr>
          <w:sz w:val="20"/>
          <w:szCs w:val="20"/>
          <w:color w:val="auto"/>
        </w:rPr>
      </w:pPr>
    </w:p>
    <w:p>
      <w:pPr>
        <w:jc w:val="both"/>
        <w:ind w:left="920" w:right="120"/>
        <w:spacing w:after="0" w:line="249" w:lineRule="auto"/>
        <w:rPr>
          <w:sz w:val="20"/>
          <w:szCs w:val="20"/>
          <w:color w:val="auto"/>
        </w:rPr>
      </w:pPr>
      <w:r>
        <w:rPr>
          <w:rFonts w:ascii="Arial" w:cs="Arial" w:eastAsia="Arial" w:hAnsi="Arial"/>
          <w:sz w:val="20"/>
          <w:szCs w:val="20"/>
          <w:color w:val="auto"/>
        </w:rPr>
        <w:t>During the third quarter of 2022, SLB, Aker Solutions, and Subsea 7 announced an agreement to form a joint venture to drive innovation and efficiency in subsea production by helping customers unlock reserves and reduce cycle time. The agreement will bring together a portfolio of innovative technologies such as subsea gas compression, all-electric subsea production systems and other electrification capabilities that help customers meet their decarbonization goals. The proposed joint venture will combine SLB’s and Aker Solutions’ subsea businesses. Subsea 7 will be an equity partner in the new joint venture.</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9360"/>
          </w:cols>
          <w:pgMar w:left="1440" w:top="1440" w:right="1440" w:bottom="836" w:gutter="0" w:footer="0" w:header="0"/>
          <w:type w:val="continuous"/>
        </w:sectPr>
      </w:pPr>
    </w:p>
    <w:bookmarkStart w:id="29" w:name="page30"/>
    <w:bookmarkEnd w:id="29"/>
    <w:p>
      <w:pPr>
        <w:spacing w:after="0" w:line="56" w:lineRule="exact"/>
        <w:rPr>
          <w:sz w:val="20"/>
          <w:szCs w:val="20"/>
          <w:color w:val="auto"/>
        </w:rPr>
      </w:pPr>
    </w:p>
    <w:p>
      <w:pPr>
        <w:jc w:val="both"/>
        <w:ind w:left="920" w:right="120"/>
        <w:spacing w:after="0" w:line="249" w:lineRule="auto"/>
        <w:rPr>
          <w:sz w:val="20"/>
          <w:szCs w:val="20"/>
          <w:color w:val="auto"/>
        </w:rPr>
      </w:pPr>
      <w:r>
        <w:rPr>
          <w:rFonts w:ascii="Arial" w:cs="Arial" w:eastAsia="Arial" w:hAnsi="Arial"/>
          <w:sz w:val="20"/>
          <w:szCs w:val="20"/>
          <w:color w:val="auto"/>
        </w:rPr>
        <w:t>In addition to contributing its subsea business to the joint venture, at closing SLB will issue to Aker Solutions shares of SLB common stock valued at $306.5 million. Concurrently, Subsea 7 will purchase its 10% interest in exchange for $306.5 million in cash to Aker Solutions. The joint venture also will issue a promissory note to Aker Solutions for $87.5 million. At closing of the joint venture, SLB will own 70%, with Aker Solutions owning 20% and Subsea 7 owning 10%. The transaction is subject to regulatory approvals and other customary closing conditions and is expected to close in the second half of 2023.</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Corporate Strategy</w:t>
      </w:r>
    </w:p>
    <w:p>
      <w:pPr>
        <w:spacing w:after="0" w:line="10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is committed to addressing the most difficult challenges in the energy industry by pushing the limits of innovation while remaining the performance partner of choice for our customers across the globe. This commitment is underscored by a bold corporate vision: to drive energy innovation for a balanced planet.</w:t>
      </w:r>
    </w:p>
    <w:p>
      <w:pPr>
        <w:spacing w:after="0" w:line="178"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At the core of our vision is a returns-focused strategy designed to meet the current and future needs of customers while returning value to shareholders. Since launching the strategy in 2019, it has delivered impressive results, which include:</w:t>
      </w:r>
    </w:p>
    <w:p>
      <w:pPr>
        <w:spacing w:after="0" w:line="94" w:lineRule="exact"/>
        <w:rPr>
          <w:sz w:val="20"/>
          <w:szCs w:val="20"/>
          <w:color w:val="auto"/>
        </w:rPr>
      </w:pPr>
    </w:p>
    <w:p>
      <w:pPr>
        <w:ind w:left="840" w:right="120" w:hanging="360"/>
        <w:spacing w:after="0" w:line="245"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Strengthening our core business by high-grading the Company’s portfolio, choosing to exit certain margin-dilutive, commoditized and capital-intensive businesses and projects.</w:t>
      </w:r>
    </w:p>
    <w:p>
      <w:pPr>
        <w:spacing w:after="0" w:line="10"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Optimizing operations by executing the largest restructuring in the Company’s history, creating a more agile, leaner organization that is better aligned with customer workflows.</w:t>
      </w:r>
    </w:p>
    <w:p>
      <w:pPr>
        <w:spacing w:after="0" w:line="10"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Enhancing the go-to-market approach through our Basin organization and the launch of fit-for-basin and technology access initiatives.</w:t>
      </w:r>
    </w:p>
    <w:p>
      <w:pPr>
        <w:spacing w:after="0" w:line="10"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Investing in long-term, resilient growth opportunities in gas, offshore, digital and decarbonization resulting in a stronger footing in gas and offshore development projects.</w:t>
      </w:r>
    </w:p>
    <w:p>
      <w:pPr>
        <w:spacing w:after="0" w:line="10"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Developing an industry-leading digital platform and launching SLB’s New Energy business to grow lower-carbon or carbon-neutral technologies beyond oil and gas.</w:t>
      </w:r>
    </w:p>
    <w:p>
      <w:pPr>
        <w:spacing w:after="0" w:line="17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Today, the world faces the trilemma of providing secure and affordable energy to meet growing demand, while rapidly decarbonizing for a sustainable future. With nearly a century of market and technology leadership, SLB is well positioned to be a leader in providing solutions to address this trilemma. The evolving marketplace will require bold new technologies and ideas, digital transformation and a deep commitment to sustainability. With a balanced transition in mind, we are focused on three engines of growth: Core, Digital and New Energy.</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Core</w:t>
      </w:r>
    </w:p>
    <w:p>
      <w:pPr>
        <w:spacing w:after="0" w:line="9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Consisting of Reservoir Performance, WeIl Construction and Production Systems, Core remains the Company’s largest engine of growth. Building on decades of technology advancement, we will continue innovating new products, services and technologies that make the exploration, development and production of oil and gas assets cleaner, more resilient, and more efficient, with lower carbon and less impact on the environment.</w:t>
      </w:r>
    </w:p>
    <w:p>
      <w:pPr>
        <w:spacing w:after="0" w:line="17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We will continue to build on our fit-for-basin approach and technology access initiatives, developing bespoke and custom technology tailored to the regions and environments in which we operate. This strategy will allow us to address the rapid evolution of our industry into more regional markets, each with distinct resource plays and economics.</w:t>
      </w:r>
    </w:p>
    <w:p>
      <w:pPr>
        <w:spacing w:after="0" w:line="17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With the continued growth of digitally enabled technologies that improve efficiency and performance, including our Transition Technologies™ portfolio (which is further described below) and our SLB End-to-End Emissions Solution (SEES) methane elimination business, the Company will provide solutions that enable customers to increase production from their reserves at a competitive cost and low carbon intensity per barrel equivalent.</w:t>
      </w:r>
    </w:p>
    <w:p>
      <w:pPr>
        <w:sectPr>
          <w:pgSz w:w="12240" w:h="15840" w:orient="portrait"/>
          <w:cols w:equalWidth="0" w:num="1">
            <w:col w:w="9360"/>
          </w:cols>
          <w:pgMar w:left="1440" w:top="1440" w:right="1440" w:bottom="83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9360"/>
          </w:cols>
          <w:pgMar w:left="1440" w:top="1440" w:right="1440" w:bottom="836" w:gutter="0" w:footer="0" w:header="0"/>
          <w:type w:val="continuous"/>
        </w:sectPr>
      </w:pPr>
    </w:p>
    <w:bookmarkStart w:id="30" w:name="page31"/>
    <w:bookmarkEnd w:id="30"/>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Digital</w:t>
      </w:r>
    </w:p>
    <w:p>
      <w:pPr>
        <w:spacing w:after="0" w:line="1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Digital capabilities continue to grow throughout the energy industry as a key enabler to manage the complex systems required to meet current energy demands and to harness the promise of a lower carbon future. SLB is uniquely positioned to support customers on their digital journeys by managing data migration, workflow redesign and transition to the cloud.</w:t>
      </w:r>
    </w:p>
    <w:p>
      <w:pPr>
        <w:spacing w:after="0" w:line="21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SLB’s customers have access to leading digital products and services that help to meet their sustainability goals by driving transparency, better measurement, more effective planning and more impactful and reliable outcomes. To continue elevating customer offerings, we will accelerate the adoption of our proprietary cloud offering DELFI, enabling enterprise data management, delivering autonomous operations, and innovating through domain-driven artificial intelligence.</w:t>
      </w:r>
    </w:p>
    <w:p>
      <w:pPr>
        <w:spacing w:after="0" w:line="21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As customers transition from our established software applications to our DELFI digital platform, they will shift from a user-based license model to software-as-a-service (SaaS) subscriptions. This will enable them to evolve from legacy infrastructure and deliver new levels of value creation, with access to key resources such as storage and computing from our cloud partners and access to our industry-leading simulators.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New Energy</w:t>
      </w:r>
    </w:p>
    <w:p>
      <w:pPr>
        <w:spacing w:after="0" w:line="1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New Energy offers a significant opportunity to use our experience and scale to drive innovation for a low-carbon economy spanning many industries. We are building a broad, diverse portfolio across New Energy sectors, selected for their materiality and adjacency to existing SLB market strengths and our ability to offer differentiated technology.</w:t>
      </w:r>
    </w:p>
    <w:p>
      <w:pPr>
        <w:spacing w:after="0" w:line="2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Our New Energy portfolio builds on three fundamental SLB strengths: our unique subsurface domain expertise, applicable beyond oil and gas; our differentiated track record for innovation and industrialization; and our ability to deploy at scale in any region of the world with local knowledge and talent.</w:t>
      </w:r>
    </w:p>
    <w:p>
      <w:pPr>
        <w:spacing w:after="0" w:line="21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will continue forging partnerships across various industries to focus on five emerging technologies: carbon solutions, hydrogen, geothermal and geoenergy, stationary energy storage, and critical minerals. Our ambition is to seed technology capabilities in each of these domains and grow throughout the decade, ultimately scaling our New Energy offering into the Company’s fastest growing and largest division.</w:t>
      </w:r>
    </w:p>
    <w:p>
      <w:pPr>
        <w:spacing w:after="0" w:line="110" w:lineRule="exact"/>
        <w:rPr>
          <w:sz w:val="20"/>
          <w:szCs w:val="20"/>
          <w:color w:val="auto"/>
        </w:rPr>
      </w:pPr>
    </w:p>
    <w:p>
      <w:pPr>
        <w:jc w:val="both"/>
        <w:ind w:left="840" w:right="120" w:hanging="360"/>
        <w:spacing w:after="0" w:line="250" w:lineRule="auto"/>
        <w:tabs>
          <w:tab w:leader="none" w:pos="840"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Carbon Solutions</w:t>
      </w:r>
      <w:r>
        <w:rPr>
          <w:rFonts w:ascii="Arial" w:cs="Arial" w:eastAsia="Arial" w:hAnsi="Arial"/>
          <w:sz w:val="20"/>
          <w:szCs w:val="20"/>
          <w:color w:val="auto"/>
        </w:rPr>
        <w:t>: Carbon capture, utilization, and sequestration (“CCUS”) is critical to</w:t>
      </w:r>
      <w:r>
        <w:rPr>
          <w:rFonts w:ascii="Arial" w:cs="Arial" w:eastAsia="Arial" w:hAnsi="Arial"/>
          <w:sz w:val="20"/>
          <w:szCs w:val="20"/>
          <w:i w:val="1"/>
          <w:iCs w:val="1"/>
          <w:color w:val="auto"/>
        </w:rPr>
        <w:t xml:space="preserve"> </w:t>
      </w:r>
      <w:r>
        <w:rPr>
          <w:rFonts w:ascii="Arial" w:cs="Arial" w:eastAsia="Arial" w:hAnsi="Arial"/>
          <w:sz w:val="20"/>
          <w:szCs w:val="20"/>
          <w:color w:val="auto"/>
        </w:rPr>
        <w:t>advancing decarbonization and achieving the goals of the Paris Agreement on climate change. With industry-leading reservoir modeling capabilities, SLB has been in the CCUS business for more than three decades. The Company is actively progressing CCUS technologies and business models to enable widespread adoption and is exploring collaborations in facility design, building, and operations and going beyond subsurface characterization and well construction to include capture technology, project economics, technology selection, and permitting.</w:t>
      </w:r>
    </w:p>
    <w:p>
      <w:pPr>
        <w:spacing w:after="0" w:line="108"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 xml:space="preserve">Hydrogen as an Energy Carrier: </w:t>
      </w:r>
      <w:r>
        <w:rPr>
          <w:rFonts w:ascii="Arial" w:cs="Arial" w:eastAsia="Arial" w:hAnsi="Arial"/>
          <w:sz w:val="20"/>
          <w:szCs w:val="20"/>
          <w:color w:val="auto"/>
        </w:rPr>
        <w:t>SLB is investing in hydrogen generation technologies. One</w:t>
      </w:r>
      <w:r>
        <w:rPr>
          <w:rFonts w:ascii="Arial" w:cs="Arial" w:eastAsia="Arial" w:hAnsi="Arial"/>
          <w:sz w:val="20"/>
          <w:szCs w:val="20"/>
          <w:i w:val="1"/>
          <w:iCs w:val="1"/>
          <w:color w:val="auto"/>
        </w:rPr>
        <w:t xml:space="preserve"> </w:t>
      </w:r>
      <w:r>
        <w:rPr>
          <w:rFonts w:ascii="Arial" w:cs="Arial" w:eastAsia="Arial" w:hAnsi="Arial"/>
          <w:sz w:val="20"/>
          <w:szCs w:val="20"/>
          <w:color w:val="auto"/>
        </w:rPr>
        <w:t>such investment is Genvia, a unique private-public partnership that combines SLB’s expertise and experience with that of the French Alternative Energies and Atomic Energy Commission (“CEA”) and partners. Genvia aims to deliver the most efficient and cost-effective technology for producing clean hydrogen—a versatile source of energy and key component of the energy transition.</w:t>
      </w:r>
    </w:p>
    <w:p>
      <w:pPr>
        <w:spacing w:after="0" w:line="113" w:lineRule="exact"/>
        <w:rPr>
          <w:rFonts w:ascii="Arial" w:cs="Arial" w:eastAsia="Arial" w:hAnsi="Arial"/>
          <w:sz w:val="20"/>
          <w:szCs w:val="20"/>
          <w:color w:val="auto"/>
        </w:rPr>
      </w:pPr>
    </w:p>
    <w:p>
      <w:pPr>
        <w:jc w:val="both"/>
        <w:ind w:left="840" w:right="120" w:hanging="360"/>
        <w:spacing w:after="0" w:line="245" w:lineRule="auto"/>
        <w:tabs>
          <w:tab w:leader="none" w:pos="840"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 xml:space="preserve">Geothermal and Geoenergy: </w:t>
      </w:r>
      <w:r>
        <w:rPr>
          <w:rFonts w:ascii="Arial" w:cs="Arial" w:eastAsia="Arial" w:hAnsi="Arial"/>
          <w:sz w:val="20"/>
          <w:szCs w:val="20"/>
          <w:color w:val="auto"/>
        </w:rPr>
        <w:t>Geothermal power leverages the heat of the earth to generate</w:t>
      </w:r>
      <w:r>
        <w:rPr>
          <w:rFonts w:ascii="Arial" w:cs="Arial" w:eastAsia="Arial" w:hAnsi="Arial"/>
          <w:sz w:val="20"/>
          <w:szCs w:val="20"/>
          <w:i w:val="1"/>
          <w:iCs w:val="1"/>
          <w:color w:val="auto"/>
        </w:rPr>
        <w:t xml:space="preserve"> </w:t>
      </w:r>
      <w:r>
        <w:rPr>
          <w:rFonts w:ascii="Arial" w:cs="Arial" w:eastAsia="Arial" w:hAnsi="Arial"/>
          <w:sz w:val="20"/>
          <w:szCs w:val="20"/>
          <w:color w:val="auto"/>
        </w:rPr>
        <w:t>electricity by tapping into hot water and steam zones that are continuously recharged, both</w:t>
      </w:r>
    </w:p>
    <w:p>
      <w:pPr>
        <w:sectPr>
          <w:pgSz w:w="12240" w:h="15840" w:orient="portrait"/>
          <w:cols w:equalWidth="0" w:num="1">
            <w:col w:w="9360"/>
          </w:cols>
          <w:pgMar w:left="1440" w:top="1440" w:right="1440" w:bottom="836"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9360"/>
          </w:cols>
          <w:pgMar w:left="1440" w:top="1440" w:right="1440" w:bottom="836" w:gutter="0" w:footer="0" w:header="0"/>
          <w:type w:val="continuous"/>
        </w:sectPr>
      </w:pPr>
    </w:p>
    <w:bookmarkStart w:id="31" w:name="page32"/>
    <w:bookmarkEnd w:id="31"/>
    <w:p>
      <w:pPr>
        <w:spacing w:after="0" w:line="56" w:lineRule="exact"/>
        <w:rPr>
          <w:sz w:val="20"/>
          <w:szCs w:val="20"/>
          <w:color w:val="auto"/>
        </w:rPr>
      </w:pPr>
    </w:p>
    <w:p>
      <w:pPr>
        <w:jc w:val="both"/>
        <w:ind w:left="840" w:right="120"/>
        <w:spacing w:after="0" w:line="249" w:lineRule="auto"/>
        <w:rPr>
          <w:sz w:val="20"/>
          <w:szCs w:val="20"/>
          <w:color w:val="auto"/>
        </w:rPr>
      </w:pPr>
      <w:r>
        <w:rPr>
          <w:rFonts w:ascii="Arial" w:cs="Arial" w:eastAsia="Arial" w:hAnsi="Arial"/>
          <w:sz w:val="20"/>
          <w:szCs w:val="20"/>
          <w:color w:val="auto"/>
        </w:rPr>
        <w:t>naturally and by heat injection from sources such as power plant by-products. With decades of expertise in the sector, Geothermex, an SLB company, provides the full spectrum of deep geothermal resource development services—from exploration and drilling to analysis, resource modeling and management, financial modeling, and operational support. Celsius Energy is a New Energy venture that uses shallow geoenergy to provide heating and cooling solutions for new or existing construction and leverages SLB’s extensive knowledge of subsurface behavior, operational automation technology, and science expertise.</w:t>
      </w:r>
    </w:p>
    <w:p>
      <w:pPr>
        <w:spacing w:after="0" w:line="100" w:lineRule="exact"/>
        <w:rPr>
          <w:sz w:val="20"/>
          <w:szCs w:val="20"/>
          <w:color w:val="auto"/>
        </w:rPr>
      </w:pPr>
    </w:p>
    <w:p>
      <w:pPr>
        <w:jc w:val="both"/>
        <w:ind w:left="840" w:right="120" w:hanging="360"/>
        <w:spacing w:after="0" w:line="249" w:lineRule="auto"/>
        <w:tabs>
          <w:tab w:leader="none" w:pos="840"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 xml:space="preserve">Stationary Energy Storage: </w:t>
      </w:r>
      <w:r>
        <w:rPr>
          <w:rFonts w:ascii="Arial" w:cs="Arial" w:eastAsia="Arial" w:hAnsi="Arial"/>
          <w:sz w:val="20"/>
          <w:szCs w:val="20"/>
          <w:color w:val="auto"/>
        </w:rPr>
        <w:t>Stationary energy storage is a key enabler to make variable</w:t>
      </w:r>
      <w:r>
        <w:rPr>
          <w:rFonts w:ascii="Arial" w:cs="Arial" w:eastAsia="Arial" w:hAnsi="Arial"/>
          <w:sz w:val="20"/>
          <w:szCs w:val="20"/>
          <w:i w:val="1"/>
          <w:iCs w:val="1"/>
          <w:color w:val="auto"/>
        </w:rPr>
        <w:t xml:space="preserve"> </w:t>
      </w:r>
      <w:r>
        <w:rPr>
          <w:rFonts w:ascii="Arial" w:cs="Arial" w:eastAsia="Arial" w:hAnsi="Arial"/>
          <w:sz w:val="20"/>
          <w:szCs w:val="20"/>
          <w:color w:val="auto"/>
        </w:rPr>
        <w:t>renewable energy sources (solar or wind) a larger component of the world’s electricity systems, via energy shifting—enabling power to be delivered in the right place, at the right time, to meet demand. As renewables penetration increases, so does the need for additional storage to ensure the efficiency of the renewable assets and reliability of electricity systems. Large-scale, long-duration energy storage is key, and this market is growing rapidly. SLB is investing in storage technologies including EnerVenue, a start-up that delivers nickel-hydrogen, non-lithium based, economic, safe battery technology that targets the 10-hour storage market.</w:t>
      </w:r>
    </w:p>
    <w:p>
      <w:pPr>
        <w:spacing w:after="0" w:line="104" w:lineRule="exact"/>
        <w:rPr>
          <w:rFonts w:ascii="Arial" w:cs="Arial" w:eastAsia="Arial" w:hAnsi="Arial"/>
          <w:sz w:val="20"/>
          <w:szCs w:val="20"/>
          <w:color w:val="auto"/>
        </w:rPr>
      </w:pPr>
    </w:p>
    <w:p>
      <w:pPr>
        <w:jc w:val="both"/>
        <w:ind w:left="840" w:right="120" w:hanging="360"/>
        <w:spacing w:after="0" w:line="250" w:lineRule="auto"/>
        <w:tabs>
          <w:tab w:leader="none" w:pos="840"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 xml:space="preserve">Critical Minerals: </w:t>
      </w:r>
      <w:r>
        <w:rPr>
          <w:rFonts w:ascii="Arial" w:cs="Arial" w:eastAsia="Arial" w:hAnsi="Arial"/>
          <w:sz w:val="20"/>
          <w:szCs w:val="20"/>
          <w:color w:val="auto"/>
        </w:rPr>
        <w:t>SLB is applying its knowledge of extraction technologies and processing to</w:t>
      </w:r>
      <w:r>
        <w:rPr>
          <w:rFonts w:ascii="Arial" w:cs="Arial" w:eastAsia="Arial" w:hAnsi="Arial"/>
          <w:sz w:val="20"/>
          <w:szCs w:val="20"/>
          <w:i w:val="1"/>
          <w:iCs w:val="1"/>
          <w:color w:val="auto"/>
        </w:rPr>
        <w:t xml:space="preserve"> </w:t>
      </w:r>
      <w:r>
        <w:rPr>
          <w:rFonts w:ascii="Arial" w:cs="Arial" w:eastAsia="Arial" w:hAnsi="Arial"/>
          <w:sz w:val="20"/>
          <w:szCs w:val="20"/>
          <w:color w:val="auto"/>
        </w:rPr>
        <w:t>the location and sources of critical minerals that will be required to support alternative energy sources. An example of this is our NeoLith Energy technology venture, which uses a differentiated direct lithium extraction process to produce high-purity, battery-grade lithium material while reducing the production time from over a year to just weeks. This unique process is in sharp contrast to conventional evaporative methods of extracting lithium, with significantly reduced water consumption and physical footprint.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Sustainability</w:t>
      </w:r>
    </w:p>
    <w:p>
      <w:pPr>
        <w:spacing w:after="0" w:line="10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SLB’s emissions reduction strategy is at the center of our identity and vision, and our commitment to a sustainable future is underscored by bold science-backed targets aligned with the Paris Agreement. In 2021, SLB became the first company in the energy services industry to commit to a 2050 net-zero greenhouse gas (“GHG”) emissions target including all three emission scopes. By setting targets based on SLB’s total 2019 baseline GHG footprint—inclusive of Scope 3 emissions (which accounted for approximately 95% of SLB’s baseline)—and not just its Scope 1 and 2 footprint, SLB’s comprehensive emissions reduction roadmap addressees the entire oil and gas value chain.</w:t>
      </w:r>
    </w:p>
    <w:p>
      <w:pPr>
        <w:spacing w:after="0" w:line="19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SLB’s 2050 net zero target is supported by the following interim milestones, using 2019 as the baseline year:</w:t>
      </w:r>
    </w:p>
    <w:p>
      <w:pPr>
        <w:spacing w:after="0" w:line="96" w:lineRule="exact"/>
        <w:rPr>
          <w:sz w:val="20"/>
          <w:szCs w:val="20"/>
          <w:color w:val="auto"/>
        </w:rPr>
      </w:pPr>
    </w:p>
    <w:p>
      <w:pPr>
        <w:ind w:left="840" w:hanging="360"/>
        <w:spacing w:after="0"/>
        <w:tabs>
          <w:tab w:leader="none" w:pos="8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2025, a 30% reduction in Scope 1 and Scope 2 emissions;</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2030, a 50% reduction in Scope 1 and Scope 2 emissions; and</w:t>
      </w:r>
    </w:p>
    <w:p>
      <w:pPr>
        <w:spacing w:after="0" w:line="12" w:lineRule="exact"/>
        <w:rPr>
          <w:rFonts w:ascii="Arial" w:cs="Arial" w:eastAsia="Arial" w:hAnsi="Arial"/>
          <w:sz w:val="20"/>
          <w:szCs w:val="20"/>
          <w:color w:val="auto"/>
        </w:rPr>
      </w:pPr>
    </w:p>
    <w:p>
      <w:pPr>
        <w:ind w:left="840" w:hanging="360"/>
        <w:spacing w:after="0"/>
        <w:tabs>
          <w:tab w:leader="none" w:pos="8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by 2030, a 30% reduction in Scope 3 emissions.</w:t>
      </w:r>
    </w:p>
    <w:p>
      <w:pPr>
        <w:spacing w:after="0" w:line="19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There are three key components to SLB achieving the 2050 net-zero target: reducing operational emissions, reducing customer emissions that occur while using SLB technology, and taking carbon-negative actions of sufficient scale to offset any residual operating and technology emissions that the Company may have in 2050. SLB’s Scope 1 and 2 emissions primarily come from fuel use and electricity consumption: Scope 3 emissions are indirect, such as emissions from customers’ use of SLB technology and emissions from our use of third-party goods and services.</w:t>
      </w:r>
    </w:p>
    <w:p>
      <w:pPr>
        <w:spacing w:after="0" w:line="192"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In tandem with our 2050 net-zero commitment, SLB introduced a portfolio of Transition Technologies in 2021. This portfolio includes a select group of products and services that quantifiably reduce our customers’ GHG emissions footprint, while continuing to drive high performance, reliability and efficiency. This portfolio will be supported by an industry-leading impact quantification framework and is set to grow as sustainability is further embedded in the Company’s research and development process.</w:t>
      </w:r>
    </w:p>
    <w:p>
      <w:pPr>
        <w:sectPr>
          <w:pgSz w:w="12240" w:h="15840" w:orient="portrait"/>
          <w:cols w:equalWidth="0" w:num="1">
            <w:col w:w="9360"/>
          </w:cols>
          <w:pgMar w:left="1440" w:top="1440" w:right="1440" w:bottom="83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9360"/>
          </w:cols>
          <w:pgMar w:left="1440" w:top="1440" w:right="1440" w:bottom="836" w:gutter="0" w:footer="0" w:header="0"/>
          <w:type w:val="continuous"/>
        </w:sectPr>
      </w:pPr>
    </w:p>
    <w:bookmarkStart w:id="32" w:name="page33"/>
    <w:bookmarkEnd w:id="32"/>
    <w:p>
      <w:pPr>
        <w:spacing w:after="0" w:line="5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While there is an ambitious path ahead, we are cementing our position as a sustainability leader today. SLB continues to be one of the highest-ranked companies in the energy industry across key environmental, social, and governance ratings agencies as of December 31, 2022. This recognition confirms the strategy we have in place and our commitment to leading change in the industry.</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Human Capital</w:t>
      </w:r>
    </w:p>
    <w:p>
      <w:pPr>
        <w:spacing w:after="0" w:line="12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As a leading global technology company, with a workforce consisting of approximately 99,000 people in more than 100 countries, one of SLB’s greatest strengths is the diversity of our people. We believe that our ability to attract, develop, motivate, and retain a highly competent and diverse workforce has been paramount to our success for many decades. We recognize that cultivating diversity and promoting inclusion are essential to attracting the best talent from around the world and enabling creativity and innovation to drive business success.</w:t>
      </w:r>
    </w:p>
    <w:p>
      <w:pPr>
        <w:spacing w:after="0" w:line="22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Energy transition and changing geopolitics are increasingly impacting our people and customers. SLB is competitively well-positioned from both a people and technology perspective to manage these factors and capture the opportunity that it represents for SLB and the countries where we work.</w:t>
      </w:r>
    </w:p>
    <w:p>
      <w:pPr>
        <w:spacing w:after="0" w:line="22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Our national and cultural diversity is based in our philosophy to recruit and develop people from the communities where we work. As a result, we maintain a workforce nationality mix aligned to the revenue derived from the countries in which we work, as reflected in the charts below. Our long-standing commitment to national and cultural diversity, which is seen throughout every layer of SLB, fosters a culture that is global in outlook, yet local in practice.</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180" w:type="dxa"/>
            <w:vAlign w:val="bottom"/>
            <w:gridSpan w:val="2"/>
          </w:tcPr>
          <w:p>
            <w:pPr>
              <w:ind w:left="620"/>
              <w:spacing w:after="0"/>
              <w:rPr>
                <w:sz w:val="20"/>
                <w:szCs w:val="20"/>
                <w:color w:val="auto"/>
              </w:rPr>
            </w:pPr>
            <w:r>
              <w:rPr>
                <w:rFonts w:ascii="Arial" w:cs="Arial" w:eastAsia="Arial" w:hAnsi="Arial"/>
                <w:sz w:val="20"/>
                <w:szCs w:val="20"/>
                <w:b w:val="1"/>
                <w:bCs w:val="1"/>
                <w:color w:val="auto"/>
              </w:rPr>
              <w:t>2022 Revenue Contribution</w:t>
            </w:r>
          </w:p>
        </w:tc>
        <w:tc>
          <w:tcPr>
            <w:tcW w:w="1300" w:type="dxa"/>
            <w:vAlign w:val="bottom"/>
          </w:tcPr>
          <w:p>
            <w:pPr>
              <w:spacing w:after="0"/>
              <w:rPr>
                <w:sz w:val="19"/>
                <w:szCs w:val="19"/>
                <w:color w:val="auto"/>
              </w:rPr>
            </w:pPr>
          </w:p>
        </w:tc>
        <w:tc>
          <w:tcPr>
            <w:tcW w:w="2980" w:type="dxa"/>
            <w:vAlign w:val="bottom"/>
          </w:tcPr>
          <w:p>
            <w:pPr>
              <w:ind w:left="40"/>
              <w:spacing w:after="0"/>
              <w:rPr>
                <w:sz w:val="20"/>
                <w:szCs w:val="20"/>
                <w:color w:val="auto"/>
              </w:rPr>
            </w:pPr>
            <w:r>
              <w:rPr>
                <w:rFonts w:ascii="Arial" w:cs="Arial" w:eastAsia="Arial" w:hAnsi="Arial"/>
                <w:sz w:val="20"/>
                <w:szCs w:val="20"/>
                <w:b w:val="1"/>
                <w:bCs w:val="1"/>
                <w:color w:val="auto"/>
              </w:rPr>
              <w:t>2022 Nationality Mix</w:t>
            </w:r>
          </w:p>
        </w:tc>
        <w:tc>
          <w:tcPr>
            <w:tcW w:w="0" w:type="dxa"/>
            <w:vAlign w:val="bottom"/>
          </w:tcPr>
          <w:p>
            <w:pPr>
              <w:spacing w:after="0"/>
              <w:rPr>
                <w:sz w:val="1"/>
                <w:szCs w:val="1"/>
                <w:color w:val="auto"/>
              </w:rPr>
            </w:pPr>
          </w:p>
        </w:tc>
      </w:tr>
      <w:tr>
        <w:trPr>
          <w:trHeight w:val="339"/>
        </w:trPr>
        <w:tc>
          <w:tcPr>
            <w:tcW w:w="1760" w:type="dxa"/>
            <w:vAlign w:val="bottom"/>
            <w:vMerge w:val="restart"/>
          </w:tcPr>
          <w:p>
            <w:pPr>
              <w:jc w:val="center"/>
              <w:ind w:right="755"/>
              <w:spacing w:after="0"/>
              <w:rPr>
                <w:sz w:val="20"/>
                <w:szCs w:val="20"/>
                <w:color w:val="auto"/>
              </w:rPr>
            </w:pPr>
            <w:r>
              <w:rPr>
                <w:rFonts w:ascii="Arial" w:cs="Arial" w:eastAsia="Arial" w:hAnsi="Arial"/>
                <w:sz w:val="16"/>
                <w:szCs w:val="16"/>
                <w:b w:val="1"/>
                <w:bCs w:val="1"/>
                <w:color w:val="auto"/>
              </w:rPr>
              <w:t>North</w:t>
            </w:r>
          </w:p>
        </w:tc>
        <w:tc>
          <w:tcPr>
            <w:tcW w:w="2420" w:type="dxa"/>
            <w:vAlign w:val="bottom"/>
          </w:tcPr>
          <w:p>
            <w:pPr>
              <w:jc w:val="center"/>
              <w:ind w:left="578"/>
              <w:spacing w:after="0"/>
              <w:rPr>
                <w:sz w:val="20"/>
                <w:szCs w:val="20"/>
                <w:color w:val="auto"/>
              </w:rPr>
            </w:pPr>
            <w:r>
              <w:rPr>
                <w:rFonts w:ascii="Arial" w:cs="Arial" w:eastAsia="Arial" w:hAnsi="Arial"/>
                <w:sz w:val="16"/>
                <w:szCs w:val="16"/>
                <w:b w:val="1"/>
                <w:bCs w:val="1"/>
                <w:color w:val="auto"/>
              </w:rPr>
              <w:t>Middle</w:t>
            </w:r>
          </w:p>
        </w:tc>
        <w:tc>
          <w:tcPr>
            <w:tcW w:w="1300" w:type="dxa"/>
            <w:vAlign w:val="bottom"/>
          </w:tcPr>
          <w:p>
            <w:pPr>
              <w:jc w:val="center"/>
              <w:ind w:left="458"/>
              <w:spacing w:after="0"/>
              <w:rPr>
                <w:sz w:val="20"/>
                <w:szCs w:val="20"/>
                <w:color w:val="auto"/>
              </w:rPr>
            </w:pPr>
            <w:r>
              <w:rPr>
                <w:rFonts w:ascii="Arial" w:cs="Arial" w:eastAsia="Arial" w:hAnsi="Arial"/>
                <w:sz w:val="16"/>
                <w:szCs w:val="16"/>
                <w:b w:val="1"/>
                <w:bCs w:val="1"/>
                <w:color w:val="auto"/>
              </w:rPr>
              <w:t>North</w:t>
            </w:r>
          </w:p>
        </w:tc>
        <w:tc>
          <w:tcPr>
            <w:tcW w:w="2980" w:type="dxa"/>
            <w:vAlign w:val="bottom"/>
            <w:vMerge w:val="restart"/>
          </w:tcPr>
          <w:p>
            <w:pPr>
              <w:jc w:val="center"/>
              <w:ind w:left="1815"/>
              <w:spacing w:after="0"/>
              <w:rPr>
                <w:sz w:val="20"/>
                <w:szCs w:val="20"/>
                <w:color w:val="auto"/>
              </w:rPr>
            </w:pPr>
            <w:r>
              <w:rPr>
                <w:rFonts w:ascii="Arial" w:cs="Arial" w:eastAsia="Arial" w:hAnsi="Arial"/>
                <w:sz w:val="16"/>
                <w:szCs w:val="16"/>
                <w:b w:val="1"/>
                <w:bCs w:val="1"/>
                <w:color w:val="auto"/>
              </w:rPr>
              <w:t>Middle</w:t>
            </w:r>
          </w:p>
        </w:tc>
        <w:tc>
          <w:tcPr>
            <w:tcW w:w="0" w:type="dxa"/>
            <w:vAlign w:val="bottom"/>
          </w:tcPr>
          <w:p>
            <w:pPr>
              <w:spacing w:after="0"/>
              <w:rPr>
                <w:sz w:val="1"/>
                <w:szCs w:val="1"/>
                <w:color w:val="auto"/>
              </w:rPr>
            </w:pPr>
          </w:p>
        </w:tc>
      </w:tr>
      <w:tr>
        <w:trPr>
          <w:trHeight w:val="113"/>
        </w:trPr>
        <w:tc>
          <w:tcPr>
            <w:tcW w:w="1760" w:type="dxa"/>
            <w:vAlign w:val="bottom"/>
            <w:vMerge w:val="continue"/>
          </w:tcPr>
          <w:p>
            <w:pPr>
              <w:spacing w:after="0"/>
              <w:rPr>
                <w:sz w:val="9"/>
                <w:szCs w:val="9"/>
                <w:color w:val="auto"/>
              </w:rPr>
            </w:pPr>
          </w:p>
        </w:tc>
        <w:tc>
          <w:tcPr>
            <w:tcW w:w="2420" w:type="dxa"/>
            <w:vAlign w:val="bottom"/>
            <w:vMerge w:val="restart"/>
          </w:tcPr>
          <w:p>
            <w:pPr>
              <w:jc w:val="center"/>
              <w:ind w:left="578"/>
              <w:spacing w:after="0"/>
              <w:rPr>
                <w:sz w:val="20"/>
                <w:szCs w:val="20"/>
                <w:color w:val="auto"/>
              </w:rPr>
            </w:pPr>
            <w:r>
              <w:rPr>
                <w:rFonts w:ascii="Arial" w:cs="Arial" w:eastAsia="Arial" w:hAnsi="Arial"/>
                <w:sz w:val="16"/>
                <w:szCs w:val="16"/>
                <w:b w:val="1"/>
                <w:bCs w:val="1"/>
                <w:color w:val="auto"/>
                <w:highlight w:val="white"/>
              </w:rPr>
              <w:t>Ea</w:t>
            </w:r>
            <w:r>
              <w:rPr>
                <w:rFonts w:ascii="Arial" w:cs="Arial" w:eastAsia="Arial" w:hAnsi="Arial"/>
                <w:sz w:val="16"/>
                <w:szCs w:val="16"/>
                <w:b w:val="1"/>
                <w:bCs w:val="1"/>
                <w:color w:val="auto"/>
              </w:rPr>
              <w:t>st and Asia</w:t>
            </w:r>
          </w:p>
        </w:tc>
        <w:tc>
          <w:tcPr>
            <w:tcW w:w="1300" w:type="dxa"/>
            <w:vAlign w:val="bottom"/>
            <w:vMerge w:val="restart"/>
          </w:tcPr>
          <w:p>
            <w:pPr>
              <w:jc w:val="center"/>
              <w:ind w:left="458"/>
              <w:spacing w:after="0"/>
              <w:rPr>
                <w:sz w:val="20"/>
                <w:szCs w:val="20"/>
                <w:color w:val="auto"/>
              </w:rPr>
            </w:pPr>
            <w:r>
              <w:rPr>
                <w:rFonts w:ascii="Arial" w:cs="Arial" w:eastAsia="Arial" w:hAnsi="Arial"/>
                <w:sz w:val="16"/>
                <w:szCs w:val="16"/>
                <w:b w:val="1"/>
                <w:bCs w:val="1"/>
                <w:color w:val="auto"/>
              </w:rPr>
              <w:t>America</w:t>
            </w: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America</w:t>
            </w:r>
          </w:p>
        </w:tc>
        <w:tc>
          <w:tcPr>
            <w:tcW w:w="24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980" w:type="dxa"/>
            <w:vAlign w:val="bottom"/>
            <w:vMerge w:val="restart"/>
          </w:tcPr>
          <w:p>
            <w:pPr>
              <w:jc w:val="center"/>
              <w:ind w:left="1815"/>
              <w:spacing w:after="0"/>
              <w:rPr>
                <w:sz w:val="20"/>
                <w:szCs w:val="20"/>
                <w:color w:val="auto"/>
              </w:rPr>
            </w:pPr>
            <w:r>
              <w:rPr>
                <w:rFonts w:ascii="Arial" w:cs="Arial" w:eastAsia="Arial" w:hAnsi="Arial"/>
                <w:sz w:val="16"/>
                <w:szCs w:val="16"/>
                <w:b w:val="1"/>
                <w:bCs w:val="1"/>
                <w:color w:val="auto"/>
                <w:highlight w:val="white"/>
              </w:rPr>
              <w:t>Ea</w:t>
            </w:r>
            <w:r>
              <w:rPr>
                <w:rFonts w:ascii="Arial" w:cs="Arial" w:eastAsia="Arial" w:hAnsi="Arial"/>
                <w:sz w:val="16"/>
                <w:szCs w:val="16"/>
                <w:b w:val="1"/>
                <w:bCs w:val="1"/>
                <w:color w:val="auto"/>
              </w:rPr>
              <w:t>st and Asia</w:t>
            </w:r>
          </w:p>
        </w:tc>
        <w:tc>
          <w:tcPr>
            <w:tcW w:w="0" w:type="dxa"/>
            <w:vAlign w:val="bottom"/>
          </w:tcPr>
          <w:p>
            <w:pPr>
              <w:spacing w:after="0"/>
              <w:rPr>
                <w:sz w:val="1"/>
                <w:szCs w:val="1"/>
                <w:color w:val="auto"/>
              </w:rPr>
            </w:pPr>
          </w:p>
        </w:tc>
      </w:tr>
      <w:tr>
        <w:trPr>
          <w:trHeight w:val="113"/>
        </w:trPr>
        <w:tc>
          <w:tcPr>
            <w:tcW w:w="1760" w:type="dxa"/>
            <w:vAlign w:val="bottom"/>
            <w:vMerge w:val="continue"/>
          </w:tcPr>
          <w:p>
            <w:pPr>
              <w:spacing w:after="0"/>
              <w:rPr>
                <w:sz w:val="9"/>
                <w:szCs w:val="9"/>
                <w:color w:val="auto"/>
              </w:rPr>
            </w:pPr>
          </w:p>
        </w:tc>
        <w:tc>
          <w:tcPr>
            <w:tcW w:w="2420" w:type="dxa"/>
            <w:vAlign w:val="bottom"/>
            <w:vMerge w:val="restart"/>
          </w:tcPr>
          <w:p>
            <w:pPr>
              <w:jc w:val="center"/>
              <w:ind w:left="578"/>
              <w:spacing w:after="0"/>
              <w:rPr>
                <w:sz w:val="20"/>
                <w:szCs w:val="20"/>
                <w:color w:val="auto"/>
              </w:rPr>
            </w:pPr>
            <w:r>
              <w:rPr>
                <w:rFonts w:ascii="Arial" w:cs="Arial" w:eastAsia="Arial" w:hAnsi="Arial"/>
                <w:sz w:val="16"/>
                <w:szCs w:val="16"/>
                <w:b w:val="1"/>
                <w:bCs w:val="1"/>
                <w:color w:val="auto"/>
                <w:w w:val="99"/>
              </w:rPr>
              <w:t>32%</w:t>
            </w:r>
          </w:p>
        </w:tc>
        <w:tc>
          <w:tcPr>
            <w:tcW w:w="1300" w:type="dxa"/>
            <w:vAlign w:val="bottom"/>
            <w:vMerge w:val="restart"/>
          </w:tcPr>
          <w:p>
            <w:pPr>
              <w:jc w:val="center"/>
              <w:ind w:left="458"/>
              <w:spacing w:after="0"/>
              <w:rPr>
                <w:sz w:val="20"/>
                <w:szCs w:val="20"/>
                <w:color w:val="auto"/>
              </w:rPr>
            </w:pPr>
            <w:r>
              <w:rPr>
                <w:rFonts w:ascii="Arial" w:cs="Arial" w:eastAsia="Arial" w:hAnsi="Arial"/>
                <w:sz w:val="16"/>
                <w:szCs w:val="16"/>
                <w:b w:val="1"/>
                <w:bCs w:val="1"/>
                <w:color w:val="auto"/>
                <w:w w:val="99"/>
              </w:rPr>
              <w:t>13%</w:t>
            </w: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60" w:type="dxa"/>
            <w:vAlign w:val="bottom"/>
            <w:vMerge w:val="restart"/>
          </w:tcPr>
          <w:p>
            <w:pPr>
              <w:jc w:val="right"/>
              <w:ind w:right="1055"/>
              <w:spacing w:after="0"/>
              <w:rPr>
                <w:sz w:val="20"/>
                <w:szCs w:val="20"/>
                <w:color w:val="auto"/>
              </w:rPr>
            </w:pPr>
            <w:r>
              <w:rPr>
                <w:rFonts w:ascii="Arial" w:cs="Arial" w:eastAsia="Arial" w:hAnsi="Arial"/>
                <w:sz w:val="16"/>
                <w:szCs w:val="16"/>
                <w:b w:val="1"/>
                <w:bCs w:val="1"/>
                <w:color w:val="auto"/>
              </w:rPr>
              <w:t>21%</w:t>
            </w:r>
          </w:p>
        </w:tc>
        <w:tc>
          <w:tcPr>
            <w:tcW w:w="24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2980" w:type="dxa"/>
            <w:vAlign w:val="bottom"/>
            <w:vMerge w:val="restart"/>
          </w:tcPr>
          <w:p>
            <w:pPr>
              <w:jc w:val="center"/>
              <w:ind w:left="1815"/>
              <w:spacing w:after="0"/>
              <w:rPr>
                <w:sz w:val="20"/>
                <w:szCs w:val="20"/>
                <w:color w:val="auto"/>
              </w:rPr>
            </w:pPr>
            <w:r>
              <w:rPr>
                <w:rFonts w:ascii="Arial" w:cs="Arial" w:eastAsia="Arial" w:hAnsi="Arial"/>
                <w:sz w:val="16"/>
                <w:szCs w:val="16"/>
                <w:b w:val="1"/>
                <w:bCs w:val="1"/>
                <w:color w:val="auto"/>
                <w:w w:val="99"/>
              </w:rPr>
              <w:t>33%</w:t>
            </w:r>
          </w:p>
        </w:tc>
        <w:tc>
          <w:tcPr>
            <w:tcW w:w="0" w:type="dxa"/>
            <w:vAlign w:val="bottom"/>
          </w:tcPr>
          <w:p>
            <w:pPr>
              <w:spacing w:after="0"/>
              <w:rPr>
                <w:sz w:val="1"/>
                <w:szCs w:val="1"/>
                <w:color w:val="auto"/>
              </w:rPr>
            </w:pPr>
          </w:p>
        </w:tc>
      </w:tr>
      <w:tr>
        <w:trPr>
          <w:trHeight w:val="139"/>
        </w:trPr>
        <w:tc>
          <w:tcPr>
            <w:tcW w:w="1760" w:type="dxa"/>
            <w:vAlign w:val="bottom"/>
            <w:vMerge w:val="continue"/>
          </w:tcPr>
          <w:p>
            <w:pPr>
              <w:spacing w:after="0"/>
              <w:rPr>
                <w:sz w:val="12"/>
                <w:szCs w:val="12"/>
                <w:color w:val="auto"/>
              </w:rPr>
            </w:pPr>
          </w:p>
        </w:tc>
        <w:tc>
          <w:tcPr>
            <w:tcW w:w="2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3"/>
        </w:trPr>
        <w:tc>
          <w:tcPr>
            <w:tcW w:w="1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Latin</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America</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760" w:type="dxa"/>
            <w:vAlign w:val="bottom"/>
          </w:tcPr>
          <w:p>
            <w:pPr>
              <w:ind w:left="120"/>
              <w:spacing w:after="0"/>
              <w:rPr>
                <w:sz w:val="20"/>
                <w:szCs w:val="20"/>
                <w:color w:val="auto"/>
              </w:rPr>
            </w:pPr>
            <w:r>
              <w:rPr>
                <w:rFonts w:ascii="Arial" w:cs="Arial" w:eastAsia="Arial" w:hAnsi="Arial"/>
                <w:sz w:val="16"/>
                <w:szCs w:val="16"/>
                <w:b w:val="1"/>
                <w:bCs w:val="1"/>
                <w:color w:val="auto"/>
              </w:rPr>
              <w:t>Latin</w:t>
            </w:r>
          </w:p>
        </w:tc>
        <w:tc>
          <w:tcPr>
            <w:tcW w:w="242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16%</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6"/>
                <w:szCs w:val="16"/>
                <w:b w:val="1"/>
                <w:bCs w:val="1"/>
                <w:color w:val="auto"/>
              </w:rPr>
              <w:t>America</w:t>
            </w:r>
          </w:p>
        </w:tc>
        <w:tc>
          <w:tcPr>
            <w:tcW w:w="2420" w:type="dxa"/>
            <w:vAlign w:val="bottom"/>
            <w:vMerge w:val="restart"/>
          </w:tcPr>
          <w:p>
            <w:pPr>
              <w:jc w:val="center"/>
              <w:ind w:left="538"/>
              <w:spacing w:after="0"/>
              <w:rPr>
                <w:sz w:val="20"/>
                <w:szCs w:val="20"/>
                <w:color w:val="auto"/>
              </w:rPr>
            </w:pPr>
            <w:r>
              <w:rPr>
                <w:rFonts w:ascii="Arial" w:cs="Arial" w:eastAsia="Arial" w:hAnsi="Arial"/>
                <w:sz w:val="16"/>
                <w:szCs w:val="16"/>
                <w:b w:val="1"/>
                <w:bCs w:val="1"/>
                <w:color w:val="auto"/>
              </w:rPr>
              <w:t>Europe,</w:t>
            </w:r>
          </w:p>
        </w:tc>
        <w:tc>
          <w:tcPr>
            <w:tcW w:w="1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7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20%</w:t>
            </w:r>
          </w:p>
        </w:tc>
        <w:tc>
          <w:tcPr>
            <w:tcW w:w="24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60" w:type="dxa"/>
            <w:vAlign w:val="bottom"/>
            <w:vMerge w:val="continue"/>
          </w:tcPr>
          <w:p>
            <w:pPr>
              <w:spacing w:after="0"/>
              <w:rPr>
                <w:sz w:val="12"/>
                <w:szCs w:val="12"/>
                <w:color w:val="auto"/>
              </w:rPr>
            </w:pPr>
          </w:p>
        </w:tc>
        <w:tc>
          <w:tcPr>
            <w:tcW w:w="2420" w:type="dxa"/>
            <w:vAlign w:val="bottom"/>
            <w:vMerge w:val="restart"/>
          </w:tcPr>
          <w:p>
            <w:pPr>
              <w:jc w:val="center"/>
              <w:ind w:left="538"/>
              <w:spacing w:after="0"/>
              <w:rPr>
                <w:sz w:val="20"/>
                <w:szCs w:val="20"/>
                <w:color w:val="auto"/>
              </w:rPr>
            </w:pPr>
            <w:r>
              <w:rPr>
                <w:rFonts w:ascii="Arial" w:cs="Arial" w:eastAsia="Arial" w:hAnsi="Arial"/>
                <w:sz w:val="16"/>
                <w:szCs w:val="16"/>
                <w:b w:val="1"/>
                <w:bCs w:val="1"/>
                <w:color w:val="auto"/>
                <w:highlight w:val="white"/>
              </w:rPr>
              <w:t xml:space="preserve">CIS </w:t>
            </w:r>
            <w:r>
              <w:rPr>
                <w:rFonts w:ascii="Arial" w:cs="Arial" w:eastAsia="Arial" w:hAnsi="Arial"/>
                <w:sz w:val="16"/>
                <w:szCs w:val="16"/>
                <w:b w:val="1"/>
                <w:bCs w:val="1"/>
                <w:color w:val="auto"/>
              </w:rPr>
              <w:t>and Africa</w:t>
            </w:r>
          </w:p>
        </w:tc>
        <w:tc>
          <w:tcPr>
            <w:tcW w:w="1300" w:type="dxa"/>
            <w:vAlign w:val="bottom"/>
          </w:tcPr>
          <w:p>
            <w:pPr>
              <w:spacing w:after="0"/>
              <w:rPr>
                <w:sz w:val="12"/>
                <w:szCs w:val="12"/>
                <w:color w:val="auto"/>
              </w:rPr>
            </w:pPr>
          </w:p>
        </w:tc>
        <w:tc>
          <w:tcPr>
            <w:tcW w:w="2980" w:type="dxa"/>
            <w:vAlign w:val="bottom"/>
            <w:vMerge w:val="restart"/>
          </w:tcPr>
          <w:p>
            <w:pPr>
              <w:jc w:val="center"/>
              <w:ind w:left="1455"/>
              <w:spacing w:after="0"/>
              <w:rPr>
                <w:sz w:val="20"/>
                <w:szCs w:val="20"/>
                <w:color w:val="auto"/>
              </w:rPr>
            </w:pPr>
            <w:r>
              <w:rPr>
                <w:rFonts w:ascii="Arial" w:cs="Arial" w:eastAsia="Arial" w:hAnsi="Arial"/>
                <w:sz w:val="16"/>
                <w:szCs w:val="16"/>
                <w:b w:val="1"/>
                <w:bCs w:val="1"/>
                <w:color w:val="auto"/>
                <w:highlight w:val="white"/>
              </w:rPr>
              <w:t>Europe,</w:t>
            </w:r>
          </w:p>
        </w:tc>
        <w:tc>
          <w:tcPr>
            <w:tcW w:w="0" w:type="dxa"/>
            <w:vAlign w:val="bottom"/>
          </w:tcPr>
          <w:p>
            <w:pPr>
              <w:spacing w:after="0"/>
              <w:rPr>
                <w:sz w:val="1"/>
                <w:szCs w:val="1"/>
                <w:color w:val="auto"/>
              </w:rPr>
            </w:pPr>
          </w:p>
        </w:tc>
      </w:tr>
      <w:tr>
        <w:trPr>
          <w:trHeight w:val="67"/>
        </w:trPr>
        <w:tc>
          <w:tcPr>
            <w:tcW w:w="176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2420" w:type="dxa"/>
            <w:vAlign w:val="bottom"/>
          </w:tcPr>
          <w:p>
            <w:pPr>
              <w:jc w:val="center"/>
              <w:ind w:left="538"/>
              <w:spacing w:after="0"/>
              <w:rPr>
                <w:sz w:val="20"/>
                <w:szCs w:val="20"/>
                <w:color w:val="auto"/>
              </w:rPr>
            </w:pPr>
            <w:r>
              <w:rPr>
                <w:rFonts w:ascii="Arial" w:cs="Arial" w:eastAsia="Arial" w:hAnsi="Arial"/>
                <w:sz w:val="16"/>
                <w:szCs w:val="16"/>
                <w:b w:val="1"/>
                <w:bCs w:val="1"/>
                <w:color w:val="auto"/>
                <w:w w:val="99"/>
              </w:rPr>
              <w:t>27%</w:t>
            </w:r>
          </w:p>
        </w:tc>
        <w:tc>
          <w:tcPr>
            <w:tcW w:w="1300" w:type="dxa"/>
            <w:vAlign w:val="bottom"/>
          </w:tcPr>
          <w:p>
            <w:pPr>
              <w:spacing w:after="0"/>
              <w:rPr>
                <w:sz w:val="19"/>
                <w:szCs w:val="19"/>
                <w:color w:val="auto"/>
              </w:rPr>
            </w:pPr>
          </w:p>
        </w:tc>
        <w:tc>
          <w:tcPr>
            <w:tcW w:w="2980" w:type="dxa"/>
            <w:vAlign w:val="bottom"/>
          </w:tcPr>
          <w:p>
            <w:pPr>
              <w:jc w:val="center"/>
              <w:ind w:left="1455"/>
              <w:spacing w:after="0"/>
              <w:rPr>
                <w:sz w:val="20"/>
                <w:szCs w:val="20"/>
                <w:color w:val="auto"/>
              </w:rPr>
            </w:pPr>
            <w:r>
              <w:rPr>
                <w:rFonts w:ascii="Arial" w:cs="Arial" w:eastAsia="Arial" w:hAnsi="Arial"/>
                <w:sz w:val="16"/>
                <w:szCs w:val="16"/>
                <w:b w:val="1"/>
                <w:bCs w:val="1"/>
                <w:color w:val="auto"/>
                <w:highlight w:val="white"/>
              </w:rPr>
              <w:t xml:space="preserve">CIS </w:t>
            </w:r>
            <w:r>
              <w:rPr>
                <w:rFonts w:ascii="Arial" w:cs="Arial" w:eastAsia="Arial" w:hAnsi="Arial"/>
                <w:sz w:val="16"/>
                <w:szCs w:val="16"/>
                <w:b w:val="1"/>
                <w:bCs w:val="1"/>
                <w:color w:val="auto"/>
              </w:rPr>
              <w:t>and Africa</w:t>
            </w:r>
          </w:p>
        </w:tc>
        <w:tc>
          <w:tcPr>
            <w:tcW w:w="0" w:type="dxa"/>
            <w:vAlign w:val="bottom"/>
          </w:tcPr>
          <w:p>
            <w:pPr>
              <w:spacing w:after="0"/>
              <w:rPr>
                <w:sz w:val="1"/>
                <w:szCs w:val="1"/>
                <w:color w:val="auto"/>
              </w:rPr>
            </w:pPr>
          </w:p>
        </w:tc>
      </w:tr>
      <w:tr>
        <w:trPr>
          <w:trHeight w:val="231"/>
        </w:trPr>
        <w:tc>
          <w:tcPr>
            <w:tcW w:w="1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80" w:type="dxa"/>
            <w:vAlign w:val="bottom"/>
          </w:tcPr>
          <w:p>
            <w:pPr>
              <w:jc w:val="center"/>
              <w:ind w:left="1455"/>
              <w:spacing w:after="0"/>
              <w:rPr>
                <w:sz w:val="20"/>
                <w:szCs w:val="20"/>
                <w:color w:val="auto"/>
              </w:rPr>
            </w:pPr>
            <w:r>
              <w:rPr>
                <w:rFonts w:ascii="Arial" w:cs="Arial" w:eastAsia="Arial" w:hAnsi="Arial"/>
                <w:sz w:val="16"/>
                <w:szCs w:val="16"/>
                <w:b w:val="1"/>
                <w:bCs w:val="1"/>
                <w:color w:val="auto"/>
                <w:w w:val="99"/>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-1638935</wp:posOffset>
            </wp:positionV>
            <wp:extent cx="1497965" cy="1435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2">
                      <a:extLst>
                        <a:ext uri="{28A0092B-C50C-407E-A947-70E740481C1C}"/>
                      </a:extLst>
                    </a:blip>
                    <a:srcRect/>
                    <a:stretch>
                      <a:fillRect/>
                    </a:stretch>
                  </pic:blipFill>
                  <pic:spPr bwMode="auto">
                    <a:xfrm>
                      <a:off x="0" y="0"/>
                      <a:ext cx="1497965" cy="1435735"/>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-1603375</wp:posOffset>
            </wp:positionV>
            <wp:extent cx="1574165" cy="1508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3">
                      <a:extLst>
                        <a:ext uri="{28A0092B-C50C-407E-A947-70E740481C1C}"/>
                      </a:extLst>
                    </a:blip>
                    <a:srcRect/>
                    <a:stretch>
                      <a:fillRect/>
                    </a:stretch>
                  </pic:blipFill>
                  <pic:spPr bwMode="auto">
                    <a:xfrm>
                      <a:off x="0" y="0"/>
                      <a:ext cx="1574165" cy="1508760"/>
                    </a:xfrm>
                    <a:prstGeom prst="rect">
                      <a:avLst/>
                    </a:prstGeom>
                    <a:noFill/>
                  </pic:spPr>
                </pic:pic>
              </a:graphicData>
            </a:graphic>
          </wp:anchor>
        </w:drawing>
      </w:r>
    </w:p>
    <w:p>
      <w:pPr>
        <w:spacing w:after="0" w:line="25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In addition to national and cultural diversity, gender balance is an important part of our diversity, equity, and inclusion strategy. We are committed to leading our industry in gender diversity, and we are on track to reach our interim milestone of having women represent 25% of our salaried employees by 2025. Our next milestone is for women to comprise 30% of our salaried employees by 2030.</w:t>
      </w:r>
    </w:p>
    <w:p>
      <w:pPr>
        <w:spacing w:after="0" w:line="22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is proud to provide a career platform that enables a culture of lifelong learning for all employees and is committed to offering borderless careers and making career decisions based on merit. SLB’s borderless career philosophy is powered by its talent and mobility practices, which offer employees multiple, flexible career paths to help them acquire the required skills to reach their potential. We provide continuous growth opportunities through a combination of learning and experience. SLB strives to identify talent early and to provide opportunities for those employees who demonstrate exceptional performance and the ability to progress to higher levels within the organization. These opportunities accelerate career development while fostering an agile workforce and the next generation of business leaders.</w:t>
      </w:r>
    </w:p>
    <w:p>
      <w:pPr>
        <w:sectPr>
          <w:pgSz w:w="12240" w:h="15840" w:orient="portrait"/>
          <w:cols w:equalWidth="0" w:num="1">
            <w:col w:w="9360"/>
          </w:cols>
          <w:pgMar w:left="1440" w:top="1440" w:right="1440" w:bottom="83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9360"/>
          </w:cols>
          <w:pgMar w:left="1440" w:top="1440" w:right="1440" w:bottom="836" w:gutter="0" w:footer="0" w:header="0"/>
          <w:type w:val="continuous"/>
        </w:sectPr>
      </w:pPr>
    </w:p>
    <w:bookmarkStart w:id="33" w:name="page34"/>
    <w:bookmarkEnd w:id="33"/>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Competition</w:t>
      </w:r>
    </w:p>
    <w:p>
      <w:pPr>
        <w:spacing w:after="0" w:line="71"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principal methods of competition within the energy services industry are technological innovation, quality of service, and price differentiation. These factors vary geographically and are dependent upon the different services and products that SLB offers. SLB has numerous competitors, both large and small.</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Intellectual Property</w:t>
      </w:r>
    </w:p>
    <w:p>
      <w:pPr>
        <w:spacing w:after="0" w:line="7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owns or controls the industry’s leading portfolio of intellectual property, including but not limited to patents, proprietary information, trade secrets, and software tools and applications that, in the aggregate, are material to SLB’s business. While SLB seeks and holds numerous patents covering various products and processes, no particular patent or group of patents is material to SLB’s business.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Seasonality</w:t>
      </w:r>
    </w:p>
    <w:p>
      <w:pPr>
        <w:spacing w:after="0" w:line="7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Seasonal changes in weather and significant weather events can temporarily affect the delivery of SLB’s products and services. For example, the spring thaw in Canada and other Northern climates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exploration data, software, and other products may result in higher activity in the fourth quarter of the year as clients seek to fully utilize their annual budgets. Conversely, customer budget constraints in North America may lead to lower demand for our services and products in the fourth quarter of the year.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Customers</w:t>
      </w:r>
    </w:p>
    <w:p>
      <w:pPr>
        <w:spacing w:after="0" w:line="71"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SLB’s primary customers are national oil companies, large integrated oil companies and independent operators. No single customer exceeded 10% of SLB’s consolidated revenue during each of 2022, 2021 and 2020.</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Governmental Regulations</w:t>
      </w:r>
    </w:p>
    <w:p>
      <w:pPr>
        <w:spacing w:after="0" w:line="71"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SLB is subject to numerous environmental and other governmental and regulatory requirements related to its operations worldwide. For additional details, see “Item 1(a). Risk Factors – Legal and Regulatory Risks”, which is incorporated by reference in this Item 1.</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Corporate Information</w:t>
      </w:r>
    </w:p>
    <w:p>
      <w:pPr>
        <w:spacing w:after="0" w:line="71"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was founded in 1926. Schlumberger Limited, the NYSE-listed parent of the SLB family of companies, is incorporated under the laws of Curaçao and has executive offices in Paris, Houston, London, and The Hague. The Company changed its brand name to SLB in 2022 but did not change the legal name of its listed parent company, which remains Schlumberger Limited.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Available Information</w:t>
      </w:r>
    </w:p>
    <w:p>
      <w:pPr>
        <w:spacing w:after="0" w:line="71"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 xml:space="preserve">The SLB website is </w:t>
      </w:r>
      <w:r>
        <w:rPr>
          <w:rFonts w:ascii="Arial" w:cs="Arial" w:eastAsia="Arial" w:hAnsi="Arial"/>
          <w:sz w:val="20"/>
          <w:szCs w:val="20"/>
          <w:u w:val="single" w:color="auto"/>
          <w:color w:val="auto"/>
        </w:rPr>
        <w:t>www.slb.com</w:t>
      </w:r>
      <w:r>
        <w:rPr>
          <w:rFonts w:ascii="Arial" w:cs="Arial" w:eastAsia="Arial" w:hAnsi="Arial"/>
          <w:sz w:val="20"/>
          <w:szCs w:val="20"/>
          <w:color w:val="auto"/>
        </w:rPr>
        <w:t xml:space="preserve">. SLB uses its Investor Relations website, </w:t>
      </w:r>
      <w:r>
        <w:rPr>
          <w:rFonts w:ascii="Arial" w:cs="Arial" w:eastAsia="Arial" w:hAnsi="Arial"/>
          <w:sz w:val="20"/>
          <w:szCs w:val="20"/>
          <w:u w:val="single" w:color="auto"/>
          <w:color w:val="auto"/>
        </w:rPr>
        <w:t>https:/</w:t>
      </w:r>
      <w:r>
        <w:rPr>
          <w:rFonts w:ascii="Arial" w:cs="Arial" w:eastAsia="Arial" w:hAnsi="Arial"/>
          <w:sz w:val="20"/>
          <w:szCs w:val="20"/>
          <w:color w:val="auto"/>
        </w:rPr>
        <w:t xml:space="preserve">/ </w:t>
      </w:r>
      <w:r>
        <w:rPr>
          <w:rFonts w:ascii="Arial" w:cs="Arial" w:eastAsia="Arial" w:hAnsi="Arial"/>
          <w:sz w:val="20"/>
          <w:szCs w:val="20"/>
          <w:u w:val="single" w:color="auto"/>
          <w:color w:val="auto"/>
        </w:rPr>
        <w:t>investorcenter.slb.com/</w:t>
      </w:r>
      <w:r>
        <w:rPr>
          <w:rFonts w:ascii="Arial" w:cs="Arial" w:eastAsia="Arial" w:hAnsi="Arial"/>
          <w:sz w:val="20"/>
          <w:szCs w:val="20"/>
          <w:color w:val="auto"/>
        </w:rPr>
        <w:t xml:space="preserve">, as a routine channel for distribution of important information, including news releases, analyst presentations, and financial information. SLB makes available free of charge through its Investor Relations website at </w:t>
      </w:r>
      <w:r>
        <w:rPr>
          <w:rFonts w:ascii="Arial" w:cs="Arial" w:eastAsia="Arial" w:hAnsi="Arial"/>
          <w:sz w:val="20"/>
          <w:szCs w:val="20"/>
          <w:u w:val="single" w:color="auto"/>
          <w:color w:val="auto"/>
        </w:rPr>
        <w:t>https://investorcenter.slb.com/,</w:t>
      </w:r>
      <w:r>
        <w:rPr>
          <w:rFonts w:ascii="Arial" w:cs="Arial" w:eastAsia="Arial" w:hAnsi="Arial"/>
          <w:sz w:val="20"/>
          <w:szCs w:val="20"/>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Copies are also available, without charge, from SLB Investor Relations, 5599 San Felipe, 17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Houston, Texas 77056. Unless expressly noted, the information on its website or any other website is not incorporated by reference in this Form 10-K and should not be considered part of this Form 10-K or any other filing SLB makes with the SEC.</w:t>
      </w:r>
    </w:p>
    <w:p>
      <w:pPr>
        <w:sectPr>
          <w:pgSz w:w="12240" w:h="15840" w:orient="portrait"/>
          <w:cols w:equalWidth="0" w:num="1">
            <w:col w:w="9360"/>
          </w:cols>
          <w:pgMar w:left="1440" w:top="1440" w:right="1440" w:bottom="836"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9360"/>
          </w:cols>
          <w:pgMar w:left="1440" w:top="1440" w:right="1440" w:bottom="836" w:gutter="0" w:footer="0" w:header="0"/>
          <w:type w:val="continuous"/>
        </w:sectPr>
      </w:pPr>
    </w:p>
    <w:bookmarkStart w:id="34" w:name="page35"/>
    <w:bookmarkEnd w:id="34"/>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Information About Our Executive Officers</w:t>
      </w:r>
    </w:p>
    <w:p>
      <w:pPr>
        <w:spacing w:after="0" w:line="134" w:lineRule="exact"/>
        <w:rPr>
          <w:sz w:val="20"/>
          <w:szCs w:val="20"/>
          <w:color w:val="auto"/>
        </w:rPr>
      </w:pPr>
    </w:p>
    <w:p>
      <w:pPr>
        <w:ind w:left="120" w:right="120"/>
        <w:spacing w:after="0" w:line="245" w:lineRule="auto"/>
        <w:rPr>
          <w:sz w:val="20"/>
          <w:szCs w:val="20"/>
          <w:color w:val="auto"/>
        </w:rPr>
      </w:pPr>
      <w:r>
        <w:rPr>
          <w:rFonts w:ascii="Arial" w:cs="Arial" w:eastAsia="Arial" w:hAnsi="Arial"/>
          <w:sz w:val="20"/>
          <w:szCs w:val="20"/>
          <w:color w:val="auto"/>
        </w:rPr>
        <w:t>The following table sets forth, as of January 25, 2023, the names and ages of SLB’s executive officers, including all offices and positions held by each executive officer during the past five years.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Arial" w:cs="Arial" w:eastAsia="Arial" w:hAnsi="Arial"/>
                <w:sz w:val="20"/>
                <w:szCs w:val="20"/>
                <w:b w:val="1"/>
                <w:bCs w:val="1"/>
                <w:color w:val="auto"/>
              </w:rPr>
              <w:t>Name</w:t>
            </w:r>
          </w:p>
        </w:tc>
        <w:tc>
          <w:tcPr>
            <w:tcW w:w="62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w w:val="95"/>
              </w:rPr>
              <w:t>Age</w:t>
            </w:r>
          </w:p>
        </w:tc>
        <w:tc>
          <w:tcPr>
            <w:tcW w:w="6560" w:type="dxa"/>
            <w:vAlign w:val="bottom"/>
            <w:gridSpan w:val="2"/>
          </w:tcPr>
          <w:p>
            <w:pPr>
              <w:spacing w:after="0"/>
              <w:rPr>
                <w:sz w:val="20"/>
                <w:szCs w:val="20"/>
                <w:color w:val="auto"/>
              </w:rPr>
            </w:pPr>
            <w:r>
              <w:rPr>
                <w:rFonts w:ascii="Arial" w:cs="Arial" w:eastAsia="Arial" w:hAnsi="Arial"/>
                <w:sz w:val="20"/>
                <w:szCs w:val="20"/>
                <w:b w:val="1"/>
                <w:bCs w:val="1"/>
                <w:color w:val="auto"/>
              </w:rPr>
              <w:t>Current Position and Five-Year Business Experience</w:t>
            </w:r>
          </w:p>
        </w:tc>
      </w:tr>
      <w:tr>
        <w:trPr>
          <w:trHeight w:val="28"/>
        </w:trPr>
        <w:tc>
          <w:tcPr>
            <w:tcW w:w="54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512"/>
        </w:trPr>
        <w:tc>
          <w:tcPr>
            <w:tcW w:w="1940" w:type="dxa"/>
            <w:vAlign w:val="bottom"/>
            <w:gridSpan w:val="2"/>
          </w:tcPr>
          <w:p>
            <w:pPr>
              <w:spacing w:after="0"/>
              <w:rPr>
                <w:sz w:val="20"/>
                <w:szCs w:val="20"/>
                <w:color w:val="auto"/>
              </w:rPr>
            </w:pPr>
            <w:r>
              <w:rPr>
                <w:rFonts w:ascii="Arial" w:cs="Arial" w:eastAsia="Arial" w:hAnsi="Arial"/>
                <w:sz w:val="20"/>
                <w:szCs w:val="20"/>
                <w:color w:val="auto"/>
              </w:rPr>
              <w:t>Olivier Le Peuch</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59</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Chief Executive Officer and Director, since August 2019; Chief Operating</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Officer, February 2019 to July 2019; Executive Vice President, Reservoir</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and Infrastructure, May 2018 to February 2019; and President, Cameron</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Group, February 2017 to May 2018.</w:t>
            </w:r>
          </w:p>
        </w:tc>
      </w:tr>
      <w:tr>
        <w:trPr>
          <w:trHeight w:val="480"/>
        </w:trPr>
        <w:tc>
          <w:tcPr>
            <w:tcW w:w="1940" w:type="dxa"/>
            <w:vAlign w:val="bottom"/>
            <w:gridSpan w:val="2"/>
          </w:tcPr>
          <w:p>
            <w:pPr>
              <w:spacing w:after="0"/>
              <w:rPr>
                <w:sz w:val="20"/>
                <w:szCs w:val="20"/>
                <w:color w:val="auto"/>
              </w:rPr>
            </w:pPr>
            <w:r>
              <w:rPr>
                <w:rFonts w:ascii="Arial" w:cs="Arial" w:eastAsia="Arial" w:hAnsi="Arial"/>
                <w:sz w:val="20"/>
                <w:szCs w:val="20"/>
                <w:color w:val="auto"/>
              </w:rPr>
              <w:t>Khaled Al Mogharbel</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52</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Executive Vice President, Geographies, since July 2020; Executive Vice</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President, Operations, April 2019 to June 2020; Executive Vice President,</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Eastern Hemisphere, February 2019 to March 2019; and President,</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Eastern Hemisphere, May 2017 to January 2019.</w:t>
            </w:r>
          </w:p>
        </w:tc>
      </w:tr>
      <w:tr>
        <w:trPr>
          <w:trHeight w:val="480"/>
        </w:trPr>
        <w:tc>
          <w:tcPr>
            <w:tcW w:w="1940" w:type="dxa"/>
            <w:vAlign w:val="bottom"/>
            <w:gridSpan w:val="2"/>
          </w:tcPr>
          <w:p>
            <w:pPr>
              <w:spacing w:after="0"/>
              <w:rPr>
                <w:sz w:val="20"/>
                <w:szCs w:val="20"/>
                <w:color w:val="auto"/>
              </w:rPr>
            </w:pPr>
            <w:r>
              <w:rPr>
                <w:rFonts w:ascii="Arial" w:cs="Arial" w:eastAsia="Arial" w:hAnsi="Arial"/>
                <w:sz w:val="20"/>
                <w:szCs w:val="20"/>
                <w:color w:val="auto"/>
              </w:rPr>
              <w:t>Stephane Biguet</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54</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Executive Vice President and Chief Financial Officer, since January 2020;</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and Vice President, Finance, December 2017 to January 2020.</w:t>
            </w:r>
          </w:p>
        </w:tc>
      </w:tr>
      <w:tr>
        <w:trPr>
          <w:trHeight w:val="480"/>
        </w:trPr>
        <w:tc>
          <w:tcPr>
            <w:tcW w:w="1940" w:type="dxa"/>
            <w:vAlign w:val="bottom"/>
            <w:gridSpan w:val="2"/>
          </w:tcPr>
          <w:p>
            <w:pPr>
              <w:spacing w:after="0"/>
              <w:rPr>
                <w:sz w:val="20"/>
                <w:szCs w:val="20"/>
                <w:color w:val="auto"/>
              </w:rPr>
            </w:pPr>
            <w:r>
              <w:rPr>
                <w:rFonts w:ascii="Arial" w:cs="Arial" w:eastAsia="Arial" w:hAnsi="Arial"/>
                <w:sz w:val="20"/>
                <w:szCs w:val="20"/>
                <w:color w:val="auto"/>
              </w:rPr>
              <w:t>Abdellah Merad</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49</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Executive Vice President, Core Services and Equipment, since April</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2022; Executive Vice President, Performance Management, May 2019 to</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March 2022; and President, Production Group, October 2017 to April</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20"/>
                <w:szCs w:val="20"/>
                <w:color w:val="auto"/>
              </w:rPr>
              <w:t>2019.</w:t>
            </w:r>
          </w:p>
        </w:tc>
        <w:tc>
          <w:tcPr>
            <w:tcW w:w="1560" w:type="dxa"/>
            <w:vAlign w:val="bottom"/>
          </w:tcPr>
          <w:p>
            <w:pPr>
              <w:spacing w:after="0"/>
              <w:rPr>
                <w:sz w:val="20"/>
                <w:szCs w:val="20"/>
                <w:color w:val="auto"/>
              </w:rPr>
            </w:pPr>
          </w:p>
        </w:tc>
      </w:tr>
      <w:tr>
        <w:trPr>
          <w:trHeight w:val="480"/>
        </w:trPr>
        <w:tc>
          <w:tcPr>
            <w:tcW w:w="2560" w:type="dxa"/>
            <w:vAlign w:val="bottom"/>
            <w:gridSpan w:val="5"/>
          </w:tcPr>
          <w:p>
            <w:pPr>
              <w:spacing w:after="0"/>
              <w:rPr>
                <w:sz w:val="20"/>
                <w:szCs w:val="20"/>
                <w:color w:val="auto"/>
              </w:rPr>
            </w:pPr>
            <w:r>
              <w:rPr>
                <w:rFonts w:ascii="Arial" w:cs="Arial" w:eastAsia="Arial" w:hAnsi="Arial"/>
                <w:sz w:val="20"/>
                <w:szCs w:val="20"/>
                <w:color w:val="auto"/>
              </w:rPr>
              <w:t>Katharina Beumelburg 46</w:t>
            </w:r>
          </w:p>
        </w:tc>
        <w:tc>
          <w:tcPr>
            <w:tcW w:w="6560" w:type="dxa"/>
            <w:vAlign w:val="bottom"/>
            <w:gridSpan w:val="2"/>
          </w:tcPr>
          <w:p>
            <w:pPr>
              <w:spacing w:after="0"/>
              <w:rPr>
                <w:sz w:val="20"/>
                <w:szCs w:val="20"/>
                <w:color w:val="auto"/>
              </w:rPr>
            </w:pPr>
            <w:r>
              <w:rPr>
                <w:rFonts w:ascii="Arial" w:cs="Arial" w:eastAsia="Arial" w:hAnsi="Arial"/>
                <w:sz w:val="20"/>
                <w:szCs w:val="20"/>
                <w:color w:val="auto"/>
              </w:rPr>
              <w:t>Chief Strategy and Sustainability Officer, since May 2021; Senior Vice</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President,  Transmission  Service,  Siemens  Energy,  Siemens  AG  (a</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multinational industrial manufacturing company), April 2020 to May 2021;</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and  Executive  Vice  President,  Strategy,  Siemens  Gas  and  Power,</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Siemens AG, November 2016 to April 2020.</w:t>
            </w:r>
          </w:p>
        </w:tc>
      </w:tr>
      <w:tr>
        <w:trPr>
          <w:trHeight w:val="480"/>
        </w:trPr>
        <w:tc>
          <w:tcPr>
            <w:tcW w:w="1940" w:type="dxa"/>
            <w:vAlign w:val="bottom"/>
            <w:gridSpan w:val="2"/>
          </w:tcPr>
          <w:p>
            <w:pPr>
              <w:spacing w:after="0"/>
              <w:rPr>
                <w:sz w:val="20"/>
                <w:szCs w:val="20"/>
                <w:color w:val="auto"/>
              </w:rPr>
            </w:pPr>
            <w:r>
              <w:rPr>
                <w:rFonts w:ascii="Arial" w:cs="Arial" w:eastAsia="Arial" w:hAnsi="Arial"/>
                <w:sz w:val="20"/>
                <w:szCs w:val="20"/>
                <w:color w:val="auto"/>
              </w:rPr>
              <w:t>Demosthenis Pafitis</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55</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Chief  Technology  Officer,  since  February  2020;  and  Senior  Vice</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President, SLB 4.0 Platforms, from December 2017 to January 2020.</w:t>
            </w:r>
          </w:p>
        </w:tc>
      </w:tr>
      <w:tr>
        <w:trPr>
          <w:trHeight w:val="480"/>
        </w:trPr>
        <w:tc>
          <w:tcPr>
            <w:tcW w:w="1940" w:type="dxa"/>
            <w:vAlign w:val="bottom"/>
            <w:gridSpan w:val="2"/>
          </w:tcPr>
          <w:p>
            <w:pPr>
              <w:spacing w:after="0"/>
              <w:rPr>
                <w:sz w:val="20"/>
                <w:szCs w:val="20"/>
                <w:color w:val="auto"/>
              </w:rPr>
            </w:pPr>
            <w:r>
              <w:rPr>
                <w:rFonts w:ascii="Arial" w:cs="Arial" w:eastAsia="Arial" w:hAnsi="Arial"/>
                <w:sz w:val="20"/>
                <w:szCs w:val="20"/>
                <w:color w:val="auto"/>
              </w:rPr>
              <w:t>Dianne Ralston</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56</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Chief Legal Officer, since December 2020, and Secretary, since April</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2021; and Executive Vice President, Chief Legal Officer, and Secretary,</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TechnipFMC plc (a global oilfield services company), January 2017 to</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September 2020.</w:t>
            </w:r>
          </w:p>
        </w:tc>
      </w:tr>
      <w:tr>
        <w:trPr>
          <w:trHeight w:val="480"/>
        </w:trPr>
        <w:tc>
          <w:tcPr>
            <w:tcW w:w="1940" w:type="dxa"/>
            <w:vAlign w:val="bottom"/>
            <w:gridSpan w:val="2"/>
          </w:tcPr>
          <w:p>
            <w:pPr>
              <w:spacing w:after="0"/>
              <w:rPr>
                <w:sz w:val="20"/>
                <w:szCs w:val="20"/>
                <w:color w:val="auto"/>
              </w:rPr>
            </w:pPr>
            <w:r>
              <w:rPr>
                <w:rFonts w:ascii="Arial" w:cs="Arial" w:eastAsia="Arial" w:hAnsi="Arial"/>
                <w:sz w:val="20"/>
                <w:szCs w:val="20"/>
                <w:color w:val="auto"/>
              </w:rPr>
              <w:t>Carmen Rando Bejar</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45</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Chief People Officer, since April 2022; Vice President, Global Business</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Services, September 2019 to March 2022; Operational Planning and</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Resource Manager, Drilling and Measurements, April 2018 to August</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2019; and Operations Systems Manager, Drilling and Measurements,</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August 2016 to March 2018.</w:t>
            </w:r>
          </w:p>
        </w:tc>
      </w:tr>
      <w:tr>
        <w:trPr>
          <w:trHeight w:val="480"/>
        </w:trPr>
        <w:tc>
          <w:tcPr>
            <w:tcW w:w="1940" w:type="dxa"/>
            <w:vAlign w:val="bottom"/>
            <w:gridSpan w:val="2"/>
          </w:tcPr>
          <w:p>
            <w:pPr>
              <w:spacing w:after="0"/>
              <w:rPr>
                <w:sz w:val="20"/>
                <w:szCs w:val="20"/>
                <w:color w:val="auto"/>
              </w:rPr>
            </w:pPr>
            <w:r>
              <w:rPr>
                <w:rFonts w:ascii="Arial" w:cs="Arial" w:eastAsia="Arial" w:hAnsi="Arial"/>
                <w:sz w:val="20"/>
                <w:szCs w:val="20"/>
                <w:color w:val="auto"/>
              </w:rPr>
              <w:t>Gavin Rennick</w:t>
            </w:r>
          </w:p>
        </w:tc>
        <w:tc>
          <w:tcPr>
            <w:tcW w:w="420" w:type="dxa"/>
            <w:vAlign w:val="bottom"/>
            <w:gridSpan w:val="2"/>
          </w:tcPr>
          <w:p>
            <w:pPr>
              <w:jc w:val="center"/>
              <w:spacing w:after="0"/>
              <w:rPr>
                <w:sz w:val="20"/>
                <w:szCs w:val="20"/>
                <w:color w:val="auto"/>
              </w:rPr>
            </w:pPr>
            <w:r>
              <w:rPr>
                <w:rFonts w:ascii="Arial" w:cs="Arial" w:eastAsia="Arial" w:hAnsi="Arial"/>
                <w:sz w:val="20"/>
                <w:szCs w:val="20"/>
                <w:color w:val="auto"/>
              </w:rPr>
              <w:t>48</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President,  New  Energy,  since  April  2022;  Vice  President,  Human</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Resources, February  2019 to  March 2022; and President, Software</w:t>
            </w:r>
          </w:p>
        </w:tc>
      </w:tr>
      <w:tr>
        <w:trPr>
          <w:trHeight w:val="24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Integrated Solutions, January 2017 to February 2019.</w:t>
            </w: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9360"/>
          </w:cols>
          <w:pgMar w:left="1440" w:top="1440" w:right="1440" w:bottom="836" w:gutter="0" w:footer="0" w:header="0"/>
          <w:type w:val="continuous"/>
        </w:sectPr>
      </w:pPr>
    </w:p>
    <w:bookmarkStart w:id="35" w:name="page36"/>
    <w:bookmarkEnd w:id="35"/>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Arial" w:cs="Arial" w:eastAsia="Arial" w:hAnsi="Arial"/>
                <w:sz w:val="20"/>
                <w:szCs w:val="20"/>
                <w:b w:val="1"/>
                <w:bCs w:val="1"/>
                <w:color w:val="auto"/>
              </w:rPr>
              <w:t>Name</w:t>
            </w:r>
          </w:p>
        </w:tc>
        <w:tc>
          <w:tcPr>
            <w:tcW w:w="8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5"/>
              </w:rPr>
              <w:t>Age</w:t>
            </w:r>
          </w:p>
        </w:tc>
        <w:tc>
          <w:tcPr>
            <w:tcW w:w="6560" w:type="dxa"/>
            <w:vAlign w:val="bottom"/>
            <w:gridSpan w:val="2"/>
          </w:tcPr>
          <w:p>
            <w:pPr>
              <w:spacing w:after="0"/>
              <w:rPr>
                <w:sz w:val="20"/>
                <w:szCs w:val="20"/>
                <w:color w:val="auto"/>
              </w:rPr>
            </w:pPr>
            <w:r>
              <w:rPr>
                <w:rFonts w:ascii="Arial" w:cs="Arial" w:eastAsia="Arial" w:hAnsi="Arial"/>
                <w:sz w:val="20"/>
                <w:szCs w:val="20"/>
                <w:b w:val="1"/>
                <w:bCs w:val="1"/>
                <w:color w:val="auto"/>
              </w:rPr>
              <w:t>Current Position and Five-Year Business Experience</w:t>
            </w:r>
          </w:p>
        </w:tc>
      </w:tr>
      <w:tr>
        <w:trPr>
          <w:trHeight w:val="28"/>
        </w:trPr>
        <w:tc>
          <w:tcPr>
            <w:tcW w:w="5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512"/>
        </w:trPr>
        <w:tc>
          <w:tcPr>
            <w:tcW w:w="1760" w:type="dxa"/>
            <w:vAlign w:val="bottom"/>
            <w:gridSpan w:val="2"/>
          </w:tcPr>
          <w:p>
            <w:pPr>
              <w:spacing w:after="0"/>
              <w:rPr>
                <w:sz w:val="20"/>
                <w:szCs w:val="20"/>
                <w:color w:val="auto"/>
              </w:rPr>
            </w:pPr>
            <w:r>
              <w:rPr>
                <w:rFonts w:ascii="Arial" w:cs="Arial" w:eastAsia="Arial" w:hAnsi="Arial"/>
                <w:sz w:val="20"/>
                <w:szCs w:val="20"/>
                <w:color w:val="auto"/>
              </w:rPr>
              <w:t>Rajeev Sonthalia</w:t>
            </w:r>
          </w:p>
        </w:tc>
        <w:tc>
          <w:tcPr>
            <w:tcW w:w="600" w:type="dxa"/>
            <w:vAlign w:val="bottom"/>
            <w:gridSpan w:val="2"/>
          </w:tcPr>
          <w:p>
            <w:pPr>
              <w:jc w:val="center"/>
              <w:ind w:left="140"/>
              <w:spacing w:after="0"/>
              <w:rPr>
                <w:sz w:val="20"/>
                <w:szCs w:val="20"/>
                <w:color w:val="auto"/>
              </w:rPr>
            </w:pPr>
            <w:r>
              <w:rPr>
                <w:rFonts w:ascii="Arial" w:cs="Arial" w:eastAsia="Arial" w:hAnsi="Arial"/>
                <w:sz w:val="20"/>
                <w:szCs w:val="20"/>
                <w:color w:val="auto"/>
              </w:rPr>
              <w:t>54</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President, Digital &amp; Integration, since July 2020; President, Integrated</w:t>
            </w:r>
          </w:p>
        </w:tc>
      </w:tr>
      <w:tr>
        <w:trPr>
          <w:trHeight w:val="24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Performance Management, October 2019 to June 2020; Vice President,</w:t>
            </w:r>
          </w:p>
        </w:tc>
      </w:tr>
      <w:tr>
        <w:trPr>
          <w:trHeight w:val="24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Marketing, Wells, May 2018 to September 2019; and Vice President,</w:t>
            </w:r>
          </w:p>
        </w:tc>
      </w:tr>
      <w:tr>
        <w:trPr>
          <w:trHeight w:val="24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Eastern Hemisphere, Reservoir Characterization Group, October 2017 to</w:t>
            </w:r>
          </w:p>
        </w:tc>
      </w:tr>
      <w:tr>
        <w:trPr>
          <w:trHeight w:val="24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April 2018.</w:t>
            </w:r>
          </w:p>
        </w:tc>
      </w:tr>
      <w:tr>
        <w:trPr>
          <w:trHeight w:val="480"/>
        </w:trPr>
        <w:tc>
          <w:tcPr>
            <w:tcW w:w="1760" w:type="dxa"/>
            <w:vAlign w:val="bottom"/>
            <w:gridSpan w:val="2"/>
          </w:tcPr>
          <w:p>
            <w:pPr>
              <w:spacing w:after="0"/>
              <w:rPr>
                <w:sz w:val="20"/>
                <w:szCs w:val="20"/>
                <w:color w:val="auto"/>
              </w:rPr>
            </w:pPr>
            <w:r>
              <w:rPr>
                <w:rFonts w:ascii="Arial" w:cs="Arial" w:eastAsia="Arial" w:hAnsi="Arial"/>
                <w:sz w:val="20"/>
                <w:szCs w:val="20"/>
                <w:color w:val="auto"/>
              </w:rPr>
              <w:t>Kevin Fyfe</w:t>
            </w:r>
          </w:p>
        </w:tc>
        <w:tc>
          <w:tcPr>
            <w:tcW w:w="600" w:type="dxa"/>
            <w:vAlign w:val="bottom"/>
            <w:gridSpan w:val="2"/>
          </w:tcPr>
          <w:p>
            <w:pPr>
              <w:jc w:val="center"/>
              <w:ind w:left="140"/>
              <w:spacing w:after="0"/>
              <w:rPr>
                <w:sz w:val="20"/>
                <w:szCs w:val="20"/>
                <w:color w:val="auto"/>
              </w:rPr>
            </w:pPr>
            <w:r>
              <w:rPr>
                <w:rFonts w:ascii="Arial" w:cs="Arial" w:eastAsia="Arial" w:hAnsi="Arial"/>
                <w:sz w:val="20"/>
                <w:szCs w:val="20"/>
                <w:color w:val="auto"/>
              </w:rPr>
              <w:t>49</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Vice President and Treasurer, since July 2022; and Vice President and</w:t>
            </w:r>
          </w:p>
        </w:tc>
      </w:tr>
      <w:tr>
        <w:trPr>
          <w:trHeight w:val="24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Controller, October 2017 to June 2022.</w:t>
            </w:r>
          </w:p>
        </w:tc>
      </w:tr>
      <w:tr>
        <w:trPr>
          <w:trHeight w:val="480"/>
        </w:trPr>
        <w:tc>
          <w:tcPr>
            <w:tcW w:w="1760" w:type="dxa"/>
            <w:vAlign w:val="bottom"/>
            <w:gridSpan w:val="2"/>
          </w:tcPr>
          <w:p>
            <w:pPr>
              <w:spacing w:after="0"/>
              <w:rPr>
                <w:sz w:val="20"/>
                <w:szCs w:val="20"/>
                <w:color w:val="auto"/>
              </w:rPr>
            </w:pPr>
            <w:r>
              <w:rPr>
                <w:rFonts w:ascii="Arial" w:cs="Arial" w:eastAsia="Arial" w:hAnsi="Arial"/>
                <w:sz w:val="20"/>
                <w:szCs w:val="20"/>
                <w:color w:val="auto"/>
              </w:rPr>
              <w:t>Howard Guild</w:t>
            </w:r>
          </w:p>
        </w:tc>
        <w:tc>
          <w:tcPr>
            <w:tcW w:w="600" w:type="dxa"/>
            <w:vAlign w:val="bottom"/>
            <w:gridSpan w:val="2"/>
          </w:tcPr>
          <w:p>
            <w:pPr>
              <w:jc w:val="center"/>
              <w:ind w:left="140"/>
              <w:spacing w:after="0"/>
              <w:rPr>
                <w:sz w:val="20"/>
                <w:szCs w:val="20"/>
                <w:color w:val="auto"/>
              </w:rPr>
            </w:pPr>
            <w:r>
              <w:rPr>
                <w:rFonts w:ascii="Arial" w:cs="Arial" w:eastAsia="Arial" w:hAnsi="Arial"/>
                <w:sz w:val="20"/>
                <w:szCs w:val="20"/>
                <w:color w:val="auto"/>
              </w:rPr>
              <w:t>51</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Chief Accounting Officer, since July 2005.</w:t>
            </w:r>
          </w:p>
        </w:tc>
      </w:tr>
      <w:tr>
        <w:trPr>
          <w:trHeight w:val="480"/>
        </w:trPr>
        <w:tc>
          <w:tcPr>
            <w:tcW w:w="1760" w:type="dxa"/>
            <w:vAlign w:val="bottom"/>
            <w:gridSpan w:val="2"/>
          </w:tcPr>
          <w:p>
            <w:pPr>
              <w:spacing w:after="0"/>
              <w:rPr>
                <w:sz w:val="20"/>
                <w:szCs w:val="20"/>
                <w:color w:val="auto"/>
              </w:rPr>
            </w:pPr>
            <w:r>
              <w:rPr>
                <w:rFonts w:ascii="Arial" w:cs="Arial" w:eastAsia="Arial" w:hAnsi="Arial"/>
                <w:sz w:val="20"/>
                <w:szCs w:val="20"/>
                <w:color w:val="auto"/>
              </w:rPr>
              <w:t>Ugo Prechner</w:t>
            </w:r>
          </w:p>
        </w:tc>
        <w:tc>
          <w:tcPr>
            <w:tcW w:w="600" w:type="dxa"/>
            <w:vAlign w:val="bottom"/>
            <w:gridSpan w:val="2"/>
          </w:tcPr>
          <w:p>
            <w:pPr>
              <w:jc w:val="center"/>
              <w:ind w:left="140"/>
              <w:spacing w:after="0"/>
              <w:rPr>
                <w:sz w:val="20"/>
                <w:szCs w:val="20"/>
                <w:color w:val="auto"/>
              </w:rPr>
            </w:pPr>
            <w:r>
              <w:rPr>
                <w:rFonts w:ascii="Arial" w:cs="Arial" w:eastAsia="Arial" w:hAnsi="Arial"/>
                <w:sz w:val="20"/>
                <w:szCs w:val="20"/>
                <w:color w:val="auto"/>
              </w:rPr>
              <w:t>45</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Vice President and Controller, since August 2022; Well Construction</w:t>
            </w:r>
          </w:p>
        </w:tc>
      </w:tr>
      <w:tr>
        <w:trPr>
          <w:trHeight w:val="24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Controller, July 2020 to July 2022; Controller Operations, August 2019 to</w:t>
            </w:r>
          </w:p>
        </w:tc>
      </w:tr>
      <w:tr>
        <w:trPr>
          <w:trHeight w:val="24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June 2020; and M-I Swaco Controller, October 2017 to August 2019.</w:t>
            </w:r>
          </w:p>
        </w:tc>
      </w:tr>
      <w:tr>
        <w:trPr>
          <w:trHeight w:val="480"/>
        </w:trPr>
        <w:tc>
          <w:tcPr>
            <w:tcW w:w="1760" w:type="dxa"/>
            <w:vAlign w:val="bottom"/>
            <w:gridSpan w:val="2"/>
          </w:tcPr>
          <w:p>
            <w:pPr>
              <w:spacing w:after="0"/>
              <w:rPr>
                <w:sz w:val="20"/>
                <w:szCs w:val="20"/>
                <w:color w:val="auto"/>
              </w:rPr>
            </w:pPr>
            <w:r>
              <w:rPr>
                <w:rFonts w:ascii="Arial" w:cs="Arial" w:eastAsia="Arial" w:hAnsi="Arial"/>
                <w:sz w:val="20"/>
                <w:szCs w:val="20"/>
                <w:color w:val="auto"/>
              </w:rPr>
              <w:t>Vijay Kasibhatla</w:t>
            </w:r>
          </w:p>
        </w:tc>
        <w:tc>
          <w:tcPr>
            <w:tcW w:w="600" w:type="dxa"/>
            <w:vAlign w:val="bottom"/>
            <w:gridSpan w:val="2"/>
          </w:tcPr>
          <w:p>
            <w:pPr>
              <w:jc w:val="center"/>
              <w:ind w:left="140"/>
              <w:spacing w:after="0"/>
              <w:rPr>
                <w:sz w:val="20"/>
                <w:szCs w:val="20"/>
                <w:color w:val="auto"/>
              </w:rPr>
            </w:pPr>
            <w:r>
              <w:rPr>
                <w:rFonts w:ascii="Arial" w:cs="Arial" w:eastAsia="Arial" w:hAnsi="Arial"/>
                <w:sz w:val="20"/>
                <w:szCs w:val="20"/>
                <w:color w:val="auto"/>
              </w:rPr>
              <w:t>59</w:t>
            </w:r>
          </w:p>
        </w:tc>
        <w:tc>
          <w:tcPr>
            <w:tcW w:w="20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0"/>
                <w:szCs w:val="20"/>
                <w:color w:val="auto"/>
              </w:rPr>
              <w:t>Director, Mergers and Acquisitions, since January 2013.</w:t>
            </w: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9360"/>
          </w:cols>
          <w:pgMar w:left="1440" w:top="1440" w:right="1440" w:bottom="836" w:gutter="0" w:footer="0" w:header="0"/>
          <w:type w:val="continuous"/>
        </w:sectPr>
      </w:pPr>
    </w:p>
    <w:bookmarkStart w:id="36" w:name="page37"/>
    <w:bookmarkEnd w:id="36"/>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1A. Risk Factors.</w:t>
      </w:r>
    </w:p>
    <w:p>
      <w:pPr>
        <w:spacing w:after="0" w:line="13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20"/>
          <w:szCs w:val="20"/>
          <w:i w:val="1"/>
          <w:iCs w:val="1"/>
          <w:color w:val="auto"/>
        </w:rPr>
        <w:t xml:space="preserve">Consolidated Financial Statements </w:t>
      </w:r>
      <w:r>
        <w:rPr>
          <w:rFonts w:ascii="Arial" w:cs="Arial" w:eastAsia="Arial" w:hAnsi="Arial"/>
          <w:sz w:val="20"/>
          <w:szCs w:val="20"/>
          <w:color w:val="auto"/>
        </w:rPr>
        <w:t>and related notes included in this Form 10-K.</w:t>
      </w:r>
    </w:p>
    <w:p>
      <w:pPr>
        <w:spacing w:after="0" w:line="245"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i w:val="1"/>
          <w:iCs w:val="1"/>
          <w:color w:val="auto"/>
        </w:rPr>
        <w:t>We urge you to consider carefully the risks described below, which discuss the material factors that make an investment in our securities speculative or risky, as well as in other reports and materials that we file with the SEC and the other information included or incorporated by reference in this Form 10-K, any of which could materially adversely affect our financial condition, results of operations and cash flows. Additional risks and uncertainties not currently known to us or that we currently deem immaterial may also materially adversely affect our business, reputation, financial condition, results of operations, cash flows and prospects.</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Business and Operational Risks</w:t>
      </w:r>
    </w:p>
    <w:p>
      <w:pPr>
        <w:spacing w:after="0" w:line="130"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Demand for our products and services is substantially dependent on the levels of expenditures by our customers. Recent oil and gas industry downturns have resulted in reduced demand for oilfield products and services and lower expenditures by our customers, which has in the past had, and may in the future have, a material adverse effect on our financial condition, results of operations and cash flows.</w:t>
      </w:r>
    </w:p>
    <w:p>
      <w:pPr>
        <w:spacing w:after="0" w:line="24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Demand for our products and services depends substantially on expenditures by our customers for the exploration, development and production of oil and gas reserves. These expenditures are generally dependent on our customers’ views of future demand for oil and gas and future oil and gas prices, as well as our customers’ ability to access capital. In addition, the transition of the global energy sector from primarily a fossil fuel-based system to renewable energy sources could affect our customers’ levels of expenditures.</w:t>
      </w:r>
    </w:p>
    <w:p>
      <w:pPr>
        <w:spacing w:after="0" w:line="24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Actual and anticipated declines in oil and gas prices have in the past resulted in, and may in the future result in, lower capital expenditures, project modifications, delays or cancellations, general business disruptions, and delays in payment of, or nonpayment of, amounts that are owed to us. These effects have had, and may in the future have, a material adverse effect on our financial condition, results of operations and cash flows.</w:t>
      </w:r>
    </w:p>
    <w:p>
      <w:pPr>
        <w:spacing w:after="0" w:line="24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Historically, oil and gas prices have experienced significant volatility and can be affected by a variety of factors, including:</w:t>
      </w:r>
    </w:p>
    <w:p>
      <w:pPr>
        <w:spacing w:after="0" w:line="130" w:lineRule="exact"/>
        <w:rPr>
          <w:sz w:val="20"/>
          <w:szCs w:val="20"/>
          <w:color w:val="auto"/>
        </w:rPr>
      </w:pPr>
    </w:p>
    <w:p>
      <w:pPr>
        <w:ind w:left="840" w:right="120" w:hanging="360"/>
        <w:spacing w:after="0" w:line="245" w:lineRule="auto"/>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the supply of and demand for hydrocarbons, which are affected by general economic and business conditions;</w:t>
      </w:r>
    </w:p>
    <w:p>
      <w:pPr>
        <w:spacing w:after="0" w:line="6" w:lineRule="exact"/>
        <w:rPr>
          <w:rFonts w:ascii="Arial" w:cs="Arial" w:eastAsia="Arial" w:hAnsi="Arial"/>
          <w:sz w:val="20"/>
          <w:szCs w:val="20"/>
          <w:color w:val="auto"/>
        </w:rPr>
      </w:pPr>
    </w:p>
    <w:p>
      <w:pPr>
        <w:ind w:left="840" w:hanging="360"/>
        <w:spacing w:after="0"/>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costs of exploring for, producing, and delivering oil and gas;</w:t>
      </w:r>
    </w:p>
    <w:p>
      <w:pPr>
        <w:spacing w:after="0" w:line="14"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ability or willingness of the Organization of Petroleum Exporting Countries and the expanded alliance known as OPEC+ to set and maintain production levels for oil;</w:t>
      </w:r>
    </w:p>
    <w:p>
      <w:pPr>
        <w:spacing w:after="0" w:line="6" w:lineRule="exact"/>
        <w:rPr>
          <w:rFonts w:ascii="Arial" w:cs="Arial" w:eastAsia="Arial" w:hAnsi="Arial"/>
          <w:sz w:val="20"/>
          <w:szCs w:val="20"/>
          <w:color w:val="auto"/>
        </w:rPr>
      </w:pPr>
    </w:p>
    <w:p>
      <w:pPr>
        <w:ind w:left="840" w:hanging="360"/>
        <w:spacing w:after="0"/>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level of oil and gas exploration and production activity;</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level of excess production capacity;</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level of refining capacity;</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level of oil and gas inventories;</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access to potential resources;</w:t>
      </w:r>
    </w:p>
    <w:p>
      <w:pPr>
        <w:spacing w:after="0" w:line="8" w:lineRule="exact"/>
        <w:rPr>
          <w:rFonts w:ascii="Arial" w:cs="Arial" w:eastAsia="Arial" w:hAnsi="Arial"/>
          <w:sz w:val="20"/>
          <w:szCs w:val="20"/>
          <w:color w:val="auto"/>
        </w:rPr>
      </w:pPr>
    </w:p>
    <w:p>
      <w:pPr>
        <w:ind w:left="840" w:hanging="360"/>
        <w:spacing w:after="0"/>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political and economic uncertainty and geopolitical unrest;</w:t>
      </w:r>
    </w:p>
    <w:p>
      <w:pPr>
        <w:spacing w:after="0" w:line="16" w:lineRule="exact"/>
        <w:rPr>
          <w:rFonts w:ascii="Arial" w:cs="Arial" w:eastAsia="Arial" w:hAnsi="Arial"/>
          <w:sz w:val="20"/>
          <w:szCs w:val="20"/>
          <w:color w:val="auto"/>
        </w:rPr>
      </w:pPr>
    </w:p>
    <w:p>
      <w:pPr>
        <w:ind w:left="840" w:right="120" w:hanging="360"/>
        <w:spacing w:after="0" w:line="243" w:lineRule="auto"/>
        <w:tabs>
          <w:tab w:leader="none" w:pos="8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governmental laws, policies, regulations, subsidies, and other actions, including initiatives to promote the use of renewable energy sources;</w:t>
      </w:r>
    </w:p>
    <w:p>
      <w:pPr>
        <w:sectPr>
          <w:pgSz w:w="12240" w:h="15840" w:orient="portrait"/>
          <w:cols w:equalWidth="0" w:num="1">
            <w:col w:w="9360"/>
          </w:cols>
          <w:pgMar w:left="1440" w:top="1440" w:right="1440" w:bottom="836"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9360"/>
          </w:cols>
          <w:pgMar w:left="1440" w:top="1440" w:right="1440" w:bottom="836" w:gutter="0" w:footer="0" w:header="0"/>
          <w:type w:val="continuous"/>
        </w:sectPr>
      </w:pPr>
    </w:p>
    <w:bookmarkStart w:id="37" w:name="page38"/>
    <w:bookmarkEnd w:id="37"/>
    <w:p>
      <w:pPr>
        <w:spacing w:after="0" w:line="56" w:lineRule="exact"/>
        <w:rPr>
          <w:sz w:val="20"/>
          <w:szCs w:val="20"/>
          <w:color w:val="auto"/>
        </w:rPr>
      </w:pPr>
    </w:p>
    <w:p>
      <w:pPr>
        <w:ind w:left="840" w:right="120" w:hanging="360"/>
        <w:spacing w:after="0" w:line="245" w:lineRule="auto"/>
        <w:tabs>
          <w:tab w:leader="none" w:pos="8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speculation as to the future price of oil and the speculative trading of oil and gas futures contracts;</w:t>
      </w:r>
    </w:p>
    <w:p>
      <w:pPr>
        <w:spacing w:after="0" w:line="6" w:lineRule="exact"/>
        <w:rPr>
          <w:rFonts w:ascii="Arial" w:cs="Arial" w:eastAsia="Arial" w:hAnsi="Arial"/>
          <w:sz w:val="20"/>
          <w:szCs w:val="20"/>
          <w:color w:val="auto"/>
        </w:rPr>
      </w:pPr>
    </w:p>
    <w:p>
      <w:pPr>
        <w:ind w:left="840" w:hanging="360"/>
        <w:spacing w:after="0"/>
        <w:tabs>
          <w:tab w:leader="none" w:pos="8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technological advances affecting energy consumption; and</w:t>
      </w:r>
    </w:p>
    <w:p>
      <w:pPr>
        <w:spacing w:after="0" w:line="14"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extreme weather conditions, natural disasters, and public health or similar issues, such as pandemics and epidemics.</w:t>
      </w:r>
    </w:p>
    <w:p>
      <w:pPr>
        <w:spacing w:after="0" w:line="250"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oil and gas industry has historically experienced periodic downturns, which have been characterized by diminished demand for our products and services and downward pressure on the prices that we are able to charge. Sustained market uncertainty can also result in lower demand and pricing for our products and services. A significant industry downturn, sustained market uncertainty, or increased availability of economical alternative energy sources could result in a reduction in demand for our products and services, which could adversely affect our business, financial condition, results of operations, cash flows and prospects.</w:t>
      </w:r>
    </w:p>
    <w:p>
      <w:pPr>
        <w:spacing w:after="0" w:line="246"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Disruptions in the political, regulatory, economic, and social environments of the countries in which we operate could adversely affect our reputation, financial condition, results of operations and cash flows.</w:t>
      </w:r>
    </w:p>
    <w:p>
      <w:pPr>
        <w:spacing w:after="0" w:line="12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We are a global technology company, and our non-US operations accounted for approximately 84% of our consolidated revenue in 2022, 85% in 2021 and 81% in 2020.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These factors include, but are not limited to, the following:</w:t>
      </w:r>
    </w:p>
    <w:p>
      <w:pPr>
        <w:spacing w:after="0" w:line="124" w:lineRule="exact"/>
        <w:rPr>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uncertain or volatile political, social, and economic conditions;</w:t>
      </w:r>
    </w:p>
    <w:p>
      <w:pPr>
        <w:spacing w:after="0" w:line="14"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exposure to expropriation, nationalization, deprivation or confiscation of our assets or the assets of our customers, or other governmental actions;</w:t>
      </w:r>
    </w:p>
    <w:p>
      <w:pPr>
        <w:spacing w:after="0" w:line="6"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social unrest, acts of terrorism, war, or other armed conflict;</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public health crises and other catastrophic events, such as the COVID-19 pandemic;</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confiscatory taxation or other adverse tax policies;</w:t>
      </w:r>
    </w:p>
    <w:p>
      <w:pPr>
        <w:spacing w:after="0" w:line="14"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theft of, or lack of sufficient legal protection for, proprietary technology and other intellectual property;</w:t>
      </w:r>
    </w:p>
    <w:p>
      <w:pPr>
        <w:spacing w:after="0" w:line="6"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deprivation of contract rights;</w:t>
      </w:r>
    </w:p>
    <w:p>
      <w:pPr>
        <w:spacing w:after="0" w:line="14"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trade and economic sanctions or other restrictions imposed by the European Union, the United States, the United Kingdom, China, or other regions or countries that could restrict or curtail our ability to operate in certain markets;</w:t>
      </w:r>
    </w:p>
    <w:p>
      <w:pPr>
        <w:spacing w:after="0" w:line="7"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unexpected changes in legal and regulatory requirements, including changes in interpretation or enforcement of existing laws;</w:t>
      </w:r>
    </w:p>
    <w:p>
      <w:pPr>
        <w:spacing w:after="0" w:line="6"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restrictions on the repatriation of income or capital;</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currency exchange controls;</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inflation; and</w:t>
      </w:r>
    </w:p>
    <w:p>
      <w:pPr>
        <w:spacing w:after="0" w:line="10" w:lineRule="exact"/>
        <w:rPr>
          <w:rFonts w:ascii="Arial" w:cs="Arial" w:eastAsia="Arial" w:hAnsi="Arial"/>
          <w:sz w:val="20"/>
          <w:szCs w:val="20"/>
          <w:color w:val="auto"/>
        </w:rPr>
      </w:pPr>
    </w:p>
    <w:p>
      <w:pPr>
        <w:ind w:left="840" w:hanging="360"/>
        <w:spacing w:after="0"/>
        <w:tabs>
          <w:tab w:leader="none" w:pos="8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currency exchange, rate fluctuations and devaluations.</w:t>
      </w:r>
    </w:p>
    <w:p>
      <w:pPr>
        <w:spacing w:after="0" w:line="25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As an example of a risk resulting from our global operations, in March 2022 we decided to immediately suspend new investment and technology deployment to our Russia operations. Russia represented approximately 6% of our worldwide revenue during 2022. The carrying value of our net assets in Russia was approximately $0.7 billion as of December 31, 2022. This consisted of $0.3 billion of receivables, $0.3 billion of fixed assets, $0.5 billion of current assets, and $0.4 billion of current liabilities.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9360"/>
          </w:cols>
          <w:pgMar w:left="1440" w:top="1440" w:right="1440" w:bottom="836" w:gutter="0" w:footer="0" w:header="0"/>
          <w:type w:val="continuous"/>
        </w:sectPr>
      </w:pPr>
    </w:p>
    <w:bookmarkStart w:id="38" w:name="page39"/>
    <w:bookmarkEnd w:id="38"/>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We continue to actively monitor the dynamic situation in Ukraine and applicable laws, sanctions and trade control restrictions resulting from the conflict. The extent to which our operations and financial results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our business, the global economy and global supply chains; and the impact of fluctuations in the exchange rate of the ruble. Continuation or escalation of the conflict may also aggravate this and other risk factors identified in this Form 10-K, including cybersecurity, regulatory, and reputational risks.</w:t>
      </w:r>
    </w:p>
    <w:p>
      <w:pPr>
        <w:spacing w:after="0" w:line="247"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Failure to effectively and timely address the energy transition could adversely affect our business, results of operations and cash flows.</w:t>
      </w:r>
    </w:p>
    <w:p>
      <w:pPr>
        <w:spacing w:after="0" w:line="12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Our long-term success depends on our ability to effectively address the energy transition, which will require adapting our technology portfolio to changing customer preferences and government requirements, developing solutions to decarbonize oil and gas operations, and scaling innovative low-carbon and carbon-neutral technologies.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in fossil fuel-related industries, our access to capital or the market for our securities could be negatively impacted.</w:t>
      </w:r>
    </w:p>
    <w:p>
      <w:pPr>
        <w:spacing w:after="0" w:line="248"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Our operations are subject to cyber incidents that could have a material adverse effect on our business, financial condition, and results of operations.</w:t>
      </w:r>
    </w:p>
    <w:p>
      <w:pPr>
        <w:spacing w:after="0" w:line="125"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Our success depends in part on our ability to provide effective data security protection in connection with our digital technologies and services. We rely on information technology networks and systems for internal purposes, including secure data storage, processing, and transmission, as well as in our interactions with our business associates, such as customers and suppliers. We also develop software and other digital products and services that store, retrieve, manipulate, and manage our customers’ information and data, external data, personal data, and our own data. Our digital technologies and services, and those of our business associates, are subject to the risk of cyberattacks and, given the nature of such attacks, some incidents can remain undetected for a period of time despite efforts to detect and respond to them in a timely manner. There can be no assurance that the systems we have designed to prevent or limit the effects of cyber incidents or attacks will be sufficient to prevent or detect material consequences arising from such incidents or attacks, or to avoid a material adverse impact on our systems after such incidents or attacks do occur. We have experienced and will continue to experience varying degrees of cyber incidents in the normal conduct of our business, including attacks resulting from phishing emails and ransomware infections. Even if we successfully defend our own digital technologies and services, we also rely on third-party business associates, with whom we may share data and services, to defend their digital technologies and services against attack.</w:t>
      </w:r>
    </w:p>
    <w:p>
      <w:pPr>
        <w:spacing w:after="0" w:line="24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Unauthorized access to or modification of, or actions disabling our ability to obtain authorized access to, our customers’ data, other external data, personal data, or our own data, as a result of a cyber incident, attack or exploitation of a security vulnerability, could result in significant damage to our reputation or disruption of the services we provide to our customers. In addition, allegations, reports, or concerns regarding vulnerabilities affecting our digital products or services could damage our reputation. This could lead to fewer customers using our digital products and services, which could have a material adverse impact on our financial condition, results of operations or prospects. In addition, if our systems, or our third-party business associates’ systems, for protecting against cybersecurity risks prove to be insufficient, we could be adversely affected by, among other things, loss of or damage to intellectual property, proprietary or confidential information, or customer, supplier, or employee data; breach of personal data; interruption of our business operations; increased legal and</w:t>
      </w:r>
    </w:p>
    <w:p>
      <w:pPr>
        <w:sectPr>
          <w:pgSz w:w="12240" w:h="15840" w:orient="portrait"/>
          <w:cols w:equalWidth="0" w:num="1">
            <w:col w:w="9360"/>
          </w:cols>
          <w:pgMar w:left="1440" w:top="1440" w:right="1440" w:bottom="83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9360"/>
          </w:cols>
          <w:pgMar w:left="1440" w:top="1440" w:right="1440" w:bottom="836" w:gutter="0" w:footer="0" w:header="0"/>
          <w:type w:val="continuous"/>
        </w:sectPr>
      </w:pPr>
    </w:p>
    <w:bookmarkStart w:id="39" w:name="page40"/>
    <w:bookmarkEnd w:id="39"/>
    <w:p>
      <w:pPr>
        <w:spacing w:after="0" w:line="5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regulatory exposure, including fines and remediation costs; and increased costs required to prevent, respond to, or mitigate cybersecurity attacks. These risks could harm our reputation and our relationships with our employees, business associates and other third parties, and may result in claims against us.</w:t>
      </w:r>
    </w:p>
    <w:p>
      <w:pPr>
        <w:spacing w:after="0" w:line="245"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We operate in a highly competitive environment. If we are unable to maintain technology leadership, this could adversely affect any competitive advantage we hold.</w:t>
      </w:r>
    </w:p>
    <w:p>
      <w:pPr>
        <w:spacing w:after="0" w:line="12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energy industry is highly competitive and rapidly evolving. Our business may be adversely affected if we fail to continue developing and producing innovative technologies in response to changes in the market, including customer and government requirements, or if we fail to deliver such technologies to our customers in a timely and cost-competitive manner. If we are unable to maintain technology leadership in our industry, our ability to maintain market share, defend, maintain, or increase prices for our products and services, and negotiate acceptable contract terms with our customers could be adversely affected. Furthermore, competing or new technologies may accelerate the obsolescence of our products or services and reduce the value of our intellectual property.</w:t>
      </w:r>
    </w:p>
    <w:p>
      <w:pPr>
        <w:spacing w:after="0" w:line="247"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Limitations on our ability to obtain, maintain, protect, or enforce our intellectual property rights, including our trade secrets, could cause a loss in revenue and any competitive advantage we hold.</w:t>
      </w:r>
    </w:p>
    <w:p>
      <w:pPr>
        <w:spacing w:after="0" w:line="12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There can be no assurance that the steps we take to obtain, maintain, protect, and enforce our intellectual property rights will be adequate. 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Patent protection on some types of technology, such as software or machine learning processes, may not be available in certain countries in which we operate. Our competitors may also be able to develop technology independently that is similar to ours without infringing on our patents or gaining access to our trade secrets.</w:t>
      </w:r>
    </w:p>
    <w:p>
      <w:pPr>
        <w:spacing w:after="0" w:line="250"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Third parties may claim that we have infringed upon or otherwise violated their intellectual property rights.</w:t>
      </w:r>
    </w:p>
    <w:p>
      <w:pPr>
        <w:spacing w:after="0" w:line="12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tools, techniques, methodologies, programs, and components we use to provide our services and products may infringe upon or otherwise violate the intellectual property rights of others or be challenged on that basis. Regardless of the merits, any such claims generally result in significant legal and other costs, including reputational harm, and may distract management from running our business. Resolving such claims could increase our costs, including through royalty payments to acquire licenses, if available, from third parties and through the development of replacement technologies. If a license to resolve a claim were not available, we might not be able to continue providing a particular service or product.</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Legal and Regulatory Risks</w:t>
      </w:r>
    </w:p>
    <w:p>
      <w:pPr>
        <w:spacing w:after="0" w:line="13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b w:val="1"/>
          <w:bCs w:val="1"/>
          <w:color w:val="auto"/>
        </w:rPr>
        <w:t>Our operations require us to comply with numerous laws and regulations, violations of which could have a material adverse effect on our reputation, financial condition, results of operations or cash flows.</w:t>
      </w:r>
    </w:p>
    <w:p>
      <w:pPr>
        <w:spacing w:after="0" w:line="12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Our operations are subject to international, regional, national, and local laws and regulations in every place where we operate, relating to matters such as environmental protection, health and safety, labor and employment, human rights, import/export controls, currency exchange, bribery and corruption, data privacy and cybersecurity, intellectual property, immigration, and taxation. These laws and</w:t>
      </w:r>
    </w:p>
    <w:p>
      <w:pPr>
        <w:sectPr>
          <w:pgSz w:w="12240" w:h="15840" w:orient="portrait"/>
          <w:cols w:equalWidth="0" w:num="1">
            <w:col w:w="9360"/>
          </w:cols>
          <w:pgMar w:left="1440" w:top="1440" w:right="1440" w:bottom="836"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9360"/>
          </w:cols>
          <w:pgMar w:left="1440" w:top="1440" w:right="1440" w:bottom="836" w:gutter="0" w:footer="0" w:header="0"/>
          <w:type w:val="continuous"/>
        </w:sectPr>
      </w:pPr>
    </w:p>
    <w:bookmarkStart w:id="40" w:name="page41"/>
    <w:bookmarkEnd w:id="40"/>
    <w:p>
      <w:pPr>
        <w:spacing w:after="0" w:line="5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regulations are complex, frequently change, and have tended to become more stringent over time. In the event the scope of these laws and regulations expands in the future, the incremental cost of compliance could adversely affect our financial condition, results of operations, or cash flows.</w:t>
      </w:r>
    </w:p>
    <w:p>
      <w:pPr>
        <w:spacing w:after="0" w:line="24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Our operations are subject to anti-corruption and anti-bribery laws and regulations, such as the Foreign Corrupt Practices Act, the UK Bribery Act, and other similar laws. We are also subject to trade control regulations and trade sanctions laws that restrict the movement of certain goods and services to, and certain operations in, various countries or with certain persons. Our ability to transfer people, products and data among certain countries is subject to maintaining required licenses and complying with these laws and regulations.</w:t>
      </w:r>
    </w:p>
    <w:p>
      <w:pPr>
        <w:spacing w:after="0" w:line="248"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applicable laws, including anti-bribery,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business, operations, and financial condition. In addition, any major violations could have a significant effect on our reputation and consequently on our ability to win future business and maintain existing customer and supplier relationships.</w:t>
      </w:r>
    </w:p>
    <w:p>
      <w:pPr>
        <w:spacing w:after="0" w:line="241"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Existing or future laws, regulations, court orders or other public- or private-sector initiatives to limit greenhouse gas emissions or relating to climate change may reduce demand for our products and services.</w:t>
      </w:r>
    </w:p>
    <w:p>
      <w:pPr>
        <w:spacing w:after="0" w:line="12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Continuing political and social attention to the issue of climate change has resulted in both existing and proposed international agreements and national, regional, and local legislation and regulatory measures to limit GHG emissions. The implementation of these agreements, including the Paris Agreement, the Europe Climate Law, and other existing or future regulatory mandates, may adversely affect the demand for our products and services, impose taxes on us or our customers, require us or our customers to reduce GHG emissions from our technologies or operations, or accelerate the obsolescence of our products or services.</w:t>
      </w:r>
    </w:p>
    <w:p>
      <w:pPr>
        <w:spacing w:after="0" w:line="250"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In addition, increasing attention to the risks of climate change has resulted in an increased possibility of litigation or investigations brought by public and private entities against oil and gas companies in connection with their GHG emissions. As a result, we or our customers may become subject to court orders compelling a reduction of GHG emissions or requiring mitigation of the effects of climate change.</w:t>
      </w:r>
    </w:p>
    <w:p>
      <w:pPr>
        <w:spacing w:after="0" w:line="24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There is also increased focus by our customers, investors and other stakeholders on climate change, sustainability, and energy transition matters. Actions to address these concerns or negative perceptions of our industry or fossil fuel products and their relationship to the environment have led to initiatives to conserve energy and promote the use of alternative energy sources, which may reduce the demand for and production of oil and gas in areas of the world where our customers operate, and thus reduce future demand for our products and services. In addition, initiatives by investors and financial institutions to limit funding to companies in fossil fuel-related industries may adversely affect our liquidity or access to capital. Any of these initiatives may, in turn, adversely affect our financial condition, results of operations and cash flows.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9360"/>
          </w:cols>
          <w:pgMar w:left="1440" w:top="1440" w:right="1440" w:bottom="836" w:gutter="0" w:footer="0" w:header="0"/>
          <w:type w:val="continuous"/>
        </w:sectPr>
      </w:pPr>
    </w:p>
    <w:bookmarkStart w:id="41" w:name="page42"/>
    <w:bookmarkEnd w:id="41"/>
    <w:p>
      <w:pPr>
        <w:spacing w:after="0" w:line="52"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Environmental compliance costs and liabilities arising as a result of environmental laws and regulations could have a material adverse effect on our business, financial condition and results of operations.</w:t>
      </w:r>
    </w:p>
    <w:p>
      <w:pPr>
        <w:spacing w:after="0" w:line="9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We are subject to numerous laws and regulations relating to environmental protection, including those governing air and GHG emissions, water discharges and waste management, as well as the importation and use of hazardous materials, radioactive materials, chemicals, and explosives. The technical requirements of these laws and regulations are becoming increasingly complex, stringent, and expensive to implement. These laws sometimes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8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a result of exposures to, or releases of, hazardous substances. In addition, stricter enforcement or changing interpretations of existing laws and regulations, the enactment of new laws and regulations, the discovery of previously unknown contamination or the imposition of new or increased requirements could require us to incur costs or become the basis for new or increased liabilities that could have a material adverse effect on our business, operations, and financial condition.</w:t>
      </w:r>
    </w:p>
    <w:p>
      <w:pPr>
        <w:spacing w:after="0" w:line="182"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color w:val="auto"/>
        </w:rPr>
        <w:t>We could be subject to substantial liability claims, including as a result of well incidents, which could adversely affect our reputation, financial condition, results of operations and cash flows.</w:t>
      </w:r>
    </w:p>
    <w:p>
      <w:pPr>
        <w:spacing w:after="0" w:line="92"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The technical complexities of our operations expose us to a wide range of significant health, safety, and environmental risks. Our operations involve production-related activities, radioactive materials, chemicals, explosives and other equipment and services that are deployed in challenging exploration, development, and production environments. Accidents or acts of malfeasance involving these services or equipment, or a failure of a product (including as a result of a cyberattack), could cause personal injury, loss of life, damage to or destruction of property, equipment or the environment, or suspension of operations, which could materially adversely affect us. Any well incidents, including blowouts at a well site or any loss of containment or well control,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General Risk Factors</w:t>
      </w:r>
    </w:p>
    <w:p>
      <w:pPr>
        <w:spacing w:after="0" w:line="9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b w:val="1"/>
          <w:bCs w:val="1"/>
          <w:color w:val="auto"/>
        </w:rPr>
        <w:t>The COVID-19 pandemic and resulting adverse economic conditions have had, and may continue to have, a material adverse effect on our financial condition, results of operations and cash flows.</w:t>
      </w:r>
    </w:p>
    <w:p>
      <w:pPr>
        <w:spacing w:after="0" w:line="9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COVID-19 pandemic caused, and any resurgence of the pandemic could again cause, a significant reduction in global economic activity, significantly weakening demand for oil and gas, and in turn, for our products and services. Other effects of the pandemic included, and may continue to include, significant volatility and disruption of the global financial markets; adverse revenue and net income effects; disruptions to our operations, including suspension or deferral of drilling activities;</w:t>
      </w:r>
    </w:p>
    <w:p>
      <w:pPr>
        <w:sectPr>
          <w:pgSz w:w="12240" w:h="15840" w:orient="portrait"/>
          <w:cols w:equalWidth="0" w:num="1">
            <w:col w:w="9360"/>
          </w:cols>
          <w:pgMar w:left="1440" w:top="1440" w:right="1440" w:bottom="836"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9360"/>
          </w:cols>
          <w:pgMar w:left="1440" w:top="1440" w:right="1440" w:bottom="836" w:gutter="0" w:footer="0" w:header="0"/>
          <w:type w:val="continuous"/>
        </w:sectPr>
      </w:pPr>
    </w:p>
    <w:bookmarkStart w:id="42" w:name="page43"/>
    <w:bookmarkEnd w:id="42"/>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customer shutdowns of oil and gas exploration and production; downward revisions to customer budgets; limitations on access to sources of liquidity; supply chain disruptions; limitations on access to raw materials; employee impacts from illness; and local and regional closures or lockdowns, including temporary closures of our facilities and the facilities of our customers and suppliers. The extent to which our operating and financial results will continue to be affected by the pandemic will depend on various factors beyond our control, such as the continued severity of the pandemic, including any sustained geographic resurgence; the emergence of new variants and strains of the COVID-19 virus; and the success of actions to contain or treat the virus. COVID-19, and volatile regional and global economic conditions stemming from the pandemic, could also aggravate our other risk factors described in this Form 10-K.</w:t>
      </w:r>
    </w:p>
    <w:p>
      <w:pPr>
        <w:spacing w:after="0" w:line="22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b w:val="1"/>
          <w:bCs w:val="1"/>
          <w:color w:val="auto"/>
        </w:rPr>
        <w:t>Our aspirations, goals, and initiatives related to sustainability and emissions reduction, and our public statements and disclosures regarding them, expose us to numerous risks.</w:t>
      </w:r>
    </w:p>
    <w:p>
      <w:pPr>
        <w:spacing w:after="0" w:line="118"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We have developed, and will continue to develop and set, goals, targets, and other objectives related to sustainability matters, including our net-zero target and our energy transition strategy. Statements related to these goals, targets and objectives reflect our current plans and aspirations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including with respect to emissions reduction, is subject to numerous factors and conditions, some of which are outside of our control. Our targets are based on empirical data and estimates that reflect the current best practices for measuring or estimating emissions, but we anticipate that future innovations in both measurement technologies and estimation methodologies could cause us to revise our baseline as well as re-calculate progress toward our targets.</w:t>
      </w:r>
    </w:p>
    <w:p>
      <w:pPr>
        <w:spacing w:after="0" w:line="22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Our business faces increased scrutiny from certain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Failure to attract and retain qualified personnel could impede our operations.</w:t>
      </w:r>
    </w:p>
    <w:p>
      <w:pPr>
        <w:spacing w:after="0" w:line="12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Our future success depends on our ability to recruit, train, and retain qualified personnel. We require highly skilled personnel to operate and provide technical services and support for our business. Competition for the personnel necessary for our businesses intensifies as activity increases, technology evolves and customer demands change. In periods of high utilization, it is often more difficult to find and retain qualified individuals. This could increase our costs or have other material adverse effects on our operations.</w:t>
      </w:r>
    </w:p>
    <w:p>
      <w:pPr>
        <w:spacing w:after="0" w:line="22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b w:val="1"/>
          <w:bCs w:val="1"/>
          <w:color w:val="auto"/>
        </w:rPr>
        <w:t>Severe weather events, including extreme weather conditions associated with climate change, have in the past and may in the future adversely affect our operations and financial results.</w:t>
      </w:r>
    </w:p>
    <w:p>
      <w:pPr>
        <w:spacing w:after="0" w:line="11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Our business has been, and in the future will be, affected by severe weather events in areas where we operate, which could materially affect our operations and financial results. Extreme weather conditions such as hurricanes, flooding, landslides, and heat waves have in the past resulted in, and may in the future result in, the evacuation of personnel, stoppage of services and activity disruptions at our facilities, in our supply chain, or at well-sites, or result in disruptions of our customers’ operations.</w:t>
      </w:r>
    </w:p>
    <w:p>
      <w:pPr>
        <w:sectPr>
          <w:pgSz w:w="12240" w:h="15840" w:orient="portrait"/>
          <w:cols w:equalWidth="0" w:num="1">
            <w:col w:w="9360"/>
          </w:cols>
          <w:pgMar w:left="1440" w:top="1440" w:right="1440" w:bottom="836"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9360"/>
          </w:cols>
          <w:pgMar w:left="1440" w:top="1440" w:right="1440" w:bottom="836" w:gutter="0" w:footer="0" w:header="0"/>
          <w:type w:val="continuous"/>
        </w:sectPr>
      </w:pPr>
    </w:p>
    <w:bookmarkStart w:id="43" w:name="page44"/>
    <w:bookmarkEnd w:id="43"/>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Particularly severe weather events affecting platforms or structures may result in a suspension of activities. In addition, acute or chronic physical impacts of climate change, such as sea level rise, coastal storm surge, inland flooding from intense rainfall, and hurricane-strength winds may damage our facilities. Any such extreme weather events may result in increased operating costs or decreases in revenue.</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1B. Unresolved Staff Comments.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None.</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2. Properties.</w:t>
      </w:r>
    </w:p>
    <w:p>
      <w:pPr>
        <w:spacing w:after="0" w:line="13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owns or leases numerous manufacturing facilities, administrative offices, service centers, research centers, data processing centers, mines, and other facilities throughout the world, none of which are individually material.</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3. Legal Proceedings.</w:t>
      </w:r>
    </w:p>
    <w:p>
      <w:pPr>
        <w:spacing w:after="0" w:line="132"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The information with respect to this Item 3. Legal Proceedings is set forth in Note 14—</w:t>
      </w:r>
      <w:r>
        <w:rPr>
          <w:rFonts w:ascii="Arial" w:cs="Arial" w:eastAsia="Arial" w:hAnsi="Arial"/>
          <w:sz w:val="20"/>
          <w:szCs w:val="20"/>
          <w:i w:val="1"/>
          <w:iCs w:val="1"/>
          <w:color w:val="auto"/>
        </w:rPr>
        <w:t>Contingencies</w:t>
      </w:r>
      <w:r>
        <w:rPr>
          <w:rFonts w:ascii="Arial" w:cs="Arial" w:eastAsia="Arial" w:hAnsi="Arial"/>
          <w:sz w:val="20"/>
          <w:szCs w:val="20"/>
          <w:color w:val="auto"/>
        </w:rPr>
        <w:t xml:space="preserve">, in the accompanying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4. Mine Safety Disclosures.</w:t>
      </w:r>
    </w:p>
    <w:p>
      <w:pPr>
        <w:spacing w:after="0" w:line="13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Information concerning mine safety violations or other regulatory matters required by section 1503(a) of the Dodd-Frank Wall Street Reform and Consumer Protection Act and Item 104 of Regulation S-K is included in Exhibit 95 to this Form 10-K.</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9360"/>
          </w:cols>
          <w:pgMar w:left="1440" w:top="1440" w:right="1440" w:bottom="836" w:gutter="0" w:footer="0" w:header="0"/>
          <w:type w:val="continuous"/>
        </w:sectPr>
      </w:pPr>
    </w:p>
    <w:bookmarkStart w:id="44" w:name="page45"/>
    <w:bookmarkEnd w:id="44"/>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PART II</w:t>
      </w:r>
    </w:p>
    <w:p>
      <w:pPr>
        <w:spacing w:after="0" w:line="18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b w:val="1"/>
          <w:bCs w:val="1"/>
          <w:u w:val="single" w:color="auto"/>
          <w:color w:val="auto"/>
        </w:rPr>
        <w:t>Item 5. Market for SLB’s Common Stock, Related Stockholder Matters and Issuer Purchases of Equity Securities.</w:t>
      </w:r>
    </w:p>
    <w:p>
      <w:pPr>
        <w:spacing w:after="0" w:line="182" w:lineRule="exact"/>
        <w:rPr>
          <w:sz w:val="20"/>
          <w:szCs w:val="20"/>
          <w:color w:val="auto"/>
        </w:rPr>
      </w:pPr>
    </w:p>
    <w:p>
      <w:pPr>
        <w:jc w:val="both"/>
        <w:ind w:left="120" w:right="120"/>
        <w:spacing w:after="0" w:line="271" w:lineRule="auto"/>
        <w:rPr>
          <w:sz w:val="20"/>
          <w:szCs w:val="20"/>
          <w:color w:val="auto"/>
        </w:rPr>
      </w:pPr>
      <w:r>
        <w:rPr>
          <w:rFonts w:ascii="Arial" w:cs="Arial" w:eastAsia="Arial" w:hAnsi="Arial"/>
          <w:sz w:val="19"/>
          <w:szCs w:val="19"/>
          <w:color w:val="auto"/>
        </w:rPr>
        <w:t>As of December 31, 2022, there were 22,341 stockholders of record. The principal US market for SLB’s common stock is the New York Stock Exchange (“NYSE”), where it is traded under the symbol “SLB.”</w:t>
      </w:r>
    </w:p>
    <w:p>
      <w:pPr>
        <w:spacing w:after="0" w:line="160" w:lineRule="exact"/>
        <w:rPr>
          <w:sz w:val="20"/>
          <w:szCs w:val="20"/>
          <w:color w:val="auto"/>
        </w:rPr>
      </w:pPr>
    </w:p>
    <w:p>
      <w:pPr>
        <w:jc w:val="both"/>
        <w:ind w:left="120" w:right="120"/>
        <w:spacing w:after="0" w:line="264" w:lineRule="auto"/>
        <w:rPr>
          <w:sz w:val="20"/>
          <w:szCs w:val="20"/>
          <w:color w:val="auto"/>
        </w:rPr>
      </w:pPr>
      <w:r>
        <w:rPr>
          <w:rFonts w:ascii="Arial" w:cs="Arial" w:eastAsia="Arial" w:hAnsi="Arial"/>
          <w:sz w:val="19"/>
          <w:szCs w:val="19"/>
          <w:color w:val="auto"/>
        </w:rPr>
        <w:t>The following graph compares the cumulative total stockholder return on SLB common stock with the cumulative total return on the Standard &amp; Poor’s 500 Index (“S&amp;P 500 Index”) and the cumulative total return on the Philadelphia Oil Service Index. It assumes $100 was invested on December 31, 2017 in SLB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SLB specifically incorporates it by reference into such filing.</w:t>
      </w:r>
    </w:p>
    <w:p>
      <w:pPr>
        <w:spacing w:after="0" w:line="166" w:lineRule="exact"/>
        <w:rPr>
          <w:sz w:val="20"/>
          <w:szCs w:val="20"/>
          <w:color w:val="auto"/>
        </w:rPr>
      </w:pPr>
    </w:p>
    <w:p>
      <w:pPr>
        <w:jc w:val="center"/>
        <w:ind w:left="120" w:right="120"/>
        <w:spacing w:after="0" w:line="250" w:lineRule="auto"/>
        <w:rPr>
          <w:sz w:val="20"/>
          <w:szCs w:val="20"/>
          <w:color w:val="auto"/>
        </w:rPr>
      </w:pPr>
      <w:r>
        <w:rPr>
          <w:rFonts w:ascii="Arial" w:cs="Arial" w:eastAsia="Arial" w:hAnsi="Arial"/>
          <w:sz w:val="20"/>
          <w:szCs w:val="20"/>
          <w:b w:val="1"/>
          <w:bCs w:val="1"/>
          <w:color w:val="auto"/>
        </w:rPr>
        <w:t>Comparison of Five-Year Cumulative Total Return Among SLB Common Stock, the S&amp;P 500 Index and the Philadelphia Oil Service Index</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Cumulative Five-Year Total Return</w:t>
      </w:r>
    </w:p>
    <w:p>
      <w:pPr>
        <w:spacing w:after="0" w:line="98"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1160" w:type="dxa"/>
            <w:vAlign w:val="bottom"/>
          </w:tcPr>
          <w:p>
            <w:pPr>
              <w:jc w:val="right"/>
              <w:ind w:right="673"/>
              <w:spacing w:after="0"/>
              <w:rPr>
                <w:sz w:val="20"/>
                <w:szCs w:val="20"/>
                <w:color w:val="auto"/>
              </w:rPr>
            </w:pPr>
            <w:r>
              <w:rPr>
                <w:rFonts w:ascii="Arial" w:cs="Arial" w:eastAsia="Arial" w:hAnsi="Arial"/>
                <w:sz w:val="17"/>
                <w:szCs w:val="17"/>
                <w:b w:val="1"/>
                <w:bCs w:val="1"/>
                <w:color w:val="auto"/>
              </w:rPr>
              <w:t>$250</w:t>
            </w:r>
          </w:p>
        </w:tc>
        <w:tc>
          <w:tcPr>
            <w:tcW w:w="1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675"/>
        </w:trPr>
        <w:tc>
          <w:tcPr>
            <w:tcW w:w="1160" w:type="dxa"/>
            <w:vAlign w:val="bottom"/>
          </w:tcPr>
          <w:p>
            <w:pPr>
              <w:jc w:val="right"/>
              <w:ind w:right="673"/>
              <w:spacing w:after="0"/>
              <w:rPr>
                <w:sz w:val="20"/>
                <w:szCs w:val="20"/>
                <w:color w:val="auto"/>
              </w:rPr>
            </w:pPr>
            <w:r>
              <w:rPr>
                <w:rFonts w:ascii="Arial" w:cs="Arial" w:eastAsia="Arial" w:hAnsi="Arial"/>
                <w:sz w:val="17"/>
                <w:szCs w:val="17"/>
                <w:b w:val="1"/>
                <w:bCs w:val="1"/>
                <w:color w:val="auto"/>
              </w:rPr>
              <w:t>$200</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5"/>
        </w:trPr>
        <w:tc>
          <w:tcPr>
            <w:tcW w:w="1160" w:type="dxa"/>
            <w:vAlign w:val="bottom"/>
          </w:tcPr>
          <w:p>
            <w:pPr>
              <w:jc w:val="right"/>
              <w:ind w:right="673"/>
              <w:spacing w:after="0"/>
              <w:rPr>
                <w:sz w:val="20"/>
                <w:szCs w:val="20"/>
                <w:color w:val="auto"/>
              </w:rPr>
            </w:pPr>
            <w:r>
              <w:rPr>
                <w:rFonts w:ascii="Arial" w:cs="Arial" w:eastAsia="Arial" w:hAnsi="Arial"/>
                <w:sz w:val="17"/>
                <w:szCs w:val="17"/>
                <w:b w:val="1"/>
                <w:bCs w:val="1"/>
                <w:color w:val="auto"/>
              </w:rPr>
              <w:t>$150</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5"/>
        </w:trPr>
        <w:tc>
          <w:tcPr>
            <w:tcW w:w="1160" w:type="dxa"/>
            <w:vAlign w:val="bottom"/>
          </w:tcPr>
          <w:p>
            <w:pPr>
              <w:jc w:val="right"/>
              <w:ind w:right="673"/>
              <w:spacing w:after="0"/>
              <w:rPr>
                <w:sz w:val="20"/>
                <w:szCs w:val="20"/>
                <w:color w:val="auto"/>
              </w:rPr>
            </w:pPr>
            <w:r>
              <w:rPr>
                <w:rFonts w:ascii="Arial" w:cs="Arial" w:eastAsia="Arial" w:hAnsi="Arial"/>
                <w:sz w:val="17"/>
                <w:szCs w:val="17"/>
                <w:b w:val="1"/>
                <w:bCs w:val="1"/>
                <w:color w:val="auto"/>
              </w:rPr>
              <w:t>$100</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5"/>
        </w:trPr>
        <w:tc>
          <w:tcPr>
            <w:tcW w:w="1160" w:type="dxa"/>
            <w:vAlign w:val="bottom"/>
          </w:tcPr>
          <w:p>
            <w:pPr>
              <w:jc w:val="right"/>
              <w:ind w:right="673"/>
              <w:spacing w:after="0"/>
              <w:rPr>
                <w:sz w:val="20"/>
                <w:szCs w:val="20"/>
                <w:color w:val="auto"/>
              </w:rPr>
            </w:pPr>
            <w:r>
              <w:rPr>
                <w:rFonts w:ascii="Arial" w:cs="Arial" w:eastAsia="Arial" w:hAnsi="Arial"/>
                <w:sz w:val="17"/>
                <w:szCs w:val="17"/>
                <w:b w:val="1"/>
                <w:bCs w:val="1"/>
                <w:color w:val="auto"/>
              </w:rPr>
              <w:t>$50</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33"/>
        </w:trPr>
        <w:tc>
          <w:tcPr>
            <w:tcW w:w="1160" w:type="dxa"/>
            <w:vAlign w:val="bottom"/>
          </w:tcPr>
          <w:p>
            <w:pPr>
              <w:jc w:val="right"/>
              <w:ind w:right="673"/>
              <w:spacing w:after="0"/>
              <w:rPr>
                <w:sz w:val="20"/>
                <w:szCs w:val="20"/>
                <w:color w:val="auto"/>
              </w:rPr>
            </w:pPr>
            <w:r>
              <w:rPr>
                <w:rFonts w:ascii="Arial" w:cs="Arial" w:eastAsia="Arial" w:hAnsi="Arial"/>
                <w:sz w:val="17"/>
                <w:szCs w:val="17"/>
                <w:b w:val="1"/>
                <w:bCs w:val="1"/>
                <w:color w:val="auto"/>
              </w:rPr>
              <w:t>$0</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7"/>
        </w:trPr>
        <w:tc>
          <w:tcPr>
            <w:tcW w:w="1160" w:type="dxa"/>
            <w:vAlign w:val="bottom"/>
          </w:tcPr>
          <w:p>
            <w:pPr>
              <w:jc w:val="right"/>
              <w:ind w:right="213"/>
              <w:spacing w:after="0"/>
              <w:rPr>
                <w:sz w:val="20"/>
                <w:szCs w:val="20"/>
                <w:color w:val="auto"/>
              </w:rPr>
            </w:pPr>
            <w:r>
              <w:rPr>
                <w:rFonts w:ascii="Arial" w:cs="Arial" w:eastAsia="Arial" w:hAnsi="Arial"/>
                <w:sz w:val="17"/>
                <w:szCs w:val="17"/>
                <w:b w:val="1"/>
                <w:bCs w:val="1"/>
                <w:color w:val="auto"/>
              </w:rPr>
              <w:t>12/31/17</w:t>
            </w:r>
          </w:p>
        </w:tc>
        <w:tc>
          <w:tcPr>
            <w:tcW w:w="1220" w:type="dxa"/>
            <w:vAlign w:val="bottom"/>
          </w:tcPr>
          <w:p>
            <w:pPr>
              <w:jc w:val="right"/>
              <w:ind w:right="173"/>
              <w:spacing w:after="0"/>
              <w:rPr>
                <w:sz w:val="20"/>
                <w:szCs w:val="20"/>
                <w:color w:val="auto"/>
              </w:rPr>
            </w:pPr>
            <w:r>
              <w:rPr>
                <w:rFonts w:ascii="Arial" w:cs="Arial" w:eastAsia="Arial" w:hAnsi="Arial"/>
                <w:sz w:val="17"/>
                <w:szCs w:val="17"/>
                <w:b w:val="1"/>
                <w:bCs w:val="1"/>
                <w:color w:val="auto"/>
              </w:rPr>
              <w:t>12/31/18</w:t>
            </w:r>
          </w:p>
        </w:tc>
        <w:tc>
          <w:tcPr>
            <w:tcW w:w="1500" w:type="dxa"/>
            <w:vAlign w:val="bottom"/>
          </w:tcPr>
          <w:p>
            <w:pPr>
              <w:jc w:val="right"/>
              <w:ind w:right="413"/>
              <w:spacing w:after="0"/>
              <w:rPr>
                <w:sz w:val="20"/>
                <w:szCs w:val="20"/>
                <w:color w:val="auto"/>
              </w:rPr>
            </w:pPr>
            <w:r>
              <w:rPr>
                <w:rFonts w:ascii="Arial" w:cs="Arial" w:eastAsia="Arial" w:hAnsi="Arial"/>
                <w:sz w:val="17"/>
                <w:szCs w:val="17"/>
                <w:b w:val="1"/>
                <w:bCs w:val="1"/>
                <w:color w:val="auto"/>
              </w:rPr>
              <w:t>12/31/19</w:t>
            </w:r>
          </w:p>
        </w:tc>
        <w:tc>
          <w:tcPr>
            <w:tcW w:w="1060" w:type="dxa"/>
            <w:vAlign w:val="bottom"/>
          </w:tcPr>
          <w:p>
            <w:pPr>
              <w:jc w:val="right"/>
              <w:ind w:right="213"/>
              <w:spacing w:after="0"/>
              <w:rPr>
                <w:sz w:val="20"/>
                <w:szCs w:val="20"/>
                <w:color w:val="auto"/>
              </w:rPr>
            </w:pPr>
            <w:r>
              <w:rPr>
                <w:rFonts w:ascii="Arial" w:cs="Arial" w:eastAsia="Arial" w:hAnsi="Arial"/>
                <w:sz w:val="17"/>
                <w:szCs w:val="17"/>
                <w:b w:val="1"/>
                <w:bCs w:val="1"/>
                <w:color w:val="auto"/>
              </w:rPr>
              <w:t>12/31/20</w:t>
            </w:r>
          </w:p>
        </w:tc>
        <w:tc>
          <w:tcPr>
            <w:tcW w:w="1260" w:type="dxa"/>
            <w:vAlign w:val="bottom"/>
          </w:tcPr>
          <w:p>
            <w:pPr>
              <w:jc w:val="right"/>
              <w:ind w:right="213"/>
              <w:spacing w:after="0"/>
              <w:rPr>
                <w:sz w:val="20"/>
                <w:szCs w:val="20"/>
                <w:color w:val="auto"/>
              </w:rPr>
            </w:pPr>
            <w:r>
              <w:rPr>
                <w:rFonts w:ascii="Arial" w:cs="Arial" w:eastAsia="Arial" w:hAnsi="Arial"/>
                <w:sz w:val="17"/>
                <w:szCs w:val="17"/>
                <w:b w:val="1"/>
                <w:bCs w:val="1"/>
                <w:color w:val="auto"/>
              </w:rPr>
              <w:t>12/31/21</w:t>
            </w:r>
          </w:p>
        </w:tc>
        <w:tc>
          <w:tcPr>
            <w:tcW w:w="1180" w:type="dxa"/>
            <w:vAlign w:val="bottom"/>
          </w:tcPr>
          <w:p>
            <w:pPr>
              <w:jc w:val="right"/>
              <w:ind w:right="133"/>
              <w:spacing w:after="0"/>
              <w:rPr>
                <w:sz w:val="20"/>
                <w:szCs w:val="20"/>
                <w:color w:val="auto"/>
              </w:rPr>
            </w:pPr>
            <w:r>
              <w:rPr>
                <w:rFonts w:ascii="Arial" w:cs="Arial" w:eastAsia="Arial" w:hAnsi="Arial"/>
                <w:sz w:val="17"/>
                <w:szCs w:val="17"/>
                <w:b w:val="1"/>
                <w:bCs w:val="1"/>
                <w:color w:val="auto"/>
              </w:rPr>
              <w:t>12/31/22</w:t>
            </w:r>
          </w:p>
        </w:tc>
      </w:tr>
      <w:tr>
        <w:trPr>
          <w:trHeight w:val="648"/>
        </w:trPr>
        <w:tc>
          <w:tcPr>
            <w:tcW w:w="2380" w:type="dxa"/>
            <w:vAlign w:val="bottom"/>
            <w:gridSpan w:val="2"/>
          </w:tcPr>
          <w:p>
            <w:pPr>
              <w:jc w:val="right"/>
              <w:ind w:right="353"/>
              <w:spacing w:after="0"/>
              <w:rPr>
                <w:sz w:val="20"/>
                <w:szCs w:val="20"/>
                <w:color w:val="auto"/>
              </w:rPr>
            </w:pPr>
            <w:r>
              <w:rPr>
                <w:rFonts w:ascii="Arial" w:cs="Arial" w:eastAsia="Arial" w:hAnsi="Arial"/>
                <w:sz w:val="17"/>
                <w:szCs w:val="17"/>
                <w:color w:val="auto"/>
              </w:rPr>
              <w:t>Schlumberger Ltd</w:t>
            </w:r>
          </w:p>
        </w:tc>
        <w:tc>
          <w:tcPr>
            <w:tcW w:w="1500" w:type="dxa"/>
            <w:vAlign w:val="bottom"/>
          </w:tcPr>
          <w:p>
            <w:pPr>
              <w:jc w:val="right"/>
              <w:spacing w:after="0"/>
              <w:rPr>
                <w:sz w:val="20"/>
                <w:szCs w:val="20"/>
                <w:color w:val="auto"/>
              </w:rPr>
            </w:pPr>
            <w:r>
              <w:rPr>
                <w:rFonts w:ascii="Arial" w:cs="Arial" w:eastAsia="Arial" w:hAnsi="Arial"/>
                <w:sz w:val="17"/>
                <w:szCs w:val="17"/>
                <w:color w:val="auto"/>
              </w:rPr>
              <w:t>S&amp;P 500 Index</w:t>
            </w:r>
          </w:p>
        </w:tc>
        <w:tc>
          <w:tcPr>
            <w:tcW w:w="3500" w:type="dxa"/>
            <w:vAlign w:val="bottom"/>
            <w:gridSpan w:val="3"/>
          </w:tcPr>
          <w:p>
            <w:pPr>
              <w:jc w:val="right"/>
              <w:spacing w:after="0"/>
              <w:rPr>
                <w:sz w:val="20"/>
                <w:szCs w:val="20"/>
                <w:color w:val="auto"/>
              </w:rPr>
            </w:pPr>
            <w:r>
              <w:rPr>
                <w:rFonts w:ascii="Arial" w:cs="Arial" w:eastAsia="Arial" w:hAnsi="Arial"/>
                <w:sz w:val="17"/>
                <w:szCs w:val="17"/>
                <w:color w:val="auto"/>
              </w:rPr>
              <w:t>Philadelphia Oil Service Index (OSX)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-170180</wp:posOffset>
            </wp:positionV>
            <wp:extent cx="4849495" cy="2006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4">
                      <a:extLst>
                        <a:ext uri="{28A0092B-C50C-407E-A947-70E740481C1C}"/>
                      </a:extLst>
                    </a:blip>
                    <a:srcRect/>
                    <a:stretch>
                      <a:fillRect/>
                    </a:stretch>
                  </pic:blipFill>
                  <pic:spPr bwMode="auto">
                    <a:xfrm>
                      <a:off x="0" y="0"/>
                      <a:ext cx="4849495" cy="20066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-2760345</wp:posOffset>
            </wp:positionV>
            <wp:extent cx="4121785" cy="21767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5">
                      <a:extLst>
                        <a:ext uri="{28A0092B-C50C-407E-A947-70E740481C1C}"/>
                      </a:extLst>
                    </a:blip>
                    <a:srcRect/>
                    <a:stretch>
                      <a:fillRect/>
                    </a:stretch>
                  </pic:blipFill>
                  <pic:spPr bwMode="auto">
                    <a:xfrm>
                      <a:off x="0" y="0"/>
                      <a:ext cx="4121785" cy="2176780"/>
                    </a:xfrm>
                    <a:prstGeom prst="rect">
                      <a:avLst/>
                    </a:prstGeom>
                    <a:noFill/>
                  </pic:spPr>
                </pic:pic>
              </a:graphicData>
            </a:graphic>
          </wp:anchor>
        </w:drawing>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Share Repurchases</w:t>
      </w:r>
    </w:p>
    <w:p>
      <w:pPr>
        <w:spacing w:after="0" w:line="10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On January 21, 2016, the SLB Board of Directors approved a $10 billion share repurchase program for SLB common stock. SLB had repurchased $1.0 billion of its common stock under this program as of December 31, 2022. SLB did not repurchase any of its common stock during 2022.</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Unregistered Sales of Equity Securities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None.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6. [Reserved].</w:t>
      </w:r>
    </w:p>
    <w:p>
      <w:pPr>
        <w:sectPr>
          <w:pgSz w:w="12240" w:h="15840" w:orient="portrait"/>
          <w:cols w:equalWidth="0" w:num="1">
            <w:col w:w="9360"/>
          </w:cols>
          <w:pgMar w:left="1440" w:top="1440" w:right="1440" w:bottom="836"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9360"/>
          </w:cols>
          <w:pgMar w:left="1440" w:top="1440" w:right="1440" w:bottom="836" w:gutter="0" w:footer="0" w:header="0"/>
          <w:type w:val="continuous"/>
        </w:sectPr>
      </w:pPr>
    </w:p>
    <w:bookmarkStart w:id="45" w:name="page46"/>
    <w:bookmarkEnd w:id="45"/>
    <w:p>
      <w:pPr>
        <w:spacing w:after="0" w:line="52"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u w:val="single" w:color="auto"/>
          <w:color w:val="auto"/>
        </w:rPr>
        <w:t>Item 7. Management’s Discussion and Analysis of Financial Condition and Results of Operations.</w:t>
      </w:r>
    </w:p>
    <w:p>
      <w:pPr>
        <w:spacing w:after="0" w:line="191"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19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This section of the Form 10-K generally discusses 2022 and 2021 items and year-to-year comparisons between 2022 and 2021. Discussions of 2020 items and year-to-year comparison between 2021 and 2020 that are not included in this Form 10-K can be found in “Management’s Discussion and Analysis of Financial Condition and Results of Operations” in Part II, Item 7 of SLB’s Annual Report on Form 10-K for the fiscal year ended December 31,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2022 Executive Overview</w:t>
      </w:r>
    </w:p>
    <w:p>
      <w:pPr>
        <w:spacing w:after="0" w:line="10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We delivered strong fourth quarter results and concluded a remarkable year for SLB with great success. Full-year 2022 revenue of $28.1 billion increased 23% year on year. All Divisions and geographical areas experienced double digit revenue growth.</w:t>
      </w:r>
    </w:p>
    <w:p>
      <w:pPr>
        <w:spacing w:after="0" w:line="19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2022 was transformative for SLB as we set new safety, operational, and performance benchmarks for our customers and strengthened our market position both internationally and in North America. We launched our bold new brand identity, reinforcing our leadership position in energy technology, digital, and sustainability, and demonstrated our ability to deliver superior earnings in this early phase of a structural upcycle in energy.</w:t>
      </w:r>
    </w:p>
    <w:p>
      <w:pPr>
        <w:spacing w:after="0" w:line="19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In North America, we seized the growth cycle throughout the year, increased our pretax operating margins close to 600 basis points (“bps”), and almost doubled our pretax operating income. We effectively harnessed our refocused portfolio, fit-for-basin technology, and performance differentiation to gain greater market access and improved pricing, particularly in the drilling markets where we significantly outperformed rig count growth. Today, we have built one of the highest-quality oilfield services and equipment businesses in North America through the implementation of our returns-focused strategy.</w:t>
      </w:r>
    </w:p>
    <w:p>
      <w:pPr>
        <w:spacing w:after="0" w:line="19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In the international markets, after a first half of the year that was impacted by geopolitical conflict and supply chain bottlenecks, activity began to visibly expand in the second half of the year, resulting in full year revenue growth of 20% and margin expansion of more than 150 bps. We laid the foundation for further growth and margin expansion through pricing improvements and a solid pipeline of incremental contract awards. In the Middle East, SLB is well positioned to be a key beneficiary of this visible market expansion, and we expect record levels of upstream investment by national oil companies to continue in the next few years. During the year, we secured a sizeable share of tender awards in the region, driven by our differentiated performance, fit-for-purpose technology, and best-in-class local content. Similarly, across offshore basins, we continue to consolidate our advantaged position with new contract awards, particularly in Latin America and Africa.</w:t>
      </w:r>
    </w:p>
    <w:p>
      <w:pPr>
        <w:spacing w:after="0" w:line="20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Beyond our financial results, we made significant progress in our sustainability initiatives during the year, including launching several new Transition Technologies to support the decarbonization of oil and gas. Our Transition Technologies portfolio revenue grew more than 30% year-on-year, and we project it will cross the $1 billion revenue mark in 2023.</w:t>
      </w:r>
    </w:p>
    <w:p>
      <w:pPr>
        <w:spacing w:after="0" w:line="19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Finally, we initiated increased returns to shareholders, demonstrating confidence in our strategy, our financial outperformance, and our commitment to superior returns. We increased our dividend by 40% in April 2022, followed by a further 43% increase in January 2023, and we resumed our share buyback program in the first quarter of 2023.</w:t>
      </w:r>
    </w:p>
    <w:p>
      <w:pPr>
        <w:sectPr>
          <w:pgSz w:w="12240" w:h="15840" w:orient="portrait"/>
          <w:cols w:equalWidth="0" w:num="1">
            <w:col w:w="9360"/>
          </w:cols>
          <w:pgMar w:left="1440" w:top="1440" w:right="1440" w:bottom="83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9360"/>
          </w:cols>
          <w:pgMar w:left="1440" w:top="1440" w:right="1440" w:bottom="836" w:gutter="0" w:footer="0" w:header="0"/>
          <w:type w:val="continuous"/>
        </w:sectPr>
      </w:pPr>
    </w:p>
    <w:bookmarkStart w:id="46" w:name="page47"/>
    <w:bookmarkEnd w:id="46"/>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fourth quarter affirmed a distinctive new phase in the upcycle with the much-anticipated acceleration of activity in the Middle East, as revenue in the region increased by double digits. Offshore activity continued to strengthen, partially offset by seasonality in the Northern Hemisphere. In North America, the US land rig count remains at robust levels, although the pace of growth is moderating. Additionally, pricing continues to trend favorably, extending beyond North America and into the international regions, supported by new technology and very tight equipment and service capacity in certain markets.</w:t>
      </w:r>
    </w:p>
    <w:p>
      <w:pPr>
        <w:spacing w:after="0" w:line="25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These activity dynamics, improved pricing, and our commercial success—particularly in the Middle East, offshore, and North American markets—combine to set a very strong foundation for outperformance in 2023.</w:t>
      </w:r>
    </w:p>
    <w:p>
      <w:pPr>
        <w:spacing w:after="0" w:line="24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We strengthened our balance by reducing our net debt by $1.7 billion to $9.3 billion, its lowest level since the second quarter of 2016, and repaid approximately $1.7 billion of gross debt during the year.</w:t>
      </w:r>
    </w:p>
    <w:p>
      <w:pPr>
        <w:spacing w:after="0" w:line="250"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Looking ahead, we believe the macro backdrop and market fundamentals that underpin a strong multi-year upcycle for energy remain very compelling in both oil and gas and in low-carbon energy resources. First, oil and gas demand is forecasted by the International Energy Agency (“IEA”) to grow by 1.7 million barrels per day in 2023 despite concerns for a potential economic slowdown in certain regions. In parallel, markets remain very tightly supplied. Second, energy security is prompting a sense of urgency to make further investments to ensure capacity expansion and diversity of supply. And third, the secular trends of digital and decarbonization are set to accelerate with significant digital technology advancements, favorable government policy support, and increased spending on low-carbon initiatives and resources.</w:t>
      </w:r>
    </w:p>
    <w:p>
      <w:pPr>
        <w:spacing w:after="0" w:line="25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Based on these factors, global upstream spending projections continue to trend positively. Activity growth is expected to be broad-based, marked by an acceleration in international basins. These positive activity dynamics will be amplified by higher service pricing and tighter service sector capacity. The impact of loosening COVID-19 restrictions and an earlier than expected reopening of China could support further upside potential over 2023.</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9360"/>
          </w:cols>
          <w:pgMar w:left="1440" w:top="1440" w:right="1440" w:bottom="836" w:gutter="0" w:footer="0" w:header="0"/>
          <w:type w:val="continuous"/>
        </w:sectPr>
      </w:pPr>
    </w:p>
    <w:bookmarkStart w:id="47" w:name="page48"/>
    <w:bookmarkEnd w:id="47"/>
    <w:p>
      <w:pPr>
        <w:spacing w:after="0" w:line="5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Overall, the combination of these effects will result in a very favorable mix for SLB with significant growth opportunities in our Core, Digital, and New Energy and we expect another year of very strong growth and margin expansion.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Fourth Quarter 2022 Results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5"/>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jc w:val="right"/>
              <w:ind w:right="360"/>
              <w:spacing w:after="0"/>
              <w:rPr>
                <w:sz w:val="20"/>
                <w:szCs w:val="20"/>
                <w:color w:val="auto"/>
              </w:rPr>
            </w:pPr>
            <w:r>
              <w:rPr>
                <w:rFonts w:ascii="Arial" w:cs="Arial" w:eastAsia="Arial" w:hAnsi="Arial"/>
                <w:sz w:val="20"/>
                <w:szCs w:val="20"/>
                <w:b w:val="1"/>
                <w:bCs w:val="1"/>
                <w:color w:val="auto"/>
              </w:rPr>
              <w:t>Fourth Quarter 2022</w:t>
            </w:r>
          </w:p>
        </w:tc>
        <w:tc>
          <w:tcPr>
            <w:tcW w:w="200" w:type="dxa"/>
            <w:vAlign w:val="bottom"/>
          </w:tcPr>
          <w:p>
            <w:pPr>
              <w:spacing w:after="0"/>
              <w:rPr>
                <w:sz w:val="24"/>
                <w:szCs w:val="24"/>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20"/>
                <w:szCs w:val="20"/>
                <w:color w:val="auto"/>
              </w:rPr>
              <w:t>Third Quarter 2022</w:t>
            </w:r>
          </w:p>
        </w:tc>
      </w:tr>
      <w:tr>
        <w:trPr>
          <w:trHeight w:val="28"/>
        </w:trPr>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2"/>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20"/>
                <w:szCs w:val="20"/>
                <w:b w:val="1"/>
                <w:bCs w:val="1"/>
                <w:color w:val="auto"/>
              </w:rPr>
              <w:t>Pretax</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20"/>
                <w:szCs w:val="20"/>
                <w:color w:val="auto"/>
                <w:w w:val="96"/>
              </w:rPr>
              <w:t>Pretax</w:t>
            </w:r>
          </w:p>
        </w:tc>
      </w:tr>
      <w:tr>
        <w:trPr>
          <w:trHeight w:val="230"/>
        </w:trPr>
        <w:tc>
          <w:tcPr>
            <w:tcW w:w="440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20"/>
                <w:szCs w:val="20"/>
                <w:b w:val="1"/>
                <w:bCs w:val="1"/>
                <w:color w:val="auto"/>
              </w:rPr>
              <w:t>Revenue</w:t>
            </w:r>
          </w:p>
        </w:tc>
        <w:tc>
          <w:tcPr>
            <w:tcW w:w="12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20"/>
                <w:szCs w:val="20"/>
                <w:b w:val="1"/>
                <w:bCs w:val="1"/>
                <w:color w:val="auto"/>
              </w:rPr>
              <w:t>Income</w:t>
            </w:r>
          </w:p>
        </w:tc>
        <w:tc>
          <w:tcPr>
            <w:tcW w:w="1220" w:type="dxa"/>
            <w:vAlign w:val="bottom"/>
            <w:gridSpan w:val="3"/>
          </w:tcPr>
          <w:p>
            <w:pPr>
              <w:jc w:val="right"/>
              <w:ind w:right="300"/>
              <w:spacing w:after="0"/>
              <w:rPr>
                <w:sz w:val="20"/>
                <w:szCs w:val="20"/>
                <w:color w:val="auto"/>
              </w:rPr>
            </w:pPr>
            <w:r>
              <w:rPr>
                <w:rFonts w:ascii="Arial" w:cs="Arial" w:eastAsia="Arial" w:hAnsi="Arial"/>
                <w:sz w:val="20"/>
                <w:szCs w:val="20"/>
                <w:color w:val="auto"/>
              </w:rPr>
              <w:t>Revenue</w:t>
            </w:r>
          </w:p>
        </w:tc>
        <w:tc>
          <w:tcPr>
            <w:tcW w:w="1080" w:type="dxa"/>
            <w:vAlign w:val="bottom"/>
            <w:gridSpan w:val="3"/>
          </w:tcPr>
          <w:p>
            <w:pPr>
              <w:jc w:val="right"/>
              <w:ind w:right="240"/>
              <w:spacing w:after="0"/>
              <w:rPr>
                <w:sz w:val="20"/>
                <w:szCs w:val="20"/>
                <w:color w:val="auto"/>
              </w:rPr>
            </w:pPr>
            <w:r>
              <w:rPr>
                <w:rFonts w:ascii="Arial" w:cs="Arial" w:eastAsia="Arial" w:hAnsi="Arial"/>
                <w:sz w:val="20"/>
                <w:szCs w:val="20"/>
                <w:color w:val="auto"/>
              </w:rPr>
              <w:t>Income</w:t>
            </w:r>
          </w:p>
        </w:tc>
      </w:tr>
      <w:tr>
        <w:trPr>
          <w:trHeight w:val="28"/>
        </w:trPr>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4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7"/>
              </w:rPr>
              <w:t>Digital &amp; Integration . . . . . . . . . . . . . . . . . . . . . . .</w:t>
            </w:r>
          </w:p>
        </w:tc>
        <w:tc>
          <w:tcPr>
            <w:tcW w:w="1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1,012</w:t>
            </w:r>
          </w:p>
        </w:tc>
        <w:tc>
          <w:tcPr>
            <w:tcW w:w="1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260" w:type="dxa"/>
            <w:vAlign w:val="bottom"/>
            <w:shd w:val="clear" w:color="auto" w:fill="CCCCCC"/>
          </w:tcPr>
          <w:p>
            <w:pPr>
              <w:spacing w:after="0"/>
              <w:rPr>
                <w:sz w:val="23"/>
                <w:szCs w:val="23"/>
                <w:color w:val="auto"/>
              </w:rPr>
            </w:pPr>
          </w:p>
        </w:tc>
        <w:tc>
          <w:tcPr>
            <w:tcW w:w="8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382</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900</w:t>
            </w:r>
          </w:p>
        </w:tc>
        <w:tc>
          <w:tcPr>
            <w:tcW w:w="220" w:type="dxa"/>
            <w:vAlign w:val="bottom"/>
            <w:shd w:val="clear" w:color="auto" w:fill="CCCCCC"/>
          </w:tcPr>
          <w:p>
            <w:pPr>
              <w:jc w:val="right"/>
              <w:ind w:right="20"/>
              <w:spacing w:after="0"/>
              <w:rPr>
                <w:sz w:val="20"/>
                <w:szCs w:val="20"/>
                <w:color w:val="auto"/>
              </w:rPr>
            </w:pPr>
            <w:r>
              <w:rPr>
                <w:rFonts w:ascii="Arial" w:cs="Arial" w:eastAsia="Arial" w:hAnsi="Arial"/>
                <w:sz w:val="20"/>
                <w:szCs w:val="20"/>
                <w:color w:val="auto"/>
                <w:w w:val="71"/>
              </w:rPr>
              <w:t>$</w:t>
            </w:r>
          </w:p>
        </w:tc>
        <w:tc>
          <w:tcPr>
            <w:tcW w:w="86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305</w:t>
            </w:r>
          </w:p>
        </w:tc>
      </w:tr>
      <w:tr>
        <w:trPr>
          <w:trHeight w:val="280"/>
        </w:trPr>
        <w:tc>
          <w:tcPr>
            <w:tcW w:w="4400" w:type="dxa"/>
            <w:vAlign w:val="bottom"/>
          </w:tcPr>
          <w:p>
            <w:pPr>
              <w:jc w:val="right"/>
              <w:ind w:right="100"/>
              <w:spacing w:after="0"/>
              <w:rPr>
                <w:sz w:val="20"/>
                <w:szCs w:val="20"/>
                <w:color w:val="auto"/>
              </w:rPr>
            </w:pPr>
            <w:r>
              <w:rPr>
                <w:rFonts w:ascii="Arial" w:cs="Arial" w:eastAsia="Arial" w:hAnsi="Arial"/>
                <w:sz w:val="20"/>
                <w:szCs w:val="20"/>
                <w:color w:val="auto"/>
                <w:w w:val="97"/>
              </w:rPr>
              <w:t>Reservoir Performance . . . . . . . . . . . . . . . . . . . .</w:t>
            </w: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1,554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282</w:t>
            </w: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1,456</w:t>
            </w:r>
          </w:p>
        </w:tc>
        <w:tc>
          <w:tcPr>
            <w:tcW w:w="2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244</w:t>
            </w:r>
          </w:p>
        </w:tc>
      </w:tr>
      <w:tr>
        <w:trPr>
          <w:trHeight w:val="280"/>
        </w:trPr>
        <w:tc>
          <w:tcPr>
            <w:tcW w:w="44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7"/>
              </w:rPr>
              <w:t>Well Construction  . . . . . . . . . . . . . . . . . . . . . . . .</w:t>
            </w:r>
          </w:p>
        </w:tc>
        <w:tc>
          <w:tcPr>
            <w:tcW w:w="12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3,229</w:t>
            </w:r>
          </w:p>
        </w:tc>
        <w:tc>
          <w:tcPr>
            <w:tcW w:w="12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8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679</w:t>
            </w:r>
          </w:p>
        </w:tc>
        <w:tc>
          <w:tcPr>
            <w:tcW w:w="2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3,084</w:t>
            </w:r>
          </w:p>
        </w:tc>
        <w:tc>
          <w:tcPr>
            <w:tcW w:w="220" w:type="dxa"/>
            <w:vAlign w:val="bottom"/>
            <w:shd w:val="clear" w:color="auto" w:fill="CCCCCC"/>
          </w:tcPr>
          <w:p>
            <w:pPr>
              <w:spacing w:after="0"/>
              <w:rPr>
                <w:sz w:val="24"/>
                <w:szCs w:val="24"/>
                <w:color w:val="auto"/>
              </w:rPr>
            </w:pPr>
          </w:p>
        </w:tc>
        <w:tc>
          <w:tcPr>
            <w:tcW w:w="86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664</w:t>
            </w:r>
          </w:p>
        </w:tc>
      </w:tr>
      <w:tr>
        <w:trPr>
          <w:trHeight w:val="280"/>
        </w:trPr>
        <w:tc>
          <w:tcPr>
            <w:tcW w:w="4400" w:type="dxa"/>
            <w:vAlign w:val="bottom"/>
          </w:tcPr>
          <w:p>
            <w:pPr>
              <w:jc w:val="right"/>
              <w:ind w:right="100"/>
              <w:spacing w:after="0"/>
              <w:rPr>
                <w:sz w:val="20"/>
                <w:szCs w:val="20"/>
                <w:color w:val="auto"/>
              </w:rPr>
            </w:pPr>
            <w:r>
              <w:rPr>
                <w:rFonts w:ascii="Arial" w:cs="Arial" w:eastAsia="Arial" w:hAnsi="Arial"/>
                <w:sz w:val="20"/>
                <w:szCs w:val="20"/>
                <w:color w:val="auto"/>
                <w:w w:val="97"/>
              </w:rPr>
              <w:t>Production Systems  . . . . . . . . . . . . . . . . . . . . . .</w:t>
            </w: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2,215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238</w:t>
            </w: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2,150</w:t>
            </w:r>
          </w:p>
        </w:tc>
        <w:tc>
          <w:tcPr>
            <w:tcW w:w="2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224</w:t>
            </w:r>
          </w:p>
        </w:tc>
      </w:tr>
      <w:tr>
        <w:trPr>
          <w:trHeight w:val="280"/>
        </w:trPr>
        <w:tc>
          <w:tcPr>
            <w:tcW w:w="44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7"/>
              </w:rPr>
              <w:t>Eliminations &amp; other  . . . . . . . . . . . . . . . . . . . . . .</w:t>
            </w:r>
          </w:p>
        </w:tc>
        <w:tc>
          <w:tcPr>
            <w:tcW w:w="12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(131)</w:t>
            </w:r>
          </w:p>
        </w:tc>
        <w:tc>
          <w:tcPr>
            <w:tcW w:w="12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84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(24)</w:t>
            </w:r>
          </w:p>
        </w:tc>
        <w:tc>
          <w:tcPr>
            <w:tcW w:w="2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(113)</w:t>
            </w:r>
          </w:p>
        </w:tc>
        <w:tc>
          <w:tcPr>
            <w:tcW w:w="220" w:type="dxa"/>
            <w:vAlign w:val="bottom"/>
            <w:shd w:val="clear" w:color="auto" w:fill="CCCCCC"/>
          </w:tcPr>
          <w:p>
            <w:pPr>
              <w:spacing w:after="0"/>
              <w:rPr>
                <w:sz w:val="24"/>
                <w:szCs w:val="24"/>
                <w:color w:val="auto"/>
              </w:rPr>
            </w:pPr>
          </w:p>
        </w:tc>
        <w:tc>
          <w:tcPr>
            <w:tcW w:w="86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(37)</w:t>
            </w:r>
          </w:p>
        </w:tc>
      </w:tr>
      <w:tr>
        <w:trPr>
          <w:trHeight w:val="70"/>
        </w:trPr>
        <w:tc>
          <w:tcPr>
            <w:tcW w:w="4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0"/>
        </w:trPr>
        <w:tc>
          <w:tcPr>
            <w:tcW w:w="4400" w:type="dxa"/>
            <w:vAlign w:val="bottom"/>
          </w:tcPr>
          <w:p>
            <w:pPr>
              <w:jc w:val="right"/>
              <w:ind w:right="100"/>
              <w:spacing w:after="0"/>
              <w:rPr>
                <w:sz w:val="20"/>
                <w:szCs w:val="20"/>
                <w:color w:val="auto"/>
              </w:rPr>
            </w:pPr>
            <w:r>
              <w:rPr>
                <w:rFonts w:ascii="Arial" w:cs="Arial" w:eastAsia="Arial" w:hAnsi="Arial"/>
                <w:sz w:val="20"/>
                <w:szCs w:val="20"/>
                <w:color w:val="auto"/>
              </w:rPr>
              <w:t>Pretax segment operating income . . . . . . . .</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1,557</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1,400</w:t>
            </w:r>
          </w:p>
        </w:tc>
      </w:tr>
      <w:tr>
        <w:trPr>
          <w:trHeight w:val="280"/>
        </w:trPr>
        <w:tc>
          <w:tcPr>
            <w:tcW w:w="4400" w:type="dxa"/>
            <w:vAlign w:val="bottom"/>
            <w:shd w:val="clear" w:color="auto" w:fill="CCCCCC"/>
          </w:tcPr>
          <w:p>
            <w:pPr>
              <w:jc w:val="right"/>
              <w:ind w:right="100"/>
              <w:spacing w:after="0" w:line="280" w:lineRule="exact"/>
              <w:rPr>
                <w:sz w:val="20"/>
                <w:szCs w:val="20"/>
                <w:color w:val="auto"/>
              </w:rPr>
            </w:pPr>
            <w:r>
              <w:rPr>
                <w:rFonts w:ascii="Arial" w:cs="Arial" w:eastAsia="Arial" w:hAnsi="Arial"/>
                <w:sz w:val="20"/>
                <w:szCs w:val="20"/>
                <w:color w:val="auto"/>
                <w:w w:val="95"/>
              </w:rPr>
              <w:t xml:space="preserve">Corporate &amp; other </w:t>
            </w:r>
            <w:r>
              <w:rPr>
                <w:rFonts w:ascii="Arial" w:cs="Arial" w:eastAsia="Arial" w:hAnsi="Arial"/>
                <w:sz w:val="26"/>
                <w:szCs w:val="26"/>
                <w:color w:val="auto"/>
                <w:w w:val="95"/>
                <w:vertAlign w:val="superscript"/>
              </w:rPr>
              <w:t>(1)</w:t>
            </w:r>
            <w:r>
              <w:rPr>
                <w:rFonts w:ascii="Arial" w:cs="Arial" w:eastAsia="Arial" w:hAnsi="Arial"/>
                <w:sz w:val="20"/>
                <w:szCs w:val="20"/>
                <w:color w:val="auto"/>
                <w:w w:val="95"/>
              </w:rPr>
              <w:t xml:space="preserve">  . . . . . . . . . . . . . . . . . . . . . .</w:t>
            </w:r>
          </w:p>
        </w:tc>
        <w:tc>
          <w:tcPr>
            <w:tcW w:w="120" w:type="dxa"/>
            <w:vAlign w:val="bottom"/>
            <w:shd w:val="clear" w:color="auto" w:fill="CCCCCC"/>
          </w:tcPr>
          <w:p>
            <w:pPr>
              <w:spacing w:after="0"/>
              <w:rPr>
                <w:sz w:val="24"/>
                <w:szCs w:val="24"/>
                <w:color w:val="auto"/>
              </w:rPr>
            </w:pPr>
          </w:p>
        </w:tc>
        <w:tc>
          <w:tcPr>
            <w:tcW w:w="8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84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(169)</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86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(155)</w:t>
            </w:r>
          </w:p>
        </w:tc>
      </w:tr>
      <w:tr>
        <w:trPr>
          <w:trHeight w:val="280"/>
        </w:trPr>
        <w:tc>
          <w:tcPr>
            <w:tcW w:w="4400" w:type="dxa"/>
            <w:vAlign w:val="bottom"/>
          </w:tcPr>
          <w:p>
            <w:pPr>
              <w:jc w:val="right"/>
              <w:ind w:right="100"/>
              <w:spacing w:after="0" w:line="280" w:lineRule="exact"/>
              <w:rPr>
                <w:sz w:val="20"/>
                <w:szCs w:val="20"/>
                <w:color w:val="auto"/>
              </w:rPr>
            </w:pPr>
            <w:r>
              <w:rPr>
                <w:rFonts w:ascii="Arial" w:cs="Arial" w:eastAsia="Arial" w:hAnsi="Arial"/>
                <w:sz w:val="20"/>
                <w:szCs w:val="20"/>
                <w:color w:val="auto"/>
                <w:w w:val="95"/>
              </w:rPr>
              <w:t xml:space="preserve">Interest income </w:t>
            </w:r>
            <w:r>
              <w:rPr>
                <w:rFonts w:ascii="Arial" w:cs="Arial" w:eastAsia="Arial" w:hAnsi="Arial"/>
                <w:sz w:val="26"/>
                <w:szCs w:val="26"/>
                <w:color w:val="auto"/>
                <w:w w:val="95"/>
                <w:vertAlign w:val="superscript"/>
              </w:rPr>
              <w:t>(2)</w:t>
            </w:r>
            <w:r>
              <w:rPr>
                <w:rFonts w:ascii="Arial" w:cs="Arial" w:eastAsia="Arial" w:hAnsi="Arial"/>
                <w:sz w:val="20"/>
                <w:szCs w:val="20"/>
                <w:color w:val="auto"/>
                <w:w w:val="95"/>
              </w:rPr>
              <w:t xml:space="preserve">  . . . . . . . . . . . . . . . . . . . . . . . .</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14</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8</w:t>
            </w:r>
          </w:p>
        </w:tc>
      </w:tr>
      <w:tr>
        <w:trPr>
          <w:trHeight w:val="280"/>
        </w:trPr>
        <w:tc>
          <w:tcPr>
            <w:tcW w:w="4400" w:type="dxa"/>
            <w:vAlign w:val="bottom"/>
            <w:shd w:val="clear" w:color="auto" w:fill="CCCCCC"/>
          </w:tcPr>
          <w:p>
            <w:pPr>
              <w:jc w:val="right"/>
              <w:ind w:right="100"/>
              <w:spacing w:after="0" w:line="280" w:lineRule="exact"/>
              <w:rPr>
                <w:sz w:val="20"/>
                <w:szCs w:val="20"/>
                <w:color w:val="auto"/>
              </w:rPr>
            </w:pPr>
            <w:r>
              <w:rPr>
                <w:rFonts w:ascii="Arial" w:cs="Arial" w:eastAsia="Arial" w:hAnsi="Arial"/>
                <w:sz w:val="20"/>
                <w:szCs w:val="20"/>
                <w:color w:val="auto"/>
                <w:w w:val="95"/>
              </w:rPr>
              <w:t xml:space="preserve">Interest expense </w:t>
            </w:r>
            <w:r>
              <w:rPr>
                <w:rFonts w:ascii="Arial" w:cs="Arial" w:eastAsia="Arial" w:hAnsi="Arial"/>
                <w:sz w:val="26"/>
                <w:szCs w:val="26"/>
                <w:color w:val="auto"/>
                <w:w w:val="95"/>
                <w:vertAlign w:val="superscript"/>
              </w:rPr>
              <w:t>(3)</w:t>
            </w:r>
            <w:r>
              <w:rPr>
                <w:rFonts w:ascii="Arial" w:cs="Arial" w:eastAsia="Arial" w:hAnsi="Arial"/>
                <w:sz w:val="20"/>
                <w:szCs w:val="20"/>
                <w:color w:val="auto"/>
                <w:w w:val="95"/>
              </w:rPr>
              <w:t xml:space="preserve">  . . . . . . . . . . . . . . . . . . . . . . .</w:t>
            </w:r>
          </w:p>
        </w:tc>
        <w:tc>
          <w:tcPr>
            <w:tcW w:w="120" w:type="dxa"/>
            <w:vAlign w:val="bottom"/>
            <w:shd w:val="clear" w:color="auto" w:fill="CCCCCC"/>
          </w:tcPr>
          <w:p>
            <w:pPr>
              <w:spacing w:after="0"/>
              <w:rPr>
                <w:sz w:val="24"/>
                <w:szCs w:val="24"/>
                <w:color w:val="auto"/>
              </w:rPr>
            </w:pPr>
          </w:p>
        </w:tc>
        <w:tc>
          <w:tcPr>
            <w:tcW w:w="8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84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(118)</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86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(119)</w:t>
            </w:r>
          </w:p>
        </w:tc>
      </w:tr>
      <w:tr>
        <w:trPr>
          <w:trHeight w:val="350"/>
        </w:trPr>
        <w:tc>
          <w:tcPr>
            <w:tcW w:w="4400" w:type="dxa"/>
            <w:vAlign w:val="bottom"/>
          </w:tcPr>
          <w:p>
            <w:pPr>
              <w:jc w:val="right"/>
              <w:ind w:right="100"/>
              <w:spacing w:after="0"/>
              <w:rPr>
                <w:sz w:val="20"/>
                <w:szCs w:val="20"/>
                <w:color w:val="auto"/>
              </w:rPr>
            </w:pPr>
            <w:r>
              <w:rPr>
                <w:rFonts w:ascii="Arial" w:cs="Arial" w:eastAsia="Arial" w:hAnsi="Arial"/>
                <w:sz w:val="20"/>
                <w:szCs w:val="20"/>
                <w:color w:val="auto"/>
                <w:w w:val="95"/>
              </w:rPr>
              <w:t xml:space="preserve">Charges &amp; credits </w:t>
            </w:r>
            <w:r>
              <w:rPr>
                <w:rFonts w:ascii="Arial" w:cs="Arial" w:eastAsia="Arial" w:hAnsi="Arial"/>
                <w:sz w:val="26"/>
                <w:szCs w:val="26"/>
                <w:color w:val="auto"/>
                <w:w w:val="95"/>
                <w:vertAlign w:val="superscript"/>
              </w:rPr>
              <w:t>(4)</w:t>
            </w:r>
            <w:r>
              <w:rPr>
                <w:rFonts w:ascii="Arial" w:cs="Arial" w:eastAsia="Arial" w:hAnsi="Arial"/>
                <w:sz w:val="20"/>
                <w:szCs w:val="20"/>
                <w:color w:val="auto"/>
                <w:w w:val="95"/>
              </w:rPr>
              <w:t xml:space="preserve">  . . . . . . . . . . . . . . . . . . . . . .</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63</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400" w:type="dxa"/>
            <w:vAlign w:val="bottom"/>
            <w:shd w:val="clear" w:color="auto" w:fill="CCCCCC"/>
          </w:tcPr>
          <w:p>
            <w:pPr>
              <w:spacing w:after="0"/>
              <w:rPr>
                <w:sz w:val="23"/>
                <w:szCs w:val="23"/>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7,879</w:t>
            </w:r>
          </w:p>
        </w:tc>
        <w:tc>
          <w:tcPr>
            <w:tcW w:w="120" w:type="dxa"/>
            <w:vAlign w:val="bottom"/>
            <w:shd w:val="clear" w:color="auto" w:fill="CCCCCC"/>
          </w:tcPr>
          <w:p>
            <w:pPr>
              <w:spacing w:after="0"/>
              <w:rPr>
                <w:sz w:val="23"/>
                <w:szCs w:val="23"/>
                <w:color w:val="auto"/>
              </w:rPr>
            </w:pPr>
          </w:p>
        </w:tc>
        <w:tc>
          <w:tcPr>
            <w:tcW w:w="260" w:type="dxa"/>
            <w:vAlign w:val="bottom"/>
            <w:shd w:val="clear" w:color="auto" w:fill="CCCCCC"/>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8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1,347</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7,477</w:t>
            </w:r>
          </w:p>
        </w:tc>
        <w:tc>
          <w:tcPr>
            <w:tcW w:w="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1,134</w:t>
            </w:r>
          </w:p>
        </w:tc>
      </w:tr>
      <w:tr>
        <w:trPr>
          <w:trHeight w:val="70"/>
        </w:trPr>
        <w:tc>
          <w:tcPr>
            <w:tcW w:w="4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left="520" w:right="120" w:hanging="400"/>
        <w:spacing w:after="0" w:line="223" w:lineRule="auto"/>
        <w:tabs>
          <w:tab w:leader="none" w:pos="520" w:val="left"/>
        </w:tabs>
        <w:numPr>
          <w:ilvl w:val="0"/>
          <w:numId w:val="37"/>
        </w:numPr>
        <w:rPr>
          <w:rFonts w:ascii="Arial" w:cs="Arial" w:eastAsia="Arial" w:hAnsi="Arial"/>
          <w:sz w:val="26"/>
          <w:szCs w:val="26"/>
          <w:color w:val="auto"/>
          <w:vertAlign w:val="superscript"/>
        </w:rPr>
      </w:pPr>
      <w:r>
        <w:rPr>
          <w:rFonts w:ascii="Arial" w:cs="Arial" w:eastAsia="Arial" w:hAnsi="Arial"/>
          <w:sz w:val="20"/>
          <w:szCs w:val="20"/>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0" w:lineRule="exact"/>
        <w:rPr>
          <w:rFonts w:ascii="Arial" w:cs="Arial" w:eastAsia="Arial" w:hAnsi="Arial"/>
          <w:sz w:val="26"/>
          <w:szCs w:val="26"/>
          <w:color w:val="auto"/>
          <w:vertAlign w:val="superscript"/>
        </w:rPr>
      </w:pPr>
    </w:p>
    <w:p>
      <w:pPr>
        <w:ind w:left="520" w:hanging="400"/>
        <w:spacing w:after="0"/>
        <w:tabs>
          <w:tab w:leader="none" w:pos="520" w:val="left"/>
        </w:tabs>
        <w:numPr>
          <w:ilvl w:val="0"/>
          <w:numId w:val="37"/>
        </w:numPr>
        <w:rPr>
          <w:rFonts w:ascii="Arial" w:cs="Arial" w:eastAsia="Arial" w:hAnsi="Arial"/>
          <w:sz w:val="26"/>
          <w:szCs w:val="26"/>
          <w:color w:val="auto"/>
          <w:vertAlign w:val="superscript"/>
        </w:rPr>
      </w:pPr>
      <w:r>
        <w:rPr>
          <w:rFonts w:ascii="Arial" w:cs="Arial" w:eastAsia="Arial" w:hAnsi="Arial"/>
          <w:sz w:val="20"/>
          <w:szCs w:val="20"/>
          <w:color w:val="auto"/>
        </w:rPr>
        <w:t>Excludes interest income included in the segments’ income (fourth quarter 2022: $19 million; third</w:t>
      </w:r>
    </w:p>
    <w:p>
      <w:pPr>
        <w:spacing w:after="0" w:line="56" w:lineRule="exact"/>
        <w:rPr>
          <w:rFonts w:ascii="Arial" w:cs="Arial" w:eastAsia="Arial" w:hAnsi="Arial"/>
          <w:sz w:val="26"/>
          <w:szCs w:val="26"/>
          <w:color w:val="auto"/>
          <w:vertAlign w:val="superscript"/>
        </w:rPr>
      </w:pPr>
    </w:p>
    <w:p>
      <w:pPr>
        <w:ind w:left="520"/>
        <w:spacing w:after="0" w:line="191" w:lineRule="auto"/>
        <w:rPr>
          <w:rFonts w:ascii="Arial" w:cs="Arial" w:eastAsia="Arial" w:hAnsi="Arial"/>
          <w:sz w:val="26"/>
          <w:szCs w:val="26"/>
          <w:color w:val="auto"/>
          <w:vertAlign w:val="superscript"/>
        </w:rPr>
      </w:pPr>
      <w:r>
        <w:rPr>
          <w:rFonts w:ascii="Arial" w:cs="Arial" w:eastAsia="Arial" w:hAnsi="Arial"/>
          <w:sz w:val="20"/>
          <w:szCs w:val="20"/>
          <w:color w:val="auto"/>
        </w:rPr>
        <w:t>quarter 2022: $25 million).</w:t>
      </w:r>
    </w:p>
    <w:p>
      <w:pPr>
        <w:spacing w:after="0" w:line="24" w:lineRule="exact"/>
        <w:rPr>
          <w:rFonts w:ascii="Arial" w:cs="Arial" w:eastAsia="Arial" w:hAnsi="Arial"/>
          <w:sz w:val="26"/>
          <w:szCs w:val="26"/>
          <w:color w:val="auto"/>
          <w:vertAlign w:val="superscript"/>
        </w:rPr>
      </w:pPr>
    </w:p>
    <w:p>
      <w:pPr>
        <w:ind w:left="520" w:hanging="400"/>
        <w:spacing w:after="0"/>
        <w:tabs>
          <w:tab w:leader="none" w:pos="520" w:val="left"/>
        </w:tabs>
        <w:numPr>
          <w:ilvl w:val="0"/>
          <w:numId w:val="37"/>
        </w:numPr>
        <w:rPr>
          <w:rFonts w:ascii="Arial" w:cs="Arial" w:eastAsia="Arial" w:hAnsi="Arial"/>
          <w:sz w:val="26"/>
          <w:szCs w:val="26"/>
          <w:color w:val="auto"/>
          <w:vertAlign w:val="superscript"/>
        </w:rPr>
      </w:pPr>
      <w:r>
        <w:rPr>
          <w:rFonts w:ascii="Arial" w:cs="Arial" w:eastAsia="Arial" w:hAnsi="Arial"/>
          <w:sz w:val="20"/>
          <w:szCs w:val="20"/>
          <w:color w:val="auto"/>
        </w:rPr>
        <w:t>Excludes interest expense included in the segments’ income (fourth quarter 2022: $3 million; third</w:t>
      </w:r>
    </w:p>
    <w:p>
      <w:pPr>
        <w:spacing w:after="0" w:line="54" w:lineRule="exact"/>
        <w:rPr>
          <w:rFonts w:ascii="Arial" w:cs="Arial" w:eastAsia="Arial" w:hAnsi="Arial"/>
          <w:sz w:val="26"/>
          <w:szCs w:val="26"/>
          <w:color w:val="auto"/>
          <w:vertAlign w:val="superscript"/>
        </w:rPr>
      </w:pPr>
    </w:p>
    <w:p>
      <w:pPr>
        <w:ind w:left="520"/>
        <w:spacing w:after="0" w:line="193" w:lineRule="auto"/>
        <w:rPr>
          <w:rFonts w:ascii="Arial" w:cs="Arial" w:eastAsia="Arial" w:hAnsi="Arial"/>
          <w:sz w:val="26"/>
          <w:szCs w:val="26"/>
          <w:color w:val="auto"/>
          <w:vertAlign w:val="superscript"/>
        </w:rPr>
      </w:pPr>
      <w:r>
        <w:rPr>
          <w:rFonts w:ascii="Arial" w:cs="Arial" w:eastAsia="Arial" w:hAnsi="Arial"/>
          <w:sz w:val="20"/>
          <w:szCs w:val="20"/>
          <w:color w:val="auto"/>
        </w:rPr>
        <w:t>quarter 2022: $3 million).</w:t>
      </w:r>
    </w:p>
    <w:p>
      <w:pPr>
        <w:spacing w:after="0" w:line="22" w:lineRule="exact"/>
        <w:rPr>
          <w:rFonts w:ascii="Arial" w:cs="Arial" w:eastAsia="Arial" w:hAnsi="Arial"/>
          <w:sz w:val="26"/>
          <w:szCs w:val="26"/>
          <w:color w:val="auto"/>
          <w:vertAlign w:val="superscript"/>
        </w:rPr>
      </w:pPr>
    </w:p>
    <w:p>
      <w:pPr>
        <w:ind w:left="520" w:hanging="400"/>
        <w:spacing w:after="0"/>
        <w:tabs>
          <w:tab w:leader="none" w:pos="520" w:val="left"/>
        </w:tabs>
        <w:numPr>
          <w:ilvl w:val="0"/>
          <w:numId w:val="37"/>
        </w:numPr>
        <w:rPr>
          <w:rFonts w:ascii="Arial" w:cs="Arial" w:eastAsia="Arial" w:hAnsi="Arial"/>
          <w:sz w:val="26"/>
          <w:szCs w:val="26"/>
          <w:color w:val="auto"/>
          <w:vertAlign w:val="superscript"/>
        </w:rPr>
      </w:pPr>
      <w:r>
        <w:rPr>
          <w:rFonts w:ascii="Arial" w:cs="Arial" w:eastAsia="Arial" w:hAnsi="Arial"/>
          <w:sz w:val="20"/>
          <w:szCs w:val="20"/>
          <w:color w:val="auto"/>
        </w:rPr>
        <w:t xml:space="preserve">Charges &amp; credits are described in detail in Note 3 to the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w:t>
      </w:r>
    </w:p>
    <w:p>
      <w:pPr>
        <w:spacing w:after="0" w:line="17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Fourth-quarter revenue of $7.9 billion increased 5% sequentially. Revenue grew across all Divisions and geographical areas, with robust year-end sales in digital and particularly strong service activity offshore and in the Middle East where a significant inflection was witnessed as capacity expansion projects mobilized.</w:t>
      </w:r>
    </w:p>
    <w:p>
      <w:pPr>
        <w:spacing w:after="0" w:line="171"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9"/>
          <w:szCs w:val="19"/>
          <w:color w:val="auto"/>
        </w:rPr>
        <w:t>International revenue of $6.2 billion grew 5% sequentially, driven by continued strengthening activity. This revenue increase was led by the Middle East &amp; Asia and Latin America, both of which grew 7%. In North America, revenue of $1.6 billion increased 6% sequentially driven by strong year-end exploration data licensing sales in the US Gulf of Mexico boosting North America offshore revenue. US land revenue increased 4% sequentially due to drilling revenue growth, which outperformed the rig count growth.</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Fourth-quarter pretax segment operating margin of 19.8% was the highest since 2015.</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Digital &amp; Integration</w:t>
      </w:r>
    </w:p>
    <w:p>
      <w:pPr>
        <w:spacing w:after="0" w:line="95"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Digital &amp; Integration fourth-quarter revenue of $1.0 billion increased 12% sequentially, propelled by the year-end exploration data licensing sales in the US Gulf of Mexico and Africa; increased Asset Performance Solutions (“APS”) project activity in Ecuador and higher digital sales internationally.</w:t>
      </w:r>
    </w:p>
    <w:p>
      <w:pPr>
        <w:sectPr>
          <w:pgSz w:w="12240" w:h="15840" w:orient="portrait"/>
          <w:cols w:equalWidth="0" w:num="1">
            <w:col w:w="9360"/>
          </w:cols>
          <w:pgMar w:left="1440" w:top="1440" w:right="1440" w:bottom="83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9360"/>
          </w:cols>
          <w:pgMar w:left="1440" w:top="1440" w:right="1440" w:bottom="836" w:gutter="0" w:footer="0" w:header="0"/>
          <w:type w:val="continuous"/>
        </w:sectPr>
      </w:pPr>
    </w:p>
    <w:bookmarkStart w:id="48" w:name="page49"/>
    <w:bookmarkEnd w:id="48"/>
    <w:p>
      <w:pPr>
        <w:spacing w:after="0" w:line="5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Digital &amp; Integration pretax operating margin of 38% expanded 386 bps sequentially, due to improved profitability in exploration data licensing and digital solutions.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Reservoir Performance</w:t>
      </w:r>
    </w:p>
    <w:p>
      <w:pPr>
        <w:spacing w:after="0" w:line="96"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Reservoir Performance revenue of $1.6 billion increased 7% sequentially from new projects and activity gains internationally, particularly in the Middle East and Africa.</w:t>
      </w:r>
    </w:p>
    <w:p>
      <w:pPr>
        <w:spacing w:after="0" w:line="175"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Reservoir Performance pretax operating margin of 18% expanded 146 bps sequentially. Profitability was boosted by higher offshore and exploration activity, mainly in Africa, and strong development activity, particularly in US land and Middle East &amp; Asia.</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Well Construction</w:t>
      </w:r>
    </w:p>
    <w:p>
      <w:pPr>
        <w:spacing w:after="0" w:line="9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Well Construction revenue of $3.2 billion increased 5% sequentially, outperforming global rig count growth due to strong activity from new projects and solid pricing improvements internationally, particularly in the Middle East &amp; Asia and Latin America.</w:t>
      </w:r>
    </w:p>
    <w:p>
      <w:pPr>
        <w:spacing w:after="0" w:line="16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Well Construction pretax operating margin of 21% contracted 50 bps sequentially, as improved profitability from increasing activity in the Middle East &amp; Asia, North America, and Latin America was more than offset by the onset of seasonal effects in the Northern Hemisphere.</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Production Systems</w:t>
      </w:r>
    </w:p>
    <w:p>
      <w:pPr>
        <w:spacing w:after="0" w:line="96"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Production Systems revenue of $2.2 billion increased 3% sequentially primarily due to higher international sales of artificial lift, completions, and midstream productions systems.</w:t>
      </w:r>
    </w:p>
    <w:p>
      <w:pPr>
        <w:spacing w:after="0" w:line="25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Production Systems pretax operating margin of 11% expanded 32 bps sequentially primarily due to an improved revenue mix.</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Full-Year 2022 Results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68"/>
        </w:trPr>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20"/>
                <w:szCs w:val="20"/>
                <w:b w:val="1"/>
                <w:bCs w:val="1"/>
                <w:color w:val="auto"/>
              </w:rPr>
              <w:t>2022</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20"/>
                <w:szCs w:val="20"/>
                <w:color w:val="auto"/>
              </w:rPr>
              <w:t>2021</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
        </w:trPr>
        <w:tc>
          <w:tcPr>
            <w:tcW w:w="3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2"/>
        </w:trPr>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20"/>
                <w:szCs w:val="20"/>
                <w:b w:val="1"/>
                <w:bCs w:val="1"/>
                <w:color w:val="auto"/>
              </w:rPr>
              <w:t>Pretax</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20"/>
                <w:szCs w:val="20"/>
                <w:color w:val="auto"/>
              </w:rPr>
              <w:t>Pretax</w:t>
            </w:r>
          </w:p>
        </w:tc>
      </w:tr>
      <w:tr>
        <w:trPr>
          <w:trHeight w:val="228"/>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line="228" w:lineRule="exact"/>
              <w:rPr>
                <w:sz w:val="20"/>
                <w:szCs w:val="20"/>
                <w:color w:val="auto"/>
              </w:rPr>
            </w:pPr>
            <w:r>
              <w:rPr>
                <w:rFonts w:ascii="Arial" w:cs="Arial" w:eastAsia="Arial" w:hAnsi="Arial"/>
                <w:sz w:val="20"/>
                <w:szCs w:val="20"/>
                <w:b w:val="1"/>
                <w:bCs w:val="1"/>
                <w:color w:val="auto"/>
                <w:w w:val="98"/>
              </w:rPr>
              <w:t>Revenue</w:t>
            </w:r>
          </w:p>
        </w:tc>
        <w:tc>
          <w:tcPr>
            <w:tcW w:w="120" w:type="dxa"/>
            <w:vAlign w:val="bottom"/>
          </w:tcPr>
          <w:p>
            <w:pPr>
              <w:spacing w:after="0"/>
              <w:rPr>
                <w:sz w:val="19"/>
                <w:szCs w:val="19"/>
                <w:color w:val="auto"/>
              </w:rPr>
            </w:pPr>
          </w:p>
        </w:tc>
        <w:tc>
          <w:tcPr>
            <w:tcW w:w="1200" w:type="dxa"/>
            <w:vAlign w:val="bottom"/>
            <w:gridSpan w:val="3"/>
          </w:tcPr>
          <w:p>
            <w:pPr>
              <w:jc w:val="right"/>
              <w:ind w:right="400"/>
              <w:spacing w:after="0" w:line="228" w:lineRule="exact"/>
              <w:rPr>
                <w:sz w:val="20"/>
                <w:szCs w:val="20"/>
                <w:color w:val="auto"/>
              </w:rPr>
            </w:pPr>
            <w:r>
              <w:rPr>
                <w:rFonts w:ascii="Arial" w:cs="Arial" w:eastAsia="Arial" w:hAnsi="Arial"/>
                <w:sz w:val="20"/>
                <w:szCs w:val="20"/>
                <w:b w:val="1"/>
                <w:bCs w:val="1"/>
                <w:color w:val="auto"/>
              </w:rPr>
              <w:t>Income</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w w:val="99"/>
              </w:rPr>
              <w:t>Revenue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20"/>
              <w:spacing w:after="0" w:line="228" w:lineRule="exact"/>
              <w:rPr>
                <w:sz w:val="20"/>
                <w:szCs w:val="20"/>
                <w:color w:val="auto"/>
              </w:rPr>
            </w:pPr>
            <w:r>
              <w:rPr>
                <w:rFonts w:ascii="Arial" w:cs="Arial" w:eastAsia="Arial" w:hAnsi="Arial"/>
                <w:sz w:val="20"/>
                <w:szCs w:val="20"/>
                <w:color w:val="auto"/>
              </w:rPr>
              <w:t>Income</w:t>
            </w:r>
          </w:p>
        </w:tc>
      </w:tr>
      <w:tr>
        <w:trPr>
          <w:trHeight w:val="30"/>
        </w:trPr>
        <w:tc>
          <w:tcPr>
            <w:tcW w:w="3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392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8"/>
              </w:rPr>
              <w:t>Digital &amp; Integration . . . . . . . . . . . . . . . . . .</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11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3,725</w:t>
            </w:r>
          </w:p>
        </w:tc>
        <w:tc>
          <w:tcPr>
            <w:tcW w:w="1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120" w:type="dxa"/>
            <w:vAlign w:val="bottom"/>
            <w:shd w:val="clear" w:color="auto" w:fill="CCCCCC"/>
          </w:tcPr>
          <w:p>
            <w:pPr>
              <w:spacing w:after="0"/>
              <w:rPr>
                <w:sz w:val="23"/>
                <w:szCs w:val="23"/>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1,357</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2"/>
            <w:shd w:val="clear" w:color="auto" w:fill="CCCCCC"/>
          </w:tcPr>
          <w:p>
            <w:pPr>
              <w:jc w:val="right"/>
              <w:ind w:right="40"/>
              <w:spacing w:after="0"/>
              <w:rPr>
                <w:sz w:val="20"/>
                <w:szCs w:val="20"/>
                <w:color w:val="auto"/>
              </w:rPr>
            </w:pPr>
            <w:r>
              <w:rPr>
                <w:rFonts w:ascii="Arial" w:cs="Arial" w:eastAsia="Arial" w:hAnsi="Arial"/>
                <w:sz w:val="20"/>
                <w:szCs w:val="20"/>
                <w:color w:val="auto"/>
              </w:rPr>
              <w:t>3,290</w:t>
            </w:r>
          </w:p>
        </w:tc>
        <w:tc>
          <w:tcPr>
            <w:tcW w:w="40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1,141</w:t>
            </w:r>
          </w:p>
        </w:tc>
      </w:tr>
      <w:tr>
        <w:trPr>
          <w:trHeight w:val="280"/>
        </w:trPr>
        <w:tc>
          <w:tcPr>
            <w:tcW w:w="3920" w:type="dxa"/>
            <w:vAlign w:val="bottom"/>
          </w:tcPr>
          <w:p>
            <w:pPr>
              <w:jc w:val="right"/>
              <w:ind w:right="100"/>
              <w:spacing w:after="0"/>
              <w:rPr>
                <w:sz w:val="20"/>
                <w:szCs w:val="20"/>
                <w:color w:val="auto"/>
              </w:rPr>
            </w:pPr>
            <w:r>
              <w:rPr>
                <w:rFonts w:ascii="Arial" w:cs="Arial" w:eastAsia="Arial" w:hAnsi="Arial"/>
                <w:sz w:val="20"/>
                <w:szCs w:val="20"/>
                <w:color w:val="auto"/>
                <w:w w:val="99"/>
              </w:rPr>
              <w:t>Reservoir Performance . . . . . . . . . . . . . . .</w:t>
            </w:r>
          </w:p>
        </w:tc>
        <w:tc>
          <w:tcPr>
            <w:tcW w:w="1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5,553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881</w:t>
            </w:r>
          </w:p>
        </w:tc>
        <w:tc>
          <w:tcPr>
            <w:tcW w:w="14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4,599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648</w:t>
            </w:r>
          </w:p>
        </w:tc>
      </w:tr>
      <w:tr>
        <w:trPr>
          <w:trHeight w:val="280"/>
        </w:trPr>
        <w:tc>
          <w:tcPr>
            <w:tcW w:w="392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7"/>
              </w:rPr>
              <w:t>Well Construction . . . . . . . . . . . . . . . . . . . .</w:t>
            </w:r>
          </w:p>
        </w:tc>
        <w:tc>
          <w:tcPr>
            <w:tcW w:w="140" w:type="dxa"/>
            <w:vAlign w:val="bottom"/>
            <w:shd w:val="clear" w:color="auto" w:fill="CCCCCC"/>
          </w:tcPr>
          <w:p>
            <w:pPr>
              <w:spacing w:after="0"/>
              <w:rPr>
                <w:sz w:val="24"/>
                <w:szCs w:val="24"/>
                <w:color w:val="auto"/>
              </w:rPr>
            </w:pPr>
          </w:p>
        </w:tc>
        <w:tc>
          <w:tcPr>
            <w:tcW w:w="11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11,397</w:t>
            </w: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2,202</w:t>
            </w:r>
          </w:p>
        </w:tc>
        <w:tc>
          <w:tcPr>
            <w:tcW w:w="14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40"/>
              <w:spacing w:after="0"/>
              <w:rPr>
                <w:sz w:val="20"/>
                <w:szCs w:val="20"/>
                <w:color w:val="auto"/>
              </w:rPr>
            </w:pPr>
            <w:r>
              <w:rPr>
                <w:rFonts w:ascii="Arial" w:cs="Arial" w:eastAsia="Arial" w:hAnsi="Arial"/>
                <w:sz w:val="20"/>
                <w:szCs w:val="20"/>
                <w:color w:val="auto"/>
              </w:rPr>
              <w:t>8,706</w:t>
            </w:r>
          </w:p>
        </w:tc>
        <w:tc>
          <w:tcPr>
            <w:tcW w:w="160" w:type="dxa"/>
            <w:vAlign w:val="bottom"/>
            <w:shd w:val="clear" w:color="auto" w:fill="CCCCCC"/>
          </w:tcPr>
          <w:p>
            <w:pPr>
              <w:spacing w:after="0"/>
              <w:rPr>
                <w:sz w:val="24"/>
                <w:szCs w:val="24"/>
                <w:color w:val="auto"/>
              </w:rPr>
            </w:pPr>
          </w:p>
        </w:tc>
        <w:tc>
          <w:tcPr>
            <w:tcW w:w="24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1,195</w:t>
            </w:r>
          </w:p>
        </w:tc>
      </w:tr>
      <w:tr>
        <w:trPr>
          <w:trHeight w:val="280"/>
        </w:trPr>
        <w:tc>
          <w:tcPr>
            <w:tcW w:w="3920" w:type="dxa"/>
            <w:vAlign w:val="bottom"/>
          </w:tcPr>
          <w:p>
            <w:pPr>
              <w:jc w:val="right"/>
              <w:ind w:right="100"/>
              <w:spacing w:after="0"/>
              <w:rPr>
                <w:sz w:val="20"/>
                <w:szCs w:val="20"/>
                <w:color w:val="auto"/>
              </w:rPr>
            </w:pPr>
            <w:r>
              <w:rPr>
                <w:rFonts w:ascii="Arial" w:cs="Arial" w:eastAsia="Arial" w:hAnsi="Arial"/>
                <w:sz w:val="20"/>
                <w:szCs w:val="20"/>
                <w:color w:val="auto"/>
                <w:w w:val="97"/>
              </w:rPr>
              <w:t>Production Systems . . . . . . . . . . . . . . . . . .</w:t>
            </w:r>
          </w:p>
        </w:tc>
        <w:tc>
          <w:tcPr>
            <w:tcW w:w="1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7,862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748</w:t>
            </w:r>
          </w:p>
        </w:tc>
        <w:tc>
          <w:tcPr>
            <w:tcW w:w="14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6,710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634</w:t>
            </w:r>
          </w:p>
        </w:tc>
      </w:tr>
      <w:tr>
        <w:trPr>
          <w:trHeight w:val="280"/>
        </w:trPr>
        <w:tc>
          <w:tcPr>
            <w:tcW w:w="392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7"/>
              </w:rPr>
              <w:t>Eliminations &amp; other . . . . . . . . . . . . . . . . . .</w:t>
            </w:r>
          </w:p>
        </w:tc>
        <w:tc>
          <w:tcPr>
            <w:tcW w:w="140" w:type="dxa"/>
            <w:vAlign w:val="bottom"/>
            <w:shd w:val="clear" w:color="auto" w:fill="CCCCCC"/>
          </w:tcPr>
          <w:p>
            <w:pPr>
              <w:spacing w:after="0"/>
              <w:rPr>
                <w:sz w:val="24"/>
                <w:szCs w:val="24"/>
                <w:color w:val="auto"/>
              </w:rPr>
            </w:pPr>
          </w:p>
        </w:tc>
        <w:tc>
          <w:tcPr>
            <w:tcW w:w="118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(446)</w:t>
            </w: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(177)</w:t>
            </w:r>
          </w:p>
        </w:tc>
        <w:tc>
          <w:tcPr>
            <w:tcW w:w="140" w:type="dxa"/>
            <w:vAlign w:val="bottom"/>
            <w:shd w:val="clear" w:color="auto" w:fill="CCCCCC"/>
          </w:tcPr>
          <w:p>
            <w:pPr>
              <w:spacing w:after="0"/>
              <w:rPr>
                <w:sz w:val="24"/>
                <w:szCs w:val="24"/>
                <w:color w:val="auto"/>
              </w:rPr>
            </w:pPr>
          </w:p>
        </w:tc>
        <w:tc>
          <w:tcPr>
            <w:tcW w:w="1180" w:type="dxa"/>
            <w:vAlign w:val="bottom"/>
            <w:gridSpan w:val="3"/>
            <w:shd w:val="clear" w:color="auto" w:fill="CCCCCC"/>
          </w:tcPr>
          <w:p>
            <w:pPr>
              <w:jc w:val="right"/>
              <w:ind w:right="27"/>
              <w:spacing w:after="0"/>
              <w:rPr>
                <w:sz w:val="20"/>
                <w:szCs w:val="20"/>
                <w:color w:val="auto"/>
              </w:rPr>
            </w:pPr>
            <w:r>
              <w:rPr>
                <w:rFonts w:ascii="Arial" w:cs="Arial" w:eastAsia="Arial" w:hAnsi="Arial"/>
                <w:sz w:val="20"/>
                <w:szCs w:val="20"/>
                <w:color w:val="auto"/>
              </w:rPr>
              <w:t>(376)</w:t>
            </w:r>
          </w:p>
        </w:tc>
        <w:tc>
          <w:tcPr>
            <w:tcW w:w="24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(253)</w:t>
            </w:r>
          </w:p>
        </w:tc>
      </w:tr>
      <w:tr>
        <w:trPr>
          <w:trHeight w:val="70"/>
        </w:trPr>
        <w:tc>
          <w:tcPr>
            <w:tcW w:w="3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0"/>
        </w:trPr>
        <w:tc>
          <w:tcPr>
            <w:tcW w:w="3920" w:type="dxa"/>
            <w:vAlign w:val="bottom"/>
          </w:tcPr>
          <w:p>
            <w:pPr>
              <w:jc w:val="right"/>
              <w:ind w:right="100"/>
              <w:spacing w:after="0"/>
              <w:rPr>
                <w:sz w:val="20"/>
                <w:szCs w:val="20"/>
                <w:color w:val="auto"/>
              </w:rPr>
            </w:pPr>
            <w:r>
              <w:rPr>
                <w:rFonts w:ascii="Arial" w:cs="Arial" w:eastAsia="Arial" w:hAnsi="Arial"/>
                <w:sz w:val="20"/>
                <w:szCs w:val="20"/>
                <w:color w:val="auto"/>
              </w:rPr>
              <w:t>Pretax segment operating income . . . .</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5,011</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3,365</w:t>
            </w:r>
          </w:p>
        </w:tc>
      </w:tr>
      <w:tr>
        <w:trPr>
          <w:trHeight w:val="280"/>
        </w:trPr>
        <w:tc>
          <w:tcPr>
            <w:tcW w:w="3920" w:type="dxa"/>
            <w:vAlign w:val="bottom"/>
            <w:shd w:val="clear" w:color="auto" w:fill="CCCCCC"/>
          </w:tcPr>
          <w:p>
            <w:pPr>
              <w:jc w:val="right"/>
              <w:ind w:right="100"/>
              <w:spacing w:after="0" w:line="280" w:lineRule="exact"/>
              <w:rPr>
                <w:sz w:val="20"/>
                <w:szCs w:val="20"/>
                <w:color w:val="auto"/>
              </w:rPr>
            </w:pPr>
            <w:r>
              <w:rPr>
                <w:rFonts w:ascii="Arial" w:cs="Arial" w:eastAsia="Arial" w:hAnsi="Arial"/>
                <w:sz w:val="20"/>
                <w:szCs w:val="20"/>
                <w:color w:val="auto"/>
                <w:w w:val="95"/>
              </w:rPr>
              <w:t xml:space="preserve">Corporate &amp; other </w:t>
            </w:r>
            <w:r>
              <w:rPr>
                <w:rFonts w:ascii="Arial" w:cs="Arial" w:eastAsia="Arial" w:hAnsi="Arial"/>
                <w:sz w:val="26"/>
                <w:szCs w:val="26"/>
                <w:color w:val="auto"/>
                <w:w w:val="95"/>
                <w:vertAlign w:val="superscript"/>
              </w:rPr>
              <w:t>(1)</w:t>
            </w:r>
            <w:r>
              <w:rPr>
                <w:rFonts w:ascii="Arial" w:cs="Arial" w:eastAsia="Arial" w:hAnsi="Arial"/>
                <w:sz w:val="20"/>
                <w:szCs w:val="20"/>
                <w:color w:val="auto"/>
                <w:w w:val="95"/>
              </w:rPr>
              <w:t xml:space="preserve">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(637)</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24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(573)</w:t>
            </w:r>
          </w:p>
        </w:tc>
      </w:tr>
      <w:tr>
        <w:trPr>
          <w:trHeight w:val="280"/>
        </w:trPr>
        <w:tc>
          <w:tcPr>
            <w:tcW w:w="3920" w:type="dxa"/>
            <w:vAlign w:val="bottom"/>
          </w:tcPr>
          <w:p>
            <w:pPr>
              <w:jc w:val="right"/>
              <w:ind w:right="100"/>
              <w:spacing w:after="0" w:line="280" w:lineRule="exact"/>
              <w:rPr>
                <w:sz w:val="20"/>
                <w:szCs w:val="20"/>
                <w:color w:val="auto"/>
              </w:rPr>
            </w:pPr>
            <w:r>
              <w:rPr>
                <w:rFonts w:ascii="Arial" w:cs="Arial" w:eastAsia="Arial" w:hAnsi="Arial"/>
                <w:sz w:val="20"/>
                <w:szCs w:val="20"/>
                <w:color w:val="auto"/>
                <w:w w:val="95"/>
              </w:rPr>
              <w:t xml:space="preserve">Interest income </w:t>
            </w:r>
            <w:r>
              <w:rPr>
                <w:rFonts w:ascii="Arial" w:cs="Arial" w:eastAsia="Arial" w:hAnsi="Arial"/>
                <w:sz w:val="26"/>
                <w:szCs w:val="26"/>
                <w:color w:val="auto"/>
                <w:w w:val="95"/>
                <w:vertAlign w:val="superscript"/>
              </w:rPr>
              <w:t>(2)</w:t>
            </w:r>
            <w:r>
              <w:rPr>
                <w:rFonts w:ascii="Arial" w:cs="Arial" w:eastAsia="Arial" w:hAnsi="Arial"/>
                <w:sz w:val="20"/>
                <w:szCs w:val="20"/>
                <w:color w:val="auto"/>
                <w:w w:val="95"/>
              </w:rPr>
              <w:t xml:space="preserve"> . . . . . . . . . . . . . . . . . . . .</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31</w:t>
            </w:r>
          </w:p>
        </w:tc>
      </w:tr>
      <w:tr>
        <w:trPr>
          <w:trHeight w:val="280"/>
        </w:trPr>
        <w:tc>
          <w:tcPr>
            <w:tcW w:w="3920" w:type="dxa"/>
            <w:vAlign w:val="bottom"/>
            <w:shd w:val="clear" w:color="auto" w:fill="CCCCCC"/>
          </w:tcPr>
          <w:p>
            <w:pPr>
              <w:jc w:val="right"/>
              <w:ind w:right="100"/>
              <w:spacing w:after="0" w:line="280" w:lineRule="exact"/>
              <w:rPr>
                <w:sz w:val="20"/>
                <w:szCs w:val="20"/>
                <w:color w:val="auto"/>
              </w:rPr>
            </w:pPr>
            <w:r>
              <w:rPr>
                <w:rFonts w:ascii="Arial" w:cs="Arial" w:eastAsia="Arial" w:hAnsi="Arial"/>
                <w:sz w:val="20"/>
                <w:szCs w:val="20"/>
                <w:color w:val="auto"/>
                <w:w w:val="95"/>
              </w:rPr>
              <w:t xml:space="preserve">Interest expense </w:t>
            </w:r>
            <w:r>
              <w:rPr>
                <w:rFonts w:ascii="Arial" w:cs="Arial" w:eastAsia="Arial" w:hAnsi="Arial"/>
                <w:sz w:val="26"/>
                <w:szCs w:val="26"/>
                <w:color w:val="auto"/>
                <w:w w:val="95"/>
                <w:vertAlign w:val="superscript"/>
              </w:rPr>
              <w:t>(3)</w:t>
            </w:r>
            <w:r>
              <w:rPr>
                <w:rFonts w:ascii="Arial" w:cs="Arial" w:eastAsia="Arial" w:hAnsi="Arial"/>
                <w:sz w:val="20"/>
                <w:szCs w:val="20"/>
                <w:color w:val="auto"/>
                <w:w w:val="95"/>
              </w:rPr>
              <w:t xml:space="preserve"> .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(477)</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24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(514)</w:t>
            </w:r>
          </w:p>
        </w:tc>
      </w:tr>
      <w:tr>
        <w:trPr>
          <w:trHeight w:val="350"/>
        </w:trPr>
        <w:tc>
          <w:tcPr>
            <w:tcW w:w="3920" w:type="dxa"/>
            <w:vAlign w:val="bottom"/>
          </w:tcPr>
          <w:p>
            <w:pPr>
              <w:jc w:val="right"/>
              <w:ind w:right="100"/>
              <w:spacing w:after="0"/>
              <w:rPr>
                <w:sz w:val="20"/>
                <w:szCs w:val="20"/>
                <w:color w:val="auto"/>
              </w:rPr>
            </w:pPr>
            <w:r>
              <w:rPr>
                <w:rFonts w:ascii="Arial" w:cs="Arial" w:eastAsia="Arial" w:hAnsi="Arial"/>
                <w:sz w:val="20"/>
                <w:szCs w:val="20"/>
                <w:color w:val="auto"/>
                <w:w w:val="95"/>
              </w:rPr>
              <w:t xml:space="preserve">Charges &amp; credits </w:t>
            </w:r>
            <w:r>
              <w:rPr>
                <w:rFonts w:ascii="Arial" w:cs="Arial" w:eastAsia="Arial" w:hAnsi="Arial"/>
                <w:sz w:val="26"/>
                <w:szCs w:val="26"/>
                <w:color w:val="auto"/>
                <w:w w:val="95"/>
                <w:vertAlign w:val="superscript"/>
              </w:rPr>
              <w:t>(4)</w:t>
            </w:r>
            <w:r>
              <w:rPr>
                <w:rFonts w:ascii="Arial" w:cs="Arial" w:eastAsia="Arial" w:hAnsi="Arial"/>
                <w:sz w:val="20"/>
                <w:szCs w:val="20"/>
                <w:color w:val="auto"/>
                <w:w w:val="95"/>
              </w:rPr>
              <w:t xml:space="preserve"> . . . . . . . . . . . . . . . . . .</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347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65</w:t>
            </w:r>
          </w:p>
        </w:tc>
      </w:tr>
      <w:tr>
        <w:trPr>
          <w:trHeight w:val="20"/>
        </w:trPr>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920" w:type="dxa"/>
            <w:vAlign w:val="bottom"/>
            <w:shd w:val="clear" w:color="auto" w:fill="CCCCCC"/>
          </w:tcPr>
          <w:p>
            <w:pPr>
              <w:spacing w:after="0"/>
              <w:rPr>
                <w:sz w:val="23"/>
                <w:szCs w:val="23"/>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11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28,091</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4,271</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gridSpan w:val="2"/>
            <w:shd w:val="clear" w:color="auto" w:fill="CCCCCC"/>
          </w:tcPr>
          <w:p>
            <w:pPr>
              <w:jc w:val="right"/>
              <w:ind w:right="40"/>
              <w:spacing w:after="0"/>
              <w:rPr>
                <w:sz w:val="20"/>
                <w:szCs w:val="20"/>
                <w:color w:val="auto"/>
              </w:rPr>
            </w:pPr>
            <w:r>
              <w:rPr>
                <w:rFonts w:ascii="Arial" w:cs="Arial" w:eastAsia="Arial" w:hAnsi="Arial"/>
                <w:sz w:val="20"/>
                <w:szCs w:val="20"/>
                <w:color w:val="auto"/>
              </w:rPr>
              <w:t>22,929</w:t>
            </w:r>
          </w:p>
        </w:tc>
        <w:tc>
          <w:tcPr>
            <w:tcW w:w="4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2,374</w:t>
            </w:r>
          </w:p>
        </w:tc>
      </w:tr>
      <w:tr>
        <w:trPr>
          <w:trHeight w:val="70"/>
        </w:trPr>
        <w:tc>
          <w:tcPr>
            <w:tcW w:w="39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left="520" w:right="120" w:hanging="400"/>
        <w:spacing w:after="0" w:line="223" w:lineRule="auto"/>
        <w:tabs>
          <w:tab w:leader="none" w:pos="520" w:val="left"/>
        </w:tabs>
        <w:numPr>
          <w:ilvl w:val="0"/>
          <w:numId w:val="38"/>
        </w:numPr>
        <w:rPr>
          <w:rFonts w:ascii="Arial" w:cs="Arial" w:eastAsia="Arial" w:hAnsi="Arial"/>
          <w:sz w:val="26"/>
          <w:szCs w:val="26"/>
          <w:color w:val="auto"/>
          <w:vertAlign w:val="superscript"/>
        </w:rPr>
      </w:pPr>
      <w:r>
        <w:rPr>
          <w:rFonts w:ascii="Arial" w:cs="Arial" w:eastAsia="Arial" w:hAnsi="Arial"/>
          <w:sz w:val="20"/>
          <w:szCs w:val="20"/>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ectPr>
          <w:pgSz w:w="12240" w:h="15840" w:orient="portrait"/>
          <w:cols w:equalWidth="0" w:num="1">
            <w:col w:w="9360"/>
          </w:cols>
          <w:pgMar w:left="1440" w:top="1440" w:right="1440" w:bottom="836"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2240" w:h="15840" w:orient="portrait"/>
          <w:cols w:equalWidth="0" w:num="1">
            <w:col w:w="9360"/>
          </w:cols>
          <w:pgMar w:left="1440" w:top="1440" w:right="1440" w:bottom="836" w:gutter="0" w:footer="0" w:header="0"/>
          <w:type w:val="continuous"/>
        </w:sectPr>
      </w:pPr>
    </w:p>
    <w:bookmarkStart w:id="49" w:name="page50"/>
    <w:bookmarkEnd w:id="49"/>
    <w:p>
      <w:pPr>
        <w:ind w:left="520" w:hanging="400"/>
        <w:spacing w:after="0"/>
        <w:tabs>
          <w:tab w:leader="none" w:pos="520" w:val="left"/>
        </w:tabs>
        <w:numPr>
          <w:ilvl w:val="0"/>
          <w:numId w:val="39"/>
        </w:numPr>
        <w:rPr>
          <w:rFonts w:ascii="Arial" w:cs="Arial" w:eastAsia="Arial" w:hAnsi="Arial"/>
          <w:sz w:val="26"/>
          <w:szCs w:val="26"/>
          <w:color w:val="auto"/>
          <w:vertAlign w:val="superscript"/>
        </w:rPr>
      </w:pPr>
      <w:r>
        <w:rPr>
          <w:rFonts w:ascii="Arial" w:cs="Arial" w:eastAsia="Arial" w:hAnsi="Arial"/>
          <w:sz w:val="20"/>
          <w:szCs w:val="20"/>
          <w:color w:val="auto"/>
        </w:rPr>
        <w:t>Excludes interest income included in the segments’ income (2022: $72 million; 2021: $2 million).</w:t>
      </w:r>
    </w:p>
    <w:p>
      <w:pPr>
        <w:spacing w:after="0" w:line="119" w:lineRule="exact"/>
        <w:rPr>
          <w:rFonts w:ascii="Arial" w:cs="Arial" w:eastAsia="Arial" w:hAnsi="Arial"/>
          <w:sz w:val="26"/>
          <w:szCs w:val="26"/>
          <w:color w:val="auto"/>
          <w:vertAlign w:val="superscript"/>
        </w:rPr>
      </w:pPr>
    </w:p>
    <w:p>
      <w:pPr>
        <w:ind w:left="520" w:right="120" w:hanging="400"/>
        <w:spacing w:after="0" w:line="211" w:lineRule="auto"/>
        <w:tabs>
          <w:tab w:leader="none" w:pos="520" w:val="left"/>
        </w:tabs>
        <w:numPr>
          <w:ilvl w:val="0"/>
          <w:numId w:val="39"/>
        </w:numPr>
        <w:rPr>
          <w:rFonts w:ascii="Arial" w:cs="Arial" w:eastAsia="Arial" w:hAnsi="Arial"/>
          <w:sz w:val="26"/>
          <w:szCs w:val="26"/>
          <w:color w:val="auto"/>
          <w:vertAlign w:val="superscript"/>
        </w:rPr>
      </w:pPr>
      <w:r>
        <w:rPr>
          <w:rFonts w:ascii="Arial" w:cs="Arial" w:eastAsia="Arial" w:hAnsi="Arial"/>
          <w:sz w:val="20"/>
          <w:szCs w:val="20"/>
          <w:color w:val="auto"/>
        </w:rPr>
        <w:t>Excludes interest expense included in the segments’ income (2022: $13 million; 2021: $15 million) and $10 million interest expense included in Charges &amp; credits in 2021.</w:t>
      </w:r>
    </w:p>
    <w:p>
      <w:pPr>
        <w:spacing w:after="0" w:line="46" w:lineRule="exact"/>
        <w:rPr>
          <w:rFonts w:ascii="Arial" w:cs="Arial" w:eastAsia="Arial" w:hAnsi="Arial"/>
          <w:sz w:val="26"/>
          <w:szCs w:val="26"/>
          <w:color w:val="auto"/>
          <w:vertAlign w:val="superscript"/>
        </w:rPr>
      </w:pPr>
    </w:p>
    <w:p>
      <w:pPr>
        <w:ind w:left="520" w:hanging="400"/>
        <w:spacing w:after="0"/>
        <w:tabs>
          <w:tab w:leader="none" w:pos="520" w:val="left"/>
        </w:tabs>
        <w:numPr>
          <w:ilvl w:val="0"/>
          <w:numId w:val="39"/>
        </w:numPr>
        <w:rPr>
          <w:rFonts w:ascii="Arial" w:cs="Arial" w:eastAsia="Arial" w:hAnsi="Arial"/>
          <w:sz w:val="26"/>
          <w:szCs w:val="26"/>
          <w:color w:val="auto"/>
          <w:vertAlign w:val="superscript"/>
        </w:rPr>
      </w:pPr>
      <w:r>
        <w:rPr>
          <w:rFonts w:ascii="Arial" w:cs="Arial" w:eastAsia="Arial" w:hAnsi="Arial"/>
          <w:sz w:val="20"/>
          <w:szCs w:val="20"/>
          <w:color w:val="auto"/>
        </w:rPr>
        <w:t xml:space="preserve">Charges and credits are described in detail in Note 3 to the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w:t>
      </w:r>
    </w:p>
    <w:p>
      <w:pPr>
        <w:spacing w:after="0" w:line="22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Full-year 2022 revenue of $28.1 billion increased 23% year-on-year driven by activity increases internationally, in North America and across all Divisions.</w:t>
      </w:r>
    </w:p>
    <w:p>
      <w:pPr>
        <w:spacing w:after="0" w:line="220"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International revenue increased 20% to $21.9 billion led by Latin America and Europe/CIS/Africa with revenue growth of 27% and 25%, respectively, while revenue in the Middle East &amp; Asia increased 12%. In North America, revenue increased 34% to $6.0 billion primarily driven by robust onshore drilling activity; higher sales of production systems; a strong contribution from the APS project in Canada; and increased exploration data licensing in the US Gulf of Mexico.</w:t>
      </w:r>
    </w:p>
    <w:p>
      <w:pPr>
        <w:spacing w:after="0" w:line="21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Full-year pretax operating margin of 18% increased 316 bps due to improved operating leverage from higher activity, a favorable activity mix, and an improving pricing environment.</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Digital &amp; Integration</w:t>
      </w:r>
    </w:p>
    <w:p>
      <w:pPr>
        <w:spacing w:after="0" w:line="1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Digital &amp; Integration full-year revenue of $3.7 billion increased 13% year on year, primarily driven by increased APS project activity in Ecuador and Canada and higher exploration data licensing sales in the US Gulf of Mexico.</w:t>
      </w:r>
    </w:p>
    <w:p>
      <w:pPr>
        <w:spacing w:after="0" w:line="21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Digital &amp; Integration pretax operating margin of 36% expanded 177 bps year on year largely due to improved profitability in exploration data licensing.</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Reservoir Performance</w:t>
      </w:r>
    </w:p>
    <w:p>
      <w:pPr>
        <w:spacing w:after="0" w:line="1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Reservoir Performance full-year revenue of $5.6 billion increased 21% year on year as a result of strong international activity led by the Middle East &amp; Asia and Latin America on higher activity and improved pricing.</w:t>
      </w:r>
    </w:p>
    <w:p>
      <w:pPr>
        <w:spacing w:after="0" w:line="21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Reservoir Performance pretax operating margin of 16% increased 177 bps year on year primarily due to improved profitability in intervention activity.</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Well Construction</w:t>
      </w:r>
    </w:p>
    <w:p>
      <w:pPr>
        <w:spacing w:after="0" w:line="1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Well Construction full-year revenue of $11.4 billion grew 31% year on year with strong growth across all geographical areas led by North America and Latin America, which grew 56% and 53%, respectively. This growth was driven by higher land and offshore activity along with improved pricing.</w:t>
      </w:r>
    </w:p>
    <w:p>
      <w:pPr>
        <w:spacing w:after="0" w:line="21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Well Construction pretax operating margin of 19% expanded 560 bps year on year driven by the higher activity and improved pricing.</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Production Systems</w:t>
      </w:r>
    </w:p>
    <w:p>
      <w:pPr>
        <w:spacing w:after="0" w:line="1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Production Systems full-year revenue of $7.9 billion increased 17% year on year driven by new projects and increased sales activity primarily in Europe, Africa, and North America. Double digit growth was posted in midstream, artificial lift, surface production systems and subsea production systems.</w:t>
      </w:r>
    </w:p>
    <w:p>
      <w:pPr>
        <w:spacing w:after="0" w:line="219"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Production Systems pretax operating margin of 10% was essentially flat primarily as a result of higher logistics costs and a less favorable revenue mix.</w:t>
      </w:r>
    </w:p>
    <w:p>
      <w:pPr>
        <w:sectPr>
          <w:pgSz w:w="12240" w:h="15840" w:orient="portrait"/>
          <w:cols w:equalWidth="0" w:num="1">
            <w:col w:w="9360"/>
          </w:cols>
          <w:pgMar w:left="1440" w:top="1422" w:right="1440" w:bottom="836"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9360"/>
          </w:cols>
          <w:pgMar w:left="1440" w:top="1422" w:right="1440" w:bottom="836" w:gutter="0" w:footer="0" w:header="0"/>
          <w:type w:val="continuous"/>
        </w:sectPr>
      </w:pPr>
    </w:p>
    <w:bookmarkStart w:id="50" w:name="page51"/>
    <w:bookmarkEnd w:id="50"/>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Interest &amp; Other Income, Net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 xml:space="preserve">Interest &amp; other income, net </w:t>
      </w:r>
      <w:r>
        <w:rPr>
          <w:rFonts w:ascii="Arial" w:cs="Arial" w:eastAsia="Arial" w:hAnsi="Arial"/>
          <w:sz w:val="20"/>
          <w:szCs w:val="20"/>
          <w:color w:val="auto"/>
        </w:rPr>
        <w:t>consisted of the following:</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6"/>
                <w:szCs w:val="16"/>
                <w:i w:val="1"/>
                <w:iCs w:val="1"/>
                <w:color w:val="auto"/>
              </w:rPr>
              <w:t>(Stated in millions)</w:t>
            </w:r>
          </w:p>
        </w:tc>
      </w:tr>
      <w:tr>
        <w:trPr>
          <w:trHeight w:val="468"/>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4"/>
                <w:szCs w:val="24"/>
                <w:color w:val="auto"/>
              </w:rPr>
            </w:pPr>
          </w:p>
        </w:tc>
      </w:tr>
      <w:tr>
        <w:trPr>
          <w:trHeight w:val="30"/>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320" w:type="dxa"/>
            <w:vAlign w:val="bottom"/>
            <w:shd w:val="clear" w:color="auto" w:fill="CCCCCC"/>
          </w:tcPr>
          <w:p>
            <w:pPr>
              <w:spacing w:after="0"/>
              <w:rPr>
                <w:sz w:val="20"/>
                <w:szCs w:val="20"/>
                <w:color w:val="auto"/>
              </w:rPr>
            </w:pPr>
            <w:r>
              <w:rPr>
                <w:rFonts w:ascii="Arial" w:cs="Arial" w:eastAsia="Arial" w:hAnsi="Arial"/>
                <w:sz w:val="20"/>
                <w:szCs w:val="20"/>
                <w:color w:val="auto"/>
              </w:rPr>
              <w:t>Gain on sale of Liberty shares . . . . . . . . . . . . . . . . . . . . . . . . . . . . . . . .</w:t>
            </w:r>
          </w:p>
        </w:tc>
        <w:tc>
          <w:tcPr>
            <w:tcW w:w="26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89"/>
              </w:rPr>
              <w:t>$</w:t>
            </w: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325</w:t>
            </w:r>
          </w:p>
        </w:tc>
        <w:tc>
          <w:tcPr>
            <w:tcW w:w="280" w:type="dxa"/>
            <w:vAlign w:val="bottom"/>
            <w:shd w:val="clear" w:color="auto" w:fill="CCCCCC"/>
          </w:tcPr>
          <w:p>
            <w:pPr>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28</w:t>
            </w:r>
          </w:p>
        </w:tc>
      </w:tr>
      <w:tr>
        <w:trPr>
          <w:trHeight w:val="280"/>
        </w:trPr>
        <w:tc>
          <w:tcPr>
            <w:tcW w:w="6320" w:type="dxa"/>
            <w:vAlign w:val="bottom"/>
          </w:tcPr>
          <w:p>
            <w:pPr>
              <w:spacing w:after="0"/>
              <w:rPr>
                <w:sz w:val="20"/>
                <w:szCs w:val="20"/>
                <w:color w:val="auto"/>
              </w:rPr>
            </w:pPr>
            <w:r>
              <w:rPr>
                <w:rFonts w:ascii="Arial" w:cs="Arial" w:eastAsia="Arial" w:hAnsi="Arial"/>
                <w:sz w:val="20"/>
                <w:szCs w:val="20"/>
                <w:color w:val="auto"/>
              </w:rPr>
              <w:t>Loss on Blue Chip Swap transactions . . . . . . . . . . . . . . . . . . . . . . . . . .</w:t>
            </w:r>
          </w:p>
        </w:tc>
        <w:tc>
          <w:tcPr>
            <w:tcW w:w="2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(139)</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r>
      <w:tr>
        <w:trPr>
          <w:trHeight w:val="280"/>
        </w:trPr>
        <w:tc>
          <w:tcPr>
            <w:tcW w:w="6320" w:type="dxa"/>
            <w:vAlign w:val="bottom"/>
            <w:shd w:val="clear" w:color="auto" w:fill="CCCCCC"/>
          </w:tcPr>
          <w:p>
            <w:pPr>
              <w:spacing w:after="0"/>
              <w:rPr>
                <w:sz w:val="20"/>
                <w:szCs w:val="20"/>
                <w:color w:val="auto"/>
              </w:rPr>
            </w:pPr>
            <w:r>
              <w:rPr>
                <w:rFonts w:ascii="Arial" w:cs="Arial" w:eastAsia="Arial" w:hAnsi="Arial"/>
                <w:sz w:val="20"/>
                <w:szCs w:val="20"/>
                <w:color w:val="auto"/>
              </w:rPr>
              <w:t>Gain on ADC equity investment . . . . . . . . . . . . . . . . . . . . . . . . . . . . . . .</w:t>
            </w:r>
          </w:p>
        </w:tc>
        <w:tc>
          <w:tcPr>
            <w:tcW w:w="260" w:type="dxa"/>
            <w:vAlign w:val="bottom"/>
            <w:shd w:val="clear" w:color="auto" w:fill="CCCCCC"/>
          </w:tcPr>
          <w:p>
            <w:pPr>
              <w:spacing w:after="0"/>
              <w:rPr>
                <w:sz w:val="24"/>
                <w:szCs w:val="24"/>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107</w:t>
            </w:r>
          </w:p>
        </w:tc>
        <w:tc>
          <w:tcPr>
            <w:tcW w:w="28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CCCC"/>
          </w:tcPr>
          <w:p>
            <w:pPr>
              <w:spacing w:after="0"/>
              <w:rPr>
                <w:sz w:val="24"/>
                <w:szCs w:val="24"/>
                <w:color w:val="auto"/>
              </w:rPr>
            </w:pPr>
          </w:p>
        </w:tc>
      </w:tr>
      <w:tr>
        <w:trPr>
          <w:trHeight w:val="280"/>
        </w:trPr>
        <w:tc>
          <w:tcPr>
            <w:tcW w:w="6320" w:type="dxa"/>
            <w:vAlign w:val="bottom"/>
          </w:tcPr>
          <w:p>
            <w:pPr>
              <w:spacing w:after="0"/>
              <w:rPr>
                <w:sz w:val="20"/>
                <w:szCs w:val="20"/>
                <w:color w:val="auto"/>
              </w:rPr>
            </w:pPr>
            <w:r>
              <w:rPr>
                <w:rFonts w:ascii="Arial" w:cs="Arial" w:eastAsia="Arial" w:hAnsi="Arial"/>
                <w:sz w:val="20"/>
                <w:szCs w:val="20"/>
                <w:color w:val="auto"/>
              </w:rPr>
              <w:t>Earnings of equity method investments . . . . . . . . . . . . . . . . . . . . . . . . .</w:t>
            </w:r>
          </w:p>
        </w:tc>
        <w:tc>
          <w:tcPr>
            <w:tcW w:w="2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164</w:t>
            </w: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40</w:t>
            </w:r>
          </w:p>
        </w:tc>
      </w:tr>
      <w:tr>
        <w:trPr>
          <w:trHeight w:val="280"/>
        </w:trPr>
        <w:tc>
          <w:tcPr>
            <w:tcW w:w="6320" w:type="dxa"/>
            <w:vAlign w:val="bottom"/>
            <w:shd w:val="clear" w:color="auto" w:fill="CCCCCC"/>
          </w:tcPr>
          <w:p>
            <w:pPr>
              <w:spacing w:after="0"/>
              <w:rPr>
                <w:sz w:val="20"/>
                <w:szCs w:val="20"/>
                <w:color w:val="auto"/>
              </w:rPr>
            </w:pPr>
            <w:r>
              <w:rPr>
                <w:rFonts w:ascii="Arial" w:cs="Arial" w:eastAsia="Arial" w:hAnsi="Arial"/>
                <w:sz w:val="20"/>
                <w:szCs w:val="20"/>
                <w:color w:val="auto"/>
                <w:w w:val="99"/>
              </w:rPr>
              <w:t>Interest income  . . . . . . . . . . . . . . . . . . . . . . . . . . . . . . . . . . . . . . . . . . . .</w:t>
            </w:r>
          </w:p>
        </w:tc>
        <w:tc>
          <w:tcPr>
            <w:tcW w:w="260" w:type="dxa"/>
            <w:vAlign w:val="bottom"/>
            <w:shd w:val="clear" w:color="auto" w:fill="CCCCCC"/>
          </w:tcPr>
          <w:p>
            <w:pPr>
              <w:spacing w:after="0"/>
              <w:rPr>
                <w:sz w:val="24"/>
                <w:szCs w:val="24"/>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99</w:t>
            </w:r>
          </w:p>
        </w:tc>
        <w:tc>
          <w:tcPr>
            <w:tcW w:w="280" w:type="dxa"/>
            <w:vAlign w:val="bottom"/>
            <w:shd w:val="clear" w:color="auto" w:fill="CCCCCC"/>
          </w:tcPr>
          <w:p>
            <w:pPr>
              <w:spacing w:after="0"/>
              <w:rPr>
                <w:sz w:val="24"/>
                <w:szCs w:val="24"/>
                <w:color w:val="auto"/>
              </w:rPr>
            </w:pPr>
          </w:p>
        </w:tc>
        <w:tc>
          <w:tcPr>
            <w:tcW w:w="11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33</w:t>
            </w:r>
          </w:p>
        </w:tc>
      </w:tr>
      <w:tr>
        <w:trPr>
          <w:trHeight w:val="280"/>
        </w:trPr>
        <w:tc>
          <w:tcPr>
            <w:tcW w:w="6320" w:type="dxa"/>
            <w:vAlign w:val="bottom"/>
          </w:tcPr>
          <w:p>
            <w:pPr>
              <w:spacing w:after="0"/>
              <w:rPr>
                <w:sz w:val="20"/>
                <w:szCs w:val="20"/>
                <w:color w:val="auto"/>
              </w:rPr>
            </w:pPr>
            <w:r>
              <w:rPr>
                <w:rFonts w:ascii="Arial" w:cs="Arial" w:eastAsia="Arial" w:hAnsi="Arial"/>
                <w:sz w:val="20"/>
                <w:szCs w:val="20"/>
                <w:color w:val="auto"/>
              </w:rPr>
              <w:t>Gain on sale of real estate . . . . . . . . . . . . . . . . . . . . . . . . . . . . . . . . . . .</w:t>
            </w:r>
          </w:p>
        </w:tc>
        <w:tc>
          <w:tcPr>
            <w:tcW w:w="2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43</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r>
      <w:tr>
        <w:trPr>
          <w:trHeight w:val="280"/>
        </w:trPr>
        <w:tc>
          <w:tcPr>
            <w:tcW w:w="6320" w:type="dxa"/>
            <w:vAlign w:val="bottom"/>
            <w:shd w:val="clear" w:color="auto" w:fill="CCCCCC"/>
          </w:tcPr>
          <w:p>
            <w:pPr>
              <w:spacing w:after="0"/>
              <w:rPr>
                <w:sz w:val="20"/>
                <w:szCs w:val="20"/>
                <w:color w:val="auto"/>
              </w:rPr>
            </w:pPr>
            <w:r>
              <w:rPr>
                <w:rFonts w:ascii="Arial" w:cs="Arial" w:eastAsia="Arial" w:hAnsi="Arial"/>
                <w:sz w:val="20"/>
                <w:szCs w:val="20"/>
                <w:color w:val="auto"/>
              </w:rPr>
              <w:t>Gain on repurchase of bonds . . . . . . . . . . . . . . . . . . . . . . . . . . . . . . . . .</w:t>
            </w:r>
          </w:p>
        </w:tc>
        <w:tc>
          <w:tcPr>
            <w:tcW w:w="260" w:type="dxa"/>
            <w:vAlign w:val="bottom"/>
            <w:shd w:val="clear" w:color="auto" w:fill="CCCCCC"/>
          </w:tcPr>
          <w:p>
            <w:pPr>
              <w:spacing w:after="0"/>
              <w:rPr>
                <w:sz w:val="24"/>
                <w:szCs w:val="24"/>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11</w:t>
            </w:r>
          </w:p>
        </w:tc>
        <w:tc>
          <w:tcPr>
            <w:tcW w:w="28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CCCC"/>
          </w:tcPr>
          <w:p>
            <w:pPr>
              <w:spacing w:after="0"/>
              <w:rPr>
                <w:sz w:val="24"/>
                <w:szCs w:val="24"/>
                <w:color w:val="auto"/>
              </w:rPr>
            </w:pPr>
          </w:p>
        </w:tc>
      </w:tr>
      <w:tr>
        <w:trPr>
          <w:trHeight w:val="280"/>
        </w:trPr>
        <w:tc>
          <w:tcPr>
            <w:tcW w:w="6320" w:type="dxa"/>
            <w:vAlign w:val="bottom"/>
          </w:tcPr>
          <w:p>
            <w:pPr>
              <w:spacing w:after="0"/>
              <w:rPr>
                <w:sz w:val="20"/>
                <w:szCs w:val="20"/>
                <w:color w:val="auto"/>
              </w:rPr>
            </w:pPr>
            <w:r>
              <w:rPr>
                <w:rFonts w:ascii="Arial" w:cs="Arial" w:eastAsia="Arial" w:hAnsi="Arial"/>
                <w:sz w:val="20"/>
                <w:szCs w:val="20"/>
                <w:color w:val="auto"/>
              </w:rPr>
              <w:t>Unrealized gain on marketable securities . . . . . . . . . . . . . . . . . . . . . . .</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47</w:t>
            </w:r>
          </w:p>
        </w:tc>
      </w:tr>
      <w:tr>
        <w:trPr>
          <w:trHeight w:val="70"/>
        </w:trPr>
        <w:tc>
          <w:tcPr>
            <w:tcW w:w="63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0"/>
        </w:trPr>
        <w:tc>
          <w:tcPr>
            <w:tcW w:w="6320" w:type="dxa"/>
            <w:vAlign w:val="bottom"/>
            <w:shd w:val="clear" w:color="auto" w:fill="CCCCCC"/>
          </w:tcPr>
          <w:p>
            <w:pPr>
              <w:spacing w:after="0"/>
              <w:rPr>
                <w:sz w:val="23"/>
                <w:szCs w:val="23"/>
                <w:color w:val="auto"/>
              </w:rPr>
            </w:pPr>
          </w:p>
        </w:tc>
        <w:tc>
          <w:tcPr>
            <w:tcW w:w="26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89"/>
              </w:rPr>
              <w:t>$</w:t>
            </w: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610</w:t>
            </w:r>
          </w:p>
        </w:tc>
        <w:tc>
          <w:tcPr>
            <w:tcW w:w="280" w:type="dxa"/>
            <w:vAlign w:val="bottom"/>
            <w:shd w:val="clear" w:color="auto" w:fill="CCCCCC"/>
          </w:tcPr>
          <w:p>
            <w:pPr>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148</w:t>
            </w:r>
          </w:p>
        </w:tc>
      </w:tr>
      <w:tr>
        <w:trPr>
          <w:trHeight w:val="70"/>
        </w:trPr>
        <w:tc>
          <w:tcPr>
            <w:tcW w:w="63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During 2022, SLB sold 47.8 million of its shares of Liberty and recognized a gain of $325 million.</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During 2021, SLB sold 9.5 million of its shares of Liberty and recognized a gain of $28 million.</w:t>
      </w:r>
    </w:p>
    <w:p>
      <w:pPr>
        <w:spacing w:after="0" w:line="22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SLB’s functional currency in Argentina is the US dollar and it uses Argentina’s official exchange rate to remeasure its Argentine peso-denominated net assets into US dollars. The Central Bank of Argentina maintains certain currency controls that limit SLB’s ability to access US dollars in Argentina and remit cash from its Argentine operations. A legal indirect foreign exchange mechanism exists-in the form of capital market transactions known as Blue Chip Swaps, which effectively results in a parallel US dollar exchange rate. This parallel rate, which cannot be used as the basis to remeasure SLB’s net monetary assets in US dollars under US GAAP, was approximately 93% higher than Argentina’s official exchange rate at December 31, 2022. During the fourth quarter of 2022, SLB entered into Blue Chip Swap transactions that resulted in a loss of $139 million.</w:t>
      </w:r>
    </w:p>
    <w:p>
      <w:pPr>
        <w:spacing w:after="0" w:line="22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SLB’s peso-denominated net assets in Argentina were approximately $40 million at December 31, 2022 (as compared to approximately $270 million at September 30, 2022), primarily consisting of cash. If Argentina’s official exchange rate converges with the parallel rate, SLB would incur a loss on its peso-denominated net assets in Argentina. Additionally, SLB may enter into further Blue Chip Swap transactions in the future. Argentina represented less than 5% of SLB’s consolidated revenue in 2022.</w:t>
      </w:r>
    </w:p>
    <w:p>
      <w:pPr>
        <w:spacing w:after="0" w:line="22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has an investment in the Arabian Drilling Company (“ADC”), an onshore and offshore gas and oil rig drilling company in Saudi Arabia, that it accounts for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 ownership interest in ADC decreased from 49% to approximately 34%. SLB recognized a gain of $107 million, representing the gain on the sale of a portion of its interest as well as the effect of the ownership dilution of its equity investment due to the IPO.</w:t>
      </w:r>
    </w:p>
    <w:p>
      <w:pPr>
        <w:spacing w:after="0" w:line="22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increase in earnings of equity method investments in 2022 as compared to 2021 is primarily due to SLB’s investment in Liberty, as Liberty experienced net losses in 2021 as compared to net income in 2022, as well as higher earnings from SLB’s investment in ADC.</w:t>
      </w:r>
    </w:p>
    <w:p>
      <w:pPr>
        <w:spacing w:after="0" w:line="220"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The increase in interest income was primarily driven by the effect of higher cash and short-term investment balances and interest rates in Argentina. This increase was more than offset by</w:t>
      </w:r>
    </w:p>
    <w:p>
      <w:pPr>
        <w:sectPr>
          <w:pgSz w:w="12240" w:h="15840" w:orient="portrait"/>
          <w:cols w:equalWidth="0" w:num="1">
            <w:col w:w="9360"/>
          </w:cols>
          <w:pgMar w:left="1440" w:top="1440" w:right="1440" w:bottom="836"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9360"/>
          </w:cols>
          <w:pgMar w:left="1440" w:top="1440" w:right="1440" w:bottom="836" w:gutter="0" w:footer="0" w:header="0"/>
          <w:type w:val="continuous"/>
        </w:sectPr>
      </w:pPr>
    </w:p>
    <w:bookmarkStart w:id="51" w:name="page52"/>
    <w:bookmarkEnd w:id="51"/>
    <w:p>
      <w:pPr>
        <w:spacing w:after="0" w:line="5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approximately $100 million of foreign exchange losses recorded during 2022 ($13 million during 2021) relating to the remeasurement of Argentine peso-denominated net monetary assets as the official Argentine peso exchange rate devalued compared to the US dollar throughout 2022.</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During 2022, SLB sold certain real estate and recognized a gain of $43 million.</w:t>
      </w:r>
    </w:p>
    <w:p>
      <w:pPr>
        <w:spacing w:after="0" w:line="25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During the fourth quarter of 2022, SLB repurchased $395 million of its 3.75% Senior Notes due 2024 and $409 million of its 4.00% Senior Notes due 2025 for $790 million, resulting in a gain of $11 million after considering the write-off of the related deferred financing fees and other costs.</w:t>
      </w:r>
    </w:p>
    <w:p>
      <w:pPr>
        <w:spacing w:after="0" w:line="24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During 2021, a start-up company that SLB previously invested in was acquired. As a result of this transaction, SLB’s ownership interest was converted into shares of a publicly traded company. SLB recognized an unrealized pretax gain of $47 million to increase the carrying value of this investment to its estimated fair value of approximately $55 million.</w:t>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Interest Expense</w:t>
      </w:r>
    </w:p>
    <w:p>
      <w:pPr>
        <w:spacing w:after="0" w:line="13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Interest expense of $490 million in 2022 decreased $49 million compared to 2021 primarily as a result of the repayment of $1.7 billion and $2.1 billion of debt during 2022 and 2021, respectively.</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Other</w:t>
      </w:r>
    </w:p>
    <w:p>
      <w:pPr>
        <w:spacing w:after="0" w:line="132"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i w:val="1"/>
          <w:iCs w:val="1"/>
          <w:color w:val="auto"/>
        </w:rPr>
        <w:t xml:space="preserve">Research &amp; engineering </w:t>
      </w:r>
      <w:r>
        <w:rPr>
          <w:rFonts w:ascii="Arial" w:cs="Arial" w:eastAsia="Arial" w:hAnsi="Arial"/>
          <w:sz w:val="20"/>
          <w:szCs w:val="20"/>
          <w:color w:val="auto"/>
        </w:rPr>
        <w:t>and</w:t>
      </w:r>
      <w:r>
        <w:rPr>
          <w:rFonts w:ascii="Arial" w:cs="Arial" w:eastAsia="Arial" w:hAnsi="Arial"/>
          <w:sz w:val="20"/>
          <w:szCs w:val="20"/>
          <w:i w:val="1"/>
          <w:iCs w:val="1"/>
          <w:color w:val="auto"/>
        </w:rPr>
        <w:t xml:space="preserve"> General &amp; administrative </w:t>
      </w:r>
      <w:r>
        <w:rPr>
          <w:rFonts w:ascii="Arial" w:cs="Arial" w:eastAsia="Arial" w:hAnsi="Arial"/>
          <w:sz w:val="20"/>
          <w:szCs w:val="20"/>
          <w:color w:val="auto"/>
        </w:rPr>
        <w:t>expenses, as a percentage of</w:t>
      </w:r>
      <w:r>
        <w:rPr>
          <w:rFonts w:ascii="Arial" w:cs="Arial" w:eastAsia="Arial" w:hAnsi="Arial"/>
          <w:sz w:val="20"/>
          <w:szCs w:val="20"/>
          <w:i w:val="1"/>
          <w:iCs w:val="1"/>
          <w:color w:val="auto"/>
        </w:rPr>
        <w:t xml:space="preserve"> Revenue</w:t>
      </w:r>
      <w:r>
        <w:rPr>
          <w:rFonts w:ascii="Arial" w:cs="Arial" w:eastAsia="Arial" w:hAnsi="Arial"/>
          <w:sz w:val="20"/>
          <w:szCs w:val="20"/>
          <w:color w:val="auto"/>
        </w:rPr>
        <w:t>, were</w:t>
      </w:r>
      <w:r>
        <w:rPr>
          <w:rFonts w:ascii="Arial" w:cs="Arial" w:eastAsia="Arial" w:hAnsi="Arial"/>
          <w:sz w:val="20"/>
          <w:szCs w:val="20"/>
          <w:i w:val="1"/>
          <w:iCs w:val="1"/>
          <w:color w:val="auto"/>
        </w:rPr>
        <w:t xml:space="preserve"> </w:t>
      </w:r>
      <w:r>
        <w:rPr>
          <w:rFonts w:ascii="Arial" w:cs="Arial" w:eastAsia="Arial" w:hAnsi="Arial"/>
          <w:sz w:val="20"/>
          <w:szCs w:val="20"/>
          <w:color w:val="auto"/>
        </w:rPr>
        <w:t>as follows:</w:t>
      </w: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20"/>
                <w:szCs w:val="20"/>
                <w:b w:val="1"/>
                <w:bCs w:val="1"/>
                <w:color w:val="auto"/>
              </w:rPr>
              <w:t>2022</w:t>
            </w:r>
          </w:p>
        </w:tc>
        <w:tc>
          <w:tcPr>
            <w:tcW w:w="1000" w:type="dxa"/>
            <w:vAlign w:val="bottom"/>
            <w:gridSpan w:val="2"/>
          </w:tcPr>
          <w:p>
            <w:pPr>
              <w:jc w:val="right"/>
              <w:ind w:right="180"/>
              <w:spacing w:after="0"/>
              <w:rPr>
                <w:sz w:val="20"/>
                <w:szCs w:val="20"/>
                <w:color w:val="auto"/>
              </w:rPr>
            </w:pPr>
            <w:r>
              <w:rPr>
                <w:rFonts w:ascii="Arial" w:cs="Arial" w:eastAsia="Arial" w:hAnsi="Arial"/>
                <w:sz w:val="20"/>
                <w:szCs w:val="20"/>
                <w:color w:val="auto"/>
              </w:rPr>
              <w:t>2021</w:t>
            </w:r>
          </w:p>
        </w:tc>
      </w:tr>
      <w:tr>
        <w:trPr>
          <w:trHeight w:val="28"/>
        </w:trPr>
        <w:tc>
          <w:tcPr>
            <w:tcW w:w="7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0"/>
        </w:trPr>
        <w:tc>
          <w:tcPr>
            <w:tcW w:w="7320" w:type="dxa"/>
            <w:vAlign w:val="bottom"/>
            <w:shd w:val="clear" w:color="auto" w:fill="CCCCCC"/>
          </w:tcPr>
          <w:p>
            <w:pPr>
              <w:spacing w:after="0"/>
              <w:rPr>
                <w:sz w:val="20"/>
                <w:szCs w:val="20"/>
                <w:color w:val="auto"/>
              </w:rPr>
            </w:pPr>
            <w:r>
              <w:rPr>
                <w:rFonts w:ascii="Arial" w:cs="Arial" w:eastAsia="Arial" w:hAnsi="Arial"/>
                <w:sz w:val="20"/>
                <w:szCs w:val="20"/>
                <w:i w:val="1"/>
                <w:iCs w:val="1"/>
                <w:color w:val="auto"/>
                <w:w w:val="99"/>
              </w:rPr>
              <w:t xml:space="preserve">Research &amp; engineering  </w:t>
            </w:r>
            <w:r>
              <w:rPr>
                <w:rFonts w:ascii="Arial" w:cs="Arial" w:eastAsia="Arial" w:hAnsi="Arial"/>
                <w:sz w:val="20"/>
                <w:szCs w:val="20"/>
                <w:color w:val="auto"/>
                <w:w w:val="99"/>
              </w:rPr>
              <w:t>. . . . . . . . . . . . . . . . . . . . . . . . . . . . . . . . . . . . . . . . . . . . . .</w:t>
            </w:r>
          </w:p>
        </w:tc>
        <w:tc>
          <w:tcPr>
            <w:tcW w:w="8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2.3%</w:t>
            </w: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2.4%</w:t>
            </w:r>
          </w:p>
        </w:tc>
      </w:tr>
      <w:tr>
        <w:trPr>
          <w:trHeight w:val="282"/>
        </w:trPr>
        <w:tc>
          <w:tcPr>
            <w:tcW w:w="7320" w:type="dxa"/>
            <w:vAlign w:val="bottom"/>
          </w:tcPr>
          <w:p>
            <w:pPr>
              <w:spacing w:after="0"/>
              <w:rPr>
                <w:sz w:val="20"/>
                <w:szCs w:val="20"/>
                <w:color w:val="auto"/>
              </w:rPr>
            </w:pPr>
            <w:r>
              <w:rPr>
                <w:rFonts w:ascii="Arial" w:cs="Arial" w:eastAsia="Arial" w:hAnsi="Arial"/>
                <w:sz w:val="20"/>
                <w:szCs w:val="20"/>
                <w:i w:val="1"/>
                <w:iCs w:val="1"/>
                <w:color w:val="auto"/>
                <w:w w:val="99"/>
              </w:rPr>
              <w:t xml:space="preserve">General &amp; administrative </w:t>
            </w:r>
            <w:r>
              <w:rPr>
                <w:rFonts w:ascii="Arial" w:cs="Arial" w:eastAsia="Arial" w:hAnsi="Arial"/>
                <w:sz w:val="20"/>
                <w:szCs w:val="20"/>
                <w:color w:val="auto"/>
                <w:w w:val="99"/>
              </w:rPr>
              <w:t>. . . . . . . . . . . . . . . . . . . . . . . . . . . . . . . . . . . . . . . . . . . . . .</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1.3%</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1.5%</w:t>
            </w:r>
          </w:p>
        </w:tc>
      </w:tr>
    </w:tbl>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Income Taxes</w:t>
      </w:r>
    </w:p>
    <w:p>
      <w:pPr>
        <w:spacing w:after="0" w:line="13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SLB effective tax rate is sensitive to the geographic mix of earnings. When the percentage of pretax earnings generated outside of North America increases, the SLB effective tax rate generally decreases. Conversely, when the percentage of pretax earnings generated outside of North America decreases, the SLB effective tax rate generally increases.</w:t>
      </w:r>
    </w:p>
    <w:p>
      <w:pPr>
        <w:spacing w:after="0" w:line="24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 xml:space="preserve">The effective tax rate was 18% in 2022 as compared to 19% in 2021. The decrease in the effective tax rate was primarily due to the charges and credits described in Note 3 to the </w:t>
      </w:r>
      <w:r>
        <w:rPr>
          <w:rFonts w:ascii="Arial" w:cs="Arial" w:eastAsia="Arial" w:hAnsi="Arial"/>
          <w:sz w:val="20"/>
          <w:szCs w:val="20"/>
          <w:i w:val="1"/>
          <w:iCs w:val="1"/>
          <w:color w:val="auto"/>
        </w:rPr>
        <w:t>Consolidated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Statements</w:t>
      </w:r>
      <w:r>
        <w:rPr>
          <w:rFonts w:ascii="Arial" w:cs="Arial" w:eastAsia="Arial" w:hAnsi="Arial"/>
          <w:sz w:val="20"/>
          <w:szCs w:val="20"/>
          <w:color w:val="auto"/>
        </w:rPr>
        <w:t>. These charges and credits reduced the effective tax rate in 2022 by approximately one</w:t>
      </w:r>
      <w:r>
        <w:rPr>
          <w:rFonts w:ascii="Arial" w:cs="Arial" w:eastAsia="Arial" w:hAnsi="Arial"/>
          <w:sz w:val="20"/>
          <w:szCs w:val="20"/>
          <w:i w:val="1"/>
          <w:iCs w:val="1"/>
          <w:color w:val="auto"/>
        </w:rPr>
        <w:t xml:space="preserve"> </w:t>
      </w:r>
      <w:r>
        <w:rPr>
          <w:rFonts w:ascii="Arial" w:cs="Arial" w:eastAsia="Arial" w:hAnsi="Arial"/>
          <w:sz w:val="20"/>
          <w:szCs w:val="20"/>
          <w:color w:val="auto"/>
        </w:rPr>
        <w:t>percentage point.</w:t>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Charges and Credits</w:t>
      </w:r>
    </w:p>
    <w:p>
      <w:pPr>
        <w:spacing w:after="0" w:line="13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 xml:space="preserve">SLB recorded charges and credits during 2022 and 2021. These charges and credits, which are summarized below, are more fully described in Note 3 to the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9360"/>
          </w:cols>
          <w:pgMar w:left="1440" w:top="1440" w:right="1440" w:bottom="836" w:gutter="0" w:footer="0" w:header="0"/>
          <w:type w:val="continuous"/>
        </w:sectPr>
      </w:pPr>
    </w:p>
    <w:bookmarkStart w:id="52" w:name="page53"/>
    <w:bookmarkEnd w:id="52"/>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is a summary of the 2022 charges and credits: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64"/>
        </w:trPr>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Pretax</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Tax Benefit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6"/>
        </w:trPr>
        <w:tc>
          <w:tcPr>
            <w:tcW w:w="5000" w:type="dxa"/>
            <w:vAlign w:val="bottom"/>
          </w:tcPr>
          <w:p>
            <w:pPr>
              <w:spacing w:after="0"/>
              <w:rPr>
                <w:sz w:val="19"/>
                <w:szCs w:val="19"/>
                <w:color w:val="auto"/>
              </w:rPr>
            </w:pPr>
          </w:p>
        </w:tc>
        <w:tc>
          <w:tcPr>
            <w:tcW w:w="1580" w:type="dxa"/>
            <w:vAlign w:val="bottom"/>
            <w:gridSpan w:val="3"/>
          </w:tcPr>
          <w:p>
            <w:pPr>
              <w:spacing w:after="0" w:line="226" w:lineRule="exact"/>
              <w:rPr>
                <w:sz w:val="20"/>
                <w:szCs w:val="20"/>
                <w:color w:val="auto"/>
              </w:rPr>
            </w:pPr>
            <w:r>
              <w:rPr>
                <w:rFonts w:ascii="Arial" w:cs="Arial" w:eastAsia="Arial" w:hAnsi="Arial"/>
                <w:sz w:val="20"/>
                <w:szCs w:val="20"/>
                <w:color w:val="auto"/>
              </w:rPr>
              <w:t>Charge (Credit)</w:t>
            </w:r>
          </w:p>
        </w:tc>
        <w:tc>
          <w:tcPr>
            <w:tcW w:w="112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auto"/>
              </w:rPr>
              <w:t>(Expense)</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60"/>
              <w:spacing w:after="0" w:line="226" w:lineRule="exact"/>
              <w:rPr>
                <w:sz w:val="20"/>
                <w:szCs w:val="20"/>
                <w:color w:val="auto"/>
              </w:rPr>
            </w:pPr>
            <w:r>
              <w:rPr>
                <w:rFonts w:ascii="Arial" w:cs="Arial" w:eastAsia="Arial" w:hAnsi="Arial"/>
                <w:sz w:val="20"/>
                <w:szCs w:val="20"/>
                <w:color w:val="auto"/>
              </w:rPr>
              <w:t>Net</w:t>
            </w:r>
          </w:p>
        </w:tc>
      </w:tr>
      <w:tr>
        <w:trPr>
          <w:trHeight w:val="28"/>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5260" w:type="dxa"/>
            <w:vAlign w:val="bottom"/>
            <w:gridSpan w:val="2"/>
            <w:shd w:val="clear" w:color="auto" w:fill="CCCCCC"/>
          </w:tcPr>
          <w:p>
            <w:pPr>
              <w:spacing w:after="0"/>
              <w:rPr>
                <w:sz w:val="20"/>
                <w:szCs w:val="20"/>
                <w:color w:val="auto"/>
              </w:rPr>
            </w:pPr>
            <w:r>
              <w:rPr>
                <w:rFonts w:ascii="Arial" w:cs="Arial" w:eastAsia="Arial" w:hAnsi="Arial"/>
                <w:sz w:val="20"/>
                <w:szCs w:val="20"/>
                <w:i w:val="1"/>
                <w:iCs w:val="1"/>
                <w:color w:val="auto"/>
              </w:rPr>
              <w:t>First quarter:</w:t>
            </w:r>
          </w:p>
        </w:tc>
        <w:tc>
          <w:tcPr>
            <w:tcW w:w="112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440" w:type="dxa"/>
            <w:vAlign w:val="bottom"/>
            <w:shd w:val="clear" w:color="auto" w:fill="CCCCCC"/>
          </w:tcPr>
          <w:p>
            <w:pPr>
              <w:spacing w:after="0"/>
              <w:rPr>
                <w:sz w:val="23"/>
                <w:szCs w:val="23"/>
                <w:color w:val="auto"/>
              </w:rPr>
            </w:pPr>
          </w:p>
        </w:tc>
        <w:tc>
          <w:tcPr>
            <w:tcW w:w="68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280" w:type="dxa"/>
            <w:vAlign w:val="bottom"/>
            <w:shd w:val="clear" w:color="auto" w:fill="CCCCCC"/>
          </w:tcPr>
          <w:p>
            <w:pPr>
              <w:spacing w:after="0"/>
              <w:rPr>
                <w:sz w:val="23"/>
                <w:szCs w:val="23"/>
                <w:color w:val="auto"/>
              </w:rPr>
            </w:pPr>
          </w:p>
        </w:tc>
        <w:tc>
          <w:tcPr>
            <w:tcW w:w="940" w:type="dxa"/>
            <w:vAlign w:val="bottom"/>
            <w:shd w:val="clear" w:color="auto" w:fill="CCCCCC"/>
          </w:tcPr>
          <w:p>
            <w:pPr>
              <w:spacing w:after="0"/>
              <w:rPr>
                <w:sz w:val="23"/>
                <w:szCs w:val="23"/>
                <w:color w:val="auto"/>
              </w:rPr>
            </w:pPr>
          </w:p>
        </w:tc>
      </w:tr>
      <w:tr>
        <w:trPr>
          <w:trHeight w:val="280"/>
        </w:trPr>
        <w:tc>
          <w:tcPr>
            <w:tcW w:w="5260" w:type="dxa"/>
            <w:vAlign w:val="bottom"/>
            <w:gridSpan w:val="2"/>
          </w:tcPr>
          <w:p>
            <w:pPr>
              <w:ind w:left="300"/>
              <w:spacing w:after="0"/>
              <w:rPr>
                <w:sz w:val="20"/>
                <w:szCs w:val="20"/>
                <w:color w:val="auto"/>
              </w:rPr>
            </w:pPr>
            <w:r>
              <w:rPr>
                <w:rFonts w:ascii="Arial" w:cs="Arial" w:eastAsia="Arial" w:hAnsi="Arial"/>
                <w:sz w:val="20"/>
                <w:szCs w:val="20"/>
                <w:color w:val="auto"/>
              </w:rPr>
              <w:t>Gain on sale of Liberty shares . . . . . . . . . . . . . . . . .</w:t>
            </w:r>
          </w:p>
        </w:tc>
        <w:tc>
          <w:tcPr>
            <w:tcW w:w="1120" w:type="dxa"/>
            <w:vAlign w:val="bottom"/>
          </w:tcPr>
          <w:p>
            <w:pPr>
              <w:jc w:val="right"/>
              <w:spacing w:after="0"/>
              <w:rPr>
                <w:sz w:val="20"/>
                <w:szCs w:val="20"/>
                <w:color w:val="auto"/>
              </w:rPr>
            </w:pPr>
            <w:r>
              <w:rPr>
                <w:rFonts w:ascii="Arial" w:cs="Arial" w:eastAsia="Arial" w:hAnsi="Arial"/>
                <w:sz w:val="20"/>
                <w:szCs w:val="20"/>
                <w:color w:val="auto"/>
              </w:rPr>
              <w:t>$(26)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0"/>
        </w:trPr>
        <w:tc>
          <w:tcPr>
            <w:tcW w:w="5260" w:type="dxa"/>
            <w:vAlign w:val="bottom"/>
            <w:gridSpan w:val="2"/>
            <w:shd w:val="clear" w:color="auto" w:fill="CCCCCC"/>
          </w:tcPr>
          <w:p>
            <w:pPr>
              <w:spacing w:after="0"/>
              <w:rPr>
                <w:sz w:val="20"/>
                <w:szCs w:val="20"/>
                <w:color w:val="auto"/>
              </w:rPr>
            </w:pPr>
            <w:r>
              <w:rPr>
                <w:rFonts w:ascii="Arial" w:cs="Arial" w:eastAsia="Arial" w:hAnsi="Arial"/>
                <w:sz w:val="20"/>
                <w:szCs w:val="20"/>
                <w:i w:val="1"/>
                <w:iCs w:val="1"/>
                <w:color w:val="auto"/>
              </w:rPr>
              <w:t>Second quarter:</w:t>
            </w:r>
          </w:p>
        </w:tc>
        <w:tc>
          <w:tcPr>
            <w:tcW w:w="11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6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940" w:type="dxa"/>
            <w:vAlign w:val="bottom"/>
            <w:shd w:val="clear" w:color="auto" w:fill="CCCCCC"/>
          </w:tcPr>
          <w:p>
            <w:pPr>
              <w:spacing w:after="0"/>
              <w:rPr>
                <w:sz w:val="24"/>
                <w:szCs w:val="24"/>
                <w:color w:val="auto"/>
              </w:rPr>
            </w:pPr>
          </w:p>
        </w:tc>
      </w:tr>
      <w:tr>
        <w:trPr>
          <w:trHeight w:val="280"/>
        </w:trPr>
        <w:tc>
          <w:tcPr>
            <w:tcW w:w="5260" w:type="dxa"/>
            <w:vAlign w:val="bottom"/>
            <w:gridSpan w:val="2"/>
          </w:tcPr>
          <w:p>
            <w:pPr>
              <w:ind w:left="300"/>
              <w:spacing w:after="0"/>
              <w:rPr>
                <w:sz w:val="20"/>
                <w:szCs w:val="20"/>
                <w:color w:val="auto"/>
              </w:rPr>
            </w:pPr>
            <w:r>
              <w:rPr>
                <w:rFonts w:ascii="Arial" w:cs="Arial" w:eastAsia="Arial" w:hAnsi="Arial"/>
                <w:sz w:val="20"/>
                <w:szCs w:val="20"/>
                <w:color w:val="auto"/>
              </w:rPr>
              <w:t>Gain on sale of Liberty shares . . . . . . . . . . . . . . . . .</w:t>
            </w:r>
          </w:p>
        </w:tc>
        <w:tc>
          <w:tcPr>
            <w:tcW w:w="1120" w:type="dxa"/>
            <w:vAlign w:val="bottom"/>
          </w:tcPr>
          <w:p>
            <w:pPr>
              <w:jc w:val="right"/>
              <w:spacing w:after="0"/>
              <w:rPr>
                <w:sz w:val="20"/>
                <w:szCs w:val="20"/>
                <w:color w:val="auto"/>
              </w:rPr>
            </w:pPr>
            <w:r>
              <w:rPr>
                <w:rFonts w:ascii="Arial" w:cs="Arial" w:eastAsia="Arial" w:hAnsi="Arial"/>
                <w:sz w:val="20"/>
                <w:szCs w:val="20"/>
                <w:color w:val="auto"/>
              </w:rPr>
              <w:t>(215)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(201)</w:t>
            </w:r>
          </w:p>
        </w:tc>
      </w:tr>
      <w:tr>
        <w:trPr>
          <w:trHeight w:val="280"/>
        </w:trPr>
        <w:tc>
          <w:tcPr>
            <w:tcW w:w="5260" w:type="dxa"/>
            <w:vAlign w:val="bottom"/>
            <w:gridSpan w:val="2"/>
            <w:shd w:val="clear" w:color="auto" w:fill="CCCCCC"/>
          </w:tcPr>
          <w:p>
            <w:pPr>
              <w:ind w:left="300"/>
              <w:spacing w:after="0"/>
              <w:rPr>
                <w:sz w:val="20"/>
                <w:szCs w:val="20"/>
                <w:color w:val="auto"/>
              </w:rPr>
            </w:pPr>
            <w:r>
              <w:rPr>
                <w:rFonts w:ascii="Arial" w:cs="Arial" w:eastAsia="Arial" w:hAnsi="Arial"/>
                <w:sz w:val="20"/>
                <w:szCs w:val="20"/>
                <w:color w:val="auto"/>
              </w:rPr>
              <w:t>Gain on sale of real estate . . . . . . . . . . . . . . . . . . . .</w:t>
            </w: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(43)</w:t>
            </w:r>
          </w:p>
        </w:tc>
        <w:tc>
          <w:tcPr>
            <w:tcW w:w="20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(41)</w:t>
            </w:r>
          </w:p>
        </w:tc>
      </w:tr>
      <w:tr>
        <w:trPr>
          <w:trHeight w:val="280"/>
        </w:trPr>
        <w:tc>
          <w:tcPr>
            <w:tcW w:w="5260" w:type="dxa"/>
            <w:vAlign w:val="bottom"/>
            <w:gridSpan w:val="2"/>
          </w:tcPr>
          <w:p>
            <w:pPr>
              <w:spacing w:after="0"/>
              <w:rPr>
                <w:sz w:val="20"/>
                <w:szCs w:val="20"/>
                <w:color w:val="auto"/>
              </w:rPr>
            </w:pPr>
            <w:r>
              <w:rPr>
                <w:rFonts w:ascii="Arial" w:cs="Arial" w:eastAsia="Arial" w:hAnsi="Arial"/>
                <w:sz w:val="20"/>
                <w:szCs w:val="20"/>
                <w:i w:val="1"/>
                <w:iCs w:val="1"/>
                <w:color w:val="auto"/>
              </w:rPr>
              <w:t>Fourth quarter:</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0"/>
        </w:trPr>
        <w:tc>
          <w:tcPr>
            <w:tcW w:w="5260" w:type="dxa"/>
            <w:vAlign w:val="bottom"/>
            <w:gridSpan w:val="2"/>
            <w:shd w:val="clear" w:color="auto" w:fill="CCCCCC"/>
          </w:tcPr>
          <w:p>
            <w:pPr>
              <w:ind w:left="300"/>
              <w:spacing w:after="0"/>
              <w:rPr>
                <w:sz w:val="20"/>
                <w:szCs w:val="20"/>
                <w:color w:val="auto"/>
              </w:rPr>
            </w:pPr>
            <w:r>
              <w:rPr>
                <w:rFonts w:ascii="Arial" w:cs="Arial" w:eastAsia="Arial" w:hAnsi="Arial"/>
                <w:sz w:val="20"/>
                <w:szCs w:val="20"/>
                <w:color w:val="auto"/>
              </w:rPr>
              <w:t>Gain on sale of Liberty shares . . . . . . . . . . . . . . . . .</w:t>
            </w: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(84)</w:t>
            </w:r>
          </w:p>
        </w:tc>
        <w:tc>
          <w:tcPr>
            <w:tcW w:w="20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(19)</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(65)</w:t>
            </w:r>
          </w:p>
        </w:tc>
      </w:tr>
      <w:tr>
        <w:trPr>
          <w:trHeight w:val="280"/>
        </w:trPr>
        <w:tc>
          <w:tcPr>
            <w:tcW w:w="5260" w:type="dxa"/>
            <w:vAlign w:val="bottom"/>
            <w:gridSpan w:val="2"/>
          </w:tcPr>
          <w:p>
            <w:pPr>
              <w:ind w:left="300"/>
              <w:spacing w:after="0"/>
              <w:rPr>
                <w:sz w:val="20"/>
                <w:szCs w:val="20"/>
                <w:color w:val="auto"/>
              </w:rPr>
            </w:pPr>
            <w:r>
              <w:rPr>
                <w:rFonts w:ascii="Arial" w:cs="Arial" w:eastAsia="Arial" w:hAnsi="Arial"/>
                <w:sz w:val="20"/>
                <w:szCs w:val="20"/>
                <w:color w:val="auto"/>
              </w:rPr>
              <w:t>Loss on Blue Chip Swap transactions . . . . . . . . . . .</w:t>
            </w:r>
          </w:p>
        </w:tc>
        <w:tc>
          <w:tcPr>
            <w:tcW w:w="1320" w:type="dxa"/>
            <w:vAlign w:val="bottom"/>
            <w:gridSpan w:val="2"/>
          </w:tcPr>
          <w:p>
            <w:pPr>
              <w:jc w:val="right"/>
              <w:ind w:right="200"/>
              <w:spacing w:after="0"/>
              <w:rPr>
                <w:sz w:val="20"/>
                <w:szCs w:val="20"/>
                <w:color w:val="auto"/>
              </w:rPr>
            </w:pPr>
            <w:r>
              <w:rPr>
                <w:rFonts w:ascii="Arial" w:cs="Arial" w:eastAsia="Arial" w:hAnsi="Arial"/>
                <w:sz w:val="20"/>
                <w:szCs w:val="20"/>
                <w:color w:val="auto"/>
              </w:rPr>
              <w:t>139</w:t>
            </w: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0"/>
        </w:trPr>
        <w:tc>
          <w:tcPr>
            <w:tcW w:w="5260" w:type="dxa"/>
            <w:vAlign w:val="bottom"/>
            <w:gridSpan w:val="2"/>
            <w:shd w:val="clear" w:color="auto" w:fill="CCCCCC"/>
          </w:tcPr>
          <w:p>
            <w:pPr>
              <w:ind w:left="300"/>
              <w:spacing w:after="0"/>
              <w:rPr>
                <w:sz w:val="20"/>
                <w:szCs w:val="20"/>
                <w:color w:val="auto"/>
              </w:rPr>
            </w:pPr>
            <w:r>
              <w:rPr>
                <w:rFonts w:ascii="Arial" w:cs="Arial" w:eastAsia="Arial" w:hAnsi="Arial"/>
                <w:sz w:val="20"/>
                <w:szCs w:val="20"/>
                <w:color w:val="auto"/>
              </w:rPr>
              <w:t>Gain on ADC equity investment . . . . . . . . . . . . . . . .</w:t>
            </w: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(107)</w:t>
            </w:r>
          </w:p>
        </w:tc>
        <w:tc>
          <w:tcPr>
            <w:tcW w:w="20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(104)</w:t>
            </w:r>
          </w:p>
        </w:tc>
      </w:tr>
      <w:tr>
        <w:trPr>
          <w:trHeight w:val="282"/>
        </w:trPr>
        <w:tc>
          <w:tcPr>
            <w:tcW w:w="5260" w:type="dxa"/>
            <w:vAlign w:val="bottom"/>
            <w:gridSpan w:val="2"/>
          </w:tcPr>
          <w:p>
            <w:pPr>
              <w:ind w:left="300"/>
              <w:spacing w:after="0"/>
              <w:rPr>
                <w:sz w:val="20"/>
                <w:szCs w:val="20"/>
                <w:color w:val="auto"/>
              </w:rPr>
            </w:pPr>
            <w:r>
              <w:rPr>
                <w:rFonts w:ascii="Arial" w:cs="Arial" w:eastAsia="Arial" w:hAnsi="Arial"/>
                <w:sz w:val="20"/>
                <w:szCs w:val="20"/>
                <w:color w:val="auto"/>
              </w:rPr>
              <w:t>Gain on repurchase of bonds . . . . . . . . . . . . . . . . . .</w:t>
            </w:r>
          </w:p>
        </w:tc>
        <w:tc>
          <w:tcPr>
            <w:tcW w:w="1120" w:type="dxa"/>
            <w:vAlign w:val="bottom"/>
          </w:tcPr>
          <w:p>
            <w:pPr>
              <w:jc w:val="right"/>
              <w:spacing w:after="0"/>
              <w:rPr>
                <w:sz w:val="20"/>
                <w:szCs w:val="20"/>
                <w:color w:val="auto"/>
              </w:rPr>
            </w:pPr>
            <w:r>
              <w:rPr>
                <w:rFonts w:ascii="Arial" w:cs="Arial" w:eastAsia="Arial" w:hAnsi="Arial"/>
                <w:sz w:val="20"/>
                <w:szCs w:val="20"/>
                <w:color w:val="auto"/>
              </w:rPr>
              <w:t>(11)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68"/>
        </w:trPr>
        <w:tc>
          <w:tcPr>
            <w:tcW w:w="50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70"/>
        </w:trPr>
        <w:tc>
          <w:tcPr>
            <w:tcW w:w="5260" w:type="dxa"/>
            <w:vAlign w:val="bottom"/>
            <w:gridSpan w:val="2"/>
            <w:shd w:val="clear" w:color="auto" w:fill="CCCCCC"/>
          </w:tcPr>
          <w:p>
            <w:pPr>
              <w:ind w:left="50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(347)</w:t>
            </w:r>
          </w:p>
        </w:tc>
        <w:tc>
          <w:tcPr>
            <w:tcW w:w="200" w:type="dxa"/>
            <w:vAlign w:val="bottom"/>
            <w:shd w:val="clear" w:color="auto" w:fill="CCCCCC"/>
          </w:tcPr>
          <w:p>
            <w:pPr>
              <w:spacing w:after="0"/>
              <w:rPr>
                <w:sz w:val="23"/>
                <w:szCs w:val="23"/>
                <w:color w:val="auto"/>
              </w:rPr>
            </w:pPr>
          </w:p>
        </w:tc>
        <w:tc>
          <w:tcPr>
            <w:tcW w:w="440" w:type="dxa"/>
            <w:vAlign w:val="bottom"/>
            <w:shd w:val="clear" w:color="auto" w:fill="CCCCCC"/>
          </w:tcPr>
          <w:p>
            <w:pPr>
              <w:jc w:val="right"/>
              <w:ind w:right="240"/>
              <w:spacing w:after="0"/>
              <w:rPr>
                <w:sz w:val="20"/>
                <w:szCs w:val="20"/>
                <w:color w:val="auto"/>
              </w:rPr>
            </w:pPr>
            <w:r>
              <w:rPr>
                <w:rFonts w:ascii="Arial" w:cs="Arial" w:eastAsia="Arial" w:hAnsi="Arial"/>
                <w:sz w:val="20"/>
                <w:szCs w:val="20"/>
                <w:color w:val="auto"/>
                <w:w w:val="71"/>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(44)</w:t>
            </w:r>
          </w:p>
        </w:tc>
        <w:tc>
          <w:tcPr>
            <w:tcW w:w="480" w:type="dxa"/>
            <w:vAlign w:val="bottom"/>
            <w:gridSpan w:val="2"/>
            <w:shd w:val="clear" w:color="auto" w:fill="CCCCCC"/>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(303)</w:t>
            </w:r>
          </w:p>
        </w:tc>
      </w:tr>
      <w:tr>
        <w:trPr>
          <w:trHeight w:val="70"/>
        </w:trPr>
        <w:tc>
          <w:tcPr>
            <w:tcW w:w="50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is a summary of the 2021 charges and credits: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5"/>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6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20"/>
                <w:szCs w:val="20"/>
                <w:color w:val="auto"/>
              </w:rPr>
              <w:t>Pretax</w:t>
            </w:r>
          </w:p>
        </w:tc>
        <w:tc>
          <w:tcPr>
            <w:tcW w:w="1320" w:type="dxa"/>
            <w:vAlign w:val="bottom"/>
            <w:gridSpan w:val="3"/>
          </w:tcPr>
          <w:p>
            <w:pPr>
              <w:jc w:val="right"/>
              <w:ind w:right="260"/>
              <w:spacing w:after="0"/>
              <w:rPr>
                <w:sz w:val="20"/>
                <w:szCs w:val="20"/>
                <w:color w:val="auto"/>
              </w:rPr>
            </w:pPr>
            <w:r>
              <w:rPr>
                <w:rFonts w:ascii="Arial" w:cs="Arial" w:eastAsia="Arial" w:hAnsi="Arial"/>
                <w:sz w:val="20"/>
                <w:szCs w:val="20"/>
                <w:color w:val="auto"/>
              </w:rPr>
              <w:t>Tax Benefit</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5120" w:type="dxa"/>
            <w:vAlign w:val="bottom"/>
          </w:tcPr>
          <w:p>
            <w:pPr>
              <w:spacing w:after="0"/>
              <w:rPr>
                <w:sz w:val="19"/>
                <w:szCs w:val="19"/>
                <w:color w:val="auto"/>
              </w:rPr>
            </w:pPr>
          </w:p>
        </w:tc>
        <w:tc>
          <w:tcPr>
            <w:tcW w:w="1580" w:type="dxa"/>
            <w:vAlign w:val="bottom"/>
            <w:gridSpan w:val="3"/>
          </w:tcPr>
          <w:p>
            <w:pPr>
              <w:spacing w:after="0" w:line="226" w:lineRule="exact"/>
              <w:rPr>
                <w:sz w:val="20"/>
                <w:szCs w:val="20"/>
                <w:color w:val="auto"/>
              </w:rPr>
            </w:pPr>
            <w:r>
              <w:rPr>
                <w:rFonts w:ascii="Arial" w:cs="Arial" w:eastAsia="Arial" w:hAnsi="Arial"/>
                <w:sz w:val="20"/>
                <w:szCs w:val="20"/>
                <w:color w:val="auto"/>
              </w:rPr>
              <w:t>Charge (Credit)</w:t>
            </w:r>
          </w:p>
        </w:tc>
        <w:tc>
          <w:tcPr>
            <w:tcW w:w="1320" w:type="dxa"/>
            <w:vAlign w:val="bottom"/>
            <w:gridSpan w:val="3"/>
          </w:tcPr>
          <w:p>
            <w:pPr>
              <w:jc w:val="right"/>
              <w:ind w:right="320"/>
              <w:spacing w:after="0" w:line="226" w:lineRule="exact"/>
              <w:rPr>
                <w:sz w:val="20"/>
                <w:szCs w:val="20"/>
                <w:color w:val="auto"/>
              </w:rPr>
            </w:pPr>
            <w:r>
              <w:rPr>
                <w:rFonts w:ascii="Arial" w:cs="Arial" w:eastAsia="Arial" w:hAnsi="Arial"/>
                <w:sz w:val="20"/>
                <w:szCs w:val="20"/>
                <w:color w:val="auto"/>
              </w:rPr>
              <w:t>(Expense)</w:t>
            </w:r>
          </w:p>
        </w:tc>
        <w:tc>
          <w:tcPr>
            <w:tcW w:w="240" w:type="dxa"/>
            <w:vAlign w:val="bottom"/>
          </w:tcPr>
          <w:p>
            <w:pPr>
              <w:spacing w:after="0"/>
              <w:rPr>
                <w:sz w:val="19"/>
                <w:szCs w:val="19"/>
                <w:color w:val="auto"/>
              </w:rPr>
            </w:pPr>
          </w:p>
        </w:tc>
        <w:tc>
          <w:tcPr>
            <w:tcW w:w="860" w:type="dxa"/>
            <w:vAlign w:val="bottom"/>
            <w:gridSpan w:val="2"/>
          </w:tcPr>
          <w:p>
            <w:pPr>
              <w:jc w:val="right"/>
              <w:ind w:right="420"/>
              <w:spacing w:after="0" w:line="226" w:lineRule="exact"/>
              <w:rPr>
                <w:sz w:val="20"/>
                <w:szCs w:val="20"/>
                <w:color w:val="auto"/>
              </w:rPr>
            </w:pPr>
            <w:r>
              <w:rPr>
                <w:rFonts w:ascii="Arial" w:cs="Arial" w:eastAsia="Arial" w:hAnsi="Arial"/>
                <w:sz w:val="20"/>
                <w:szCs w:val="20"/>
                <w:color w:val="auto"/>
              </w:rPr>
              <w:t>Net</w:t>
            </w:r>
          </w:p>
        </w:tc>
      </w:tr>
      <w:tr>
        <w:trPr>
          <w:trHeight w:val="28"/>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12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Third quarter:</w:t>
            </w:r>
          </w:p>
        </w:tc>
        <w:tc>
          <w:tcPr>
            <w:tcW w:w="260" w:type="dxa"/>
            <w:vAlign w:val="bottom"/>
            <w:shd w:val="clear" w:color="auto" w:fill="CCCCCC"/>
          </w:tcPr>
          <w:p>
            <w:pPr>
              <w:spacing w:after="0"/>
              <w:rPr>
                <w:sz w:val="23"/>
                <w:szCs w:val="23"/>
                <w:color w:val="auto"/>
              </w:rPr>
            </w:pPr>
          </w:p>
        </w:tc>
        <w:tc>
          <w:tcPr>
            <w:tcW w:w="112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420" w:type="dxa"/>
            <w:vAlign w:val="bottom"/>
            <w:shd w:val="clear" w:color="auto" w:fill="CCCCCC"/>
          </w:tcPr>
          <w:p>
            <w:pPr>
              <w:spacing w:after="0"/>
              <w:rPr>
                <w:sz w:val="23"/>
                <w:szCs w:val="23"/>
                <w:color w:val="auto"/>
              </w:rPr>
            </w:pPr>
          </w:p>
        </w:tc>
        <w:tc>
          <w:tcPr>
            <w:tcW w:w="70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240" w:type="dxa"/>
            <w:vAlign w:val="bottom"/>
            <w:shd w:val="clear" w:color="auto" w:fill="CCCCCC"/>
          </w:tcPr>
          <w:p>
            <w:pPr>
              <w:spacing w:after="0"/>
              <w:rPr>
                <w:sz w:val="23"/>
                <w:szCs w:val="23"/>
                <w:color w:val="auto"/>
              </w:rPr>
            </w:pPr>
          </w:p>
        </w:tc>
        <w:tc>
          <w:tcPr>
            <w:tcW w:w="80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r>
      <w:tr>
        <w:trPr>
          <w:trHeight w:val="280"/>
        </w:trPr>
        <w:tc>
          <w:tcPr>
            <w:tcW w:w="5120" w:type="dxa"/>
            <w:vAlign w:val="bottom"/>
          </w:tcPr>
          <w:p>
            <w:pPr>
              <w:ind w:left="300"/>
              <w:spacing w:after="0"/>
              <w:rPr>
                <w:sz w:val="20"/>
                <w:szCs w:val="20"/>
                <w:color w:val="auto"/>
              </w:rPr>
            </w:pPr>
            <w:r>
              <w:rPr>
                <w:rFonts w:ascii="Arial" w:cs="Arial" w:eastAsia="Arial" w:hAnsi="Arial"/>
                <w:sz w:val="20"/>
                <w:szCs w:val="20"/>
                <w:color w:val="auto"/>
              </w:rPr>
              <w:t>Unrealized gain on marketable securities . . . . . . . . .</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(47)</w:t>
            </w:r>
          </w:p>
        </w:tc>
        <w:tc>
          <w:tcPr>
            <w:tcW w:w="420" w:type="dxa"/>
            <w:vAlign w:val="bottom"/>
          </w:tcPr>
          <w:p>
            <w:pPr>
              <w:jc w:val="right"/>
              <w:ind w:right="220"/>
              <w:spacing w:after="0"/>
              <w:rPr>
                <w:sz w:val="20"/>
                <w:szCs w:val="20"/>
                <w:color w:val="auto"/>
              </w:rPr>
            </w:pPr>
            <w:r>
              <w:rPr>
                <w:rFonts w:ascii="Arial" w:cs="Arial" w:eastAsia="Arial" w:hAnsi="Arial"/>
                <w:sz w:val="20"/>
                <w:szCs w:val="2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20"/>
                <w:szCs w:val="20"/>
                <w:color w:val="auto"/>
              </w:rPr>
              <w:t>(11)</w:t>
            </w: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280"/>
        </w:trPr>
        <w:tc>
          <w:tcPr>
            <w:tcW w:w="512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Fourth quarter:</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7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240" w:type="dxa"/>
            <w:vAlign w:val="bottom"/>
            <w:shd w:val="clear" w:color="auto" w:fill="CCCCCC"/>
          </w:tcPr>
          <w:p>
            <w:pPr>
              <w:spacing w:after="0"/>
              <w:rPr>
                <w:sz w:val="24"/>
                <w:szCs w:val="24"/>
                <w:color w:val="auto"/>
              </w:rPr>
            </w:pPr>
          </w:p>
        </w:tc>
        <w:tc>
          <w:tcPr>
            <w:tcW w:w="80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r>
      <w:tr>
        <w:trPr>
          <w:trHeight w:val="280"/>
        </w:trPr>
        <w:tc>
          <w:tcPr>
            <w:tcW w:w="5120" w:type="dxa"/>
            <w:vAlign w:val="bottom"/>
          </w:tcPr>
          <w:p>
            <w:pPr>
              <w:ind w:left="300"/>
              <w:spacing w:after="0"/>
              <w:rPr>
                <w:sz w:val="20"/>
                <w:szCs w:val="20"/>
                <w:color w:val="auto"/>
              </w:rPr>
            </w:pPr>
            <w:r>
              <w:rPr>
                <w:rFonts w:ascii="Arial" w:cs="Arial" w:eastAsia="Arial" w:hAnsi="Arial"/>
                <w:sz w:val="20"/>
                <w:szCs w:val="20"/>
                <w:color w:val="auto"/>
              </w:rPr>
              <w:t>Gain on sale of Liberty shares . . . . . . . . . . . . . . . . . .</w:t>
            </w:r>
          </w:p>
        </w:tc>
        <w:tc>
          <w:tcPr>
            <w:tcW w:w="26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(28)</w:t>
            </w:r>
          </w:p>
        </w:tc>
        <w:tc>
          <w:tcPr>
            <w:tcW w:w="4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20"/>
                <w:szCs w:val="20"/>
                <w:color w:val="auto"/>
              </w:rPr>
              <w:t>(4)</w:t>
            </w: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80"/>
        </w:trPr>
        <w:tc>
          <w:tcPr>
            <w:tcW w:w="5120" w:type="dxa"/>
            <w:vAlign w:val="bottom"/>
            <w:shd w:val="clear" w:color="auto" w:fill="CCCCCC"/>
          </w:tcPr>
          <w:p>
            <w:pPr>
              <w:ind w:left="300"/>
              <w:spacing w:after="0"/>
              <w:rPr>
                <w:sz w:val="20"/>
                <w:szCs w:val="20"/>
                <w:color w:val="auto"/>
              </w:rPr>
            </w:pPr>
            <w:r>
              <w:rPr>
                <w:rFonts w:ascii="Arial" w:cs="Arial" w:eastAsia="Arial" w:hAnsi="Arial"/>
                <w:sz w:val="20"/>
                <w:szCs w:val="20"/>
                <w:color w:val="auto"/>
              </w:rPr>
              <w:t>Early repayment of bonds . . . . . . . . . . . . . . . . . . . . . .</w:t>
            </w:r>
          </w:p>
        </w:tc>
        <w:tc>
          <w:tcPr>
            <w:tcW w:w="260" w:type="dxa"/>
            <w:vAlign w:val="bottom"/>
            <w:shd w:val="clear" w:color="auto" w:fill="CCCCCC"/>
          </w:tcPr>
          <w:p>
            <w:pPr>
              <w:spacing w:after="0"/>
              <w:rPr>
                <w:sz w:val="24"/>
                <w:szCs w:val="24"/>
                <w:color w:val="auto"/>
              </w:rPr>
            </w:pPr>
          </w:p>
        </w:tc>
        <w:tc>
          <w:tcPr>
            <w:tcW w:w="13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10</w:t>
            </w:r>
          </w:p>
        </w:tc>
        <w:tc>
          <w:tcPr>
            <w:tcW w:w="42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240" w:type="dxa"/>
            <w:vAlign w:val="bottom"/>
            <w:shd w:val="clear" w:color="auto" w:fill="CCCCCC"/>
          </w:tcPr>
          <w:p>
            <w:pPr>
              <w:spacing w:after="0"/>
              <w:rPr>
                <w:sz w:val="24"/>
                <w:szCs w:val="24"/>
                <w:color w:val="auto"/>
              </w:rPr>
            </w:pPr>
          </w:p>
        </w:tc>
        <w:tc>
          <w:tcPr>
            <w:tcW w:w="86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10</w:t>
            </w:r>
          </w:p>
        </w:tc>
      </w:tr>
      <w:tr>
        <w:trPr>
          <w:trHeight w:val="70"/>
        </w:trPr>
        <w:tc>
          <w:tcPr>
            <w:tcW w:w="5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2"/>
        </w:trPr>
        <w:tc>
          <w:tcPr>
            <w:tcW w:w="51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(65)</w:t>
            </w:r>
          </w:p>
        </w:tc>
        <w:tc>
          <w:tcPr>
            <w:tcW w:w="200" w:type="dxa"/>
            <w:vAlign w:val="bottom"/>
          </w:tcPr>
          <w:p>
            <w:pPr>
              <w:spacing w:after="0"/>
              <w:rPr>
                <w:sz w:val="23"/>
                <w:szCs w:val="23"/>
                <w:color w:val="auto"/>
              </w:rPr>
            </w:pPr>
          </w:p>
        </w:tc>
        <w:tc>
          <w:tcPr>
            <w:tcW w:w="420" w:type="dxa"/>
            <w:vAlign w:val="bottom"/>
          </w:tcPr>
          <w:p>
            <w:pPr>
              <w:jc w:val="right"/>
              <w:ind w:right="220"/>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(15)</w:t>
            </w:r>
          </w:p>
        </w:tc>
        <w:tc>
          <w:tcPr>
            <w:tcW w:w="200" w:type="dxa"/>
            <w:vAlign w:val="bottom"/>
          </w:tcPr>
          <w:p>
            <w:pPr>
              <w:spacing w:after="0"/>
              <w:rPr>
                <w:sz w:val="23"/>
                <w:szCs w:val="23"/>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(50)</w:t>
            </w:r>
          </w:p>
        </w:tc>
      </w:tr>
      <w:tr>
        <w:trPr>
          <w:trHeight w:val="28"/>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Details of the components of liquidity as well as changes in liquidity follow:</w:t>
      </w: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62"/>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Dec.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20"/>
              <w:spacing w:after="0"/>
              <w:rPr>
                <w:sz w:val="20"/>
                <w:szCs w:val="20"/>
                <w:color w:val="auto"/>
              </w:rPr>
            </w:pPr>
            <w:r>
              <w:rPr>
                <w:rFonts w:ascii="Arial" w:cs="Arial" w:eastAsia="Arial" w:hAnsi="Arial"/>
                <w:sz w:val="20"/>
                <w:szCs w:val="20"/>
                <w:color w:val="auto"/>
              </w:rPr>
              <w:t>Dec. 31,</w:t>
            </w:r>
          </w:p>
        </w:tc>
      </w:tr>
      <w:tr>
        <w:trPr>
          <w:trHeight w:val="228"/>
        </w:trPr>
        <w:tc>
          <w:tcPr>
            <w:tcW w:w="6160" w:type="dxa"/>
            <w:vAlign w:val="bottom"/>
          </w:tcPr>
          <w:p>
            <w:pPr>
              <w:spacing w:after="0" w:line="228" w:lineRule="exact"/>
              <w:rPr>
                <w:sz w:val="20"/>
                <w:szCs w:val="20"/>
                <w:color w:val="auto"/>
              </w:rPr>
            </w:pPr>
            <w:r>
              <w:rPr>
                <w:rFonts w:ascii="Arial" w:cs="Arial" w:eastAsia="Arial" w:hAnsi="Arial"/>
                <w:sz w:val="20"/>
                <w:szCs w:val="20"/>
                <w:b w:val="1"/>
                <w:bCs w:val="1"/>
                <w:color w:val="auto"/>
              </w:rPr>
              <w:t>Components of Liquidity: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80"/>
              <w:spacing w:after="0" w:line="228" w:lineRule="exact"/>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60"/>
              <w:spacing w:after="0" w:line="228" w:lineRule="exact"/>
              <w:rPr>
                <w:sz w:val="20"/>
                <w:szCs w:val="20"/>
                <w:color w:val="auto"/>
              </w:rPr>
            </w:pPr>
            <w:r>
              <w:rPr>
                <w:rFonts w:ascii="Arial" w:cs="Arial" w:eastAsia="Arial" w:hAnsi="Arial"/>
                <w:sz w:val="20"/>
                <w:szCs w:val="20"/>
                <w:color w:val="auto"/>
              </w:rPr>
              <w:t>2021</w:t>
            </w:r>
          </w:p>
        </w:tc>
      </w:tr>
      <w:tr>
        <w:trPr>
          <w:trHeight w:val="28"/>
        </w:trPr>
        <w:tc>
          <w:tcPr>
            <w:tcW w:w="6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CCCC"/>
          </w:tcPr>
          <w:p>
            <w:pPr>
              <w:spacing w:after="0"/>
              <w:rPr>
                <w:sz w:val="20"/>
                <w:szCs w:val="20"/>
                <w:color w:val="auto"/>
              </w:rPr>
            </w:pPr>
            <w:r>
              <w:rPr>
                <w:rFonts w:ascii="Arial" w:cs="Arial" w:eastAsia="Arial" w:hAnsi="Arial"/>
                <w:sz w:val="20"/>
                <w:szCs w:val="20"/>
                <w:color w:val="auto"/>
              </w:rPr>
              <w:t>Cash . . . . . . . . . . . . . . . . . . . . . . . . . . . . . . . . . . . . . . . . . . . . . . . . . . .</w:t>
            </w:r>
          </w:p>
        </w:tc>
        <w:tc>
          <w:tcPr>
            <w:tcW w:w="26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w:t>
            </w:r>
          </w:p>
        </w:tc>
        <w:tc>
          <w:tcPr>
            <w:tcW w:w="13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1,655</w:t>
            </w:r>
          </w:p>
        </w:tc>
        <w:tc>
          <w:tcPr>
            <w:tcW w:w="2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1,757</w:t>
            </w:r>
          </w:p>
        </w:tc>
      </w:tr>
      <w:tr>
        <w:trPr>
          <w:trHeight w:val="260"/>
        </w:trPr>
        <w:tc>
          <w:tcPr>
            <w:tcW w:w="6160" w:type="dxa"/>
            <w:vAlign w:val="bottom"/>
          </w:tcPr>
          <w:p>
            <w:pPr>
              <w:spacing w:after="0"/>
              <w:rPr>
                <w:sz w:val="20"/>
                <w:szCs w:val="20"/>
                <w:color w:val="auto"/>
              </w:rPr>
            </w:pPr>
            <w:r>
              <w:rPr>
                <w:rFonts w:ascii="Arial" w:cs="Arial" w:eastAsia="Arial" w:hAnsi="Arial"/>
                <w:sz w:val="20"/>
                <w:szCs w:val="20"/>
                <w:color w:val="auto"/>
              </w:rPr>
              <w:t>Short-term investments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1,239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1,382</w:t>
            </w:r>
          </w:p>
        </w:tc>
      </w:tr>
      <w:tr>
        <w:trPr>
          <w:trHeight w:val="260"/>
        </w:trPr>
        <w:tc>
          <w:tcPr>
            <w:tcW w:w="6160" w:type="dxa"/>
            <w:vAlign w:val="bottom"/>
            <w:shd w:val="clear" w:color="auto" w:fill="CCCCCC"/>
          </w:tcPr>
          <w:p>
            <w:pPr>
              <w:spacing w:after="0"/>
              <w:rPr>
                <w:sz w:val="20"/>
                <w:szCs w:val="20"/>
                <w:color w:val="auto"/>
              </w:rPr>
            </w:pPr>
            <w:r>
              <w:rPr>
                <w:rFonts w:ascii="Arial" w:cs="Arial" w:eastAsia="Arial" w:hAnsi="Arial"/>
                <w:sz w:val="20"/>
                <w:szCs w:val="20"/>
                <w:color w:val="auto"/>
              </w:rPr>
              <w:t>Short-term borrowings and current portion of long-term debt . . . . . .</w:t>
            </w:r>
          </w:p>
        </w:tc>
        <w:tc>
          <w:tcPr>
            <w:tcW w:w="100" w:type="dxa"/>
            <w:vAlign w:val="bottom"/>
            <w:shd w:val="clear" w:color="auto" w:fill="CCCCCC"/>
          </w:tcPr>
          <w:p>
            <w:pPr>
              <w:spacing w:after="0"/>
              <w:rPr>
                <w:sz w:val="22"/>
                <w:szCs w:val="22"/>
                <w:color w:val="auto"/>
              </w:rPr>
            </w:pPr>
          </w:p>
        </w:tc>
        <w:tc>
          <w:tcPr>
            <w:tcW w:w="160" w:type="dxa"/>
            <w:vAlign w:val="bottom"/>
            <w:shd w:val="clear" w:color="auto" w:fill="CCCCCC"/>
          </w:tcPr>
          <w:p>
            <w:pPr>
              <w:spacing w:after="0"/>
              <w:rPr>
                <w:sz w:val="22"/>
                <w:szCs w:val="22"/>
                <w:color w:val="auto"/>
              </w:rPr>
            </w:pPr>
          </w:p>
        </w:tc>
        <w:tc>
          <w:tcPr>
            <w:tcW w:w="132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b w:val="1"/>
                <w:bCs w:val="1"/>
                <w:color w:val="auto"/>
              </w:rPr>
              <w:t>(1,632)</w:t>
            </w:r>
          </w:p>
        </w:tc>
        <w:tc>
          <w:tcPr>
            <w:tcW w:w="20" w:type="dxa"/>
            <w:vAlign w:val="bottom"/>
            <w:shd w:val="clear" w:color="auto" w:fill="CCCCCC"/>
          </w:tcPr>
          <w:p>
            <w:pPr>
              <w:spacing w:after="0"/>
              <w:rPr>
                <w:sz w:val="22"/>
                <w:szCs w:val="22"/>
                <w:color w:val="auto"/>
              </w:rPr>
            </w:pPr>
          </w:p>
        </w:tc>
        <w:tc>
          <w:tcPr>
            <w:tcW w:w="200" w:type="dxa"/>
            <w:vAlign w:val="bottom"/>
            <w:shd w:val="clear" w:color="auto" w:fill="CCCCCC"/>
          </w:tcPr>
          <w:p>
            <w:pPr>
              <w:spacing w:after="0"/>
              <w:rPr>
                <w:sz w:val="22"/>
                <w:szCs w:val="22"/>
                <w:color w:val="auto"/>
              </w:rPr>
            </w:pPr>
          </w:p>
        </w:tc>
        <w:tc>
          <w:tcPr>
            <w:tcW w:w="11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(909)</w:t>
            </w:r>
          </w:p>
        </w:tc>
      </w:tr>
      <w:tr>
        <w:trPr>
          <w:trHeight w:val="262"/>
        </w:trPr>
        <w:tc>
          <w:tcPr>
            <w:tcW w:w="6160" w:type="dxa"/>
            <w:vAlign w:val="bottom"/>
          </w:tcPr>
          <w:p>
            <w:pPr>
              <w:spacing w:after="0"/>
              <w:rPr>
                <w:sz w:val="20"/>
                <w:szCs w:val="20"/>
                <w:color w:val="auto"/>
              </w:rPr>
            </w:pPr>
            <w:r>
              <w:rPr>
                <w:rFonts w:ascii="Arial" w:cs="Arial" w:eastAsia="Arial" w:hAnsi="Arial"/>
                <w:sz w:val="20"/>
                <w:szCs w:val="20"/>
                <w:color w:val="auto"/>
              </w:rPr>
              <w:t>Long-term debt . . . . . . . . . . . . . . . . . . . . . . . . . . . . . . . . . . . . . . . . . .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(10,594)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(13,286)</w:t>
            </w:r>
          </w:p>
        </w:tc>
      </w:tr>
      <w:tr>
        <w:trPr>
          <w:trHeight w:val="68"/>
        </w:trPr>
        <w:tc>
          <w:tcPr>
            <w:tcW w:w="6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0"/>
        </w:trPr>
        <w:tc>
          <w:tcPr>
            <w:tcW w:w="6160" w:type="dxa"/>
            <w:vAlign w:val="bottom"/>
            <w:shd w:val="clear" w:color="auto" w:fill="CCCCCC"/>
          </w:tcPr>
          <w:p>
            <w:pPr>
              <w:spacing w:after="0" w:line="250" w:lineRule="exact"/>
              <w:rPr>
                <w:sz w:val="20"/>
                <w:szCs w:val="20"/>
                <w:color w:val="auto"/>
              </w:rPr>
            </w:pPr>
            <w:r>
              <w:rPr>
                <w:rFonts w:ascii="Arial" w:cs="Arial" w:eastAsia="Arial" w:hAnsi="Arial"/>
                <w:sz w:val="20"/>
                <w:szCs w:val="20"/>
                <w:color w:val="auto"/>
                <w:w w:val="98"/>
              </w:rPr>
              <w:t xml:space="preserve">Net debt </w:t>
            </w:r>
            <w:r>
              <w:rPr>
                <w:rFonts w:ascii="Arial" w:cs="Arial" w:eastAsia="Arial" w:hAnsi="Arial"/>
                <w:sz w:val="26"/>
                <w:szCs w:val="26"/>
                <w:color w:val="auto"/>
                <w:w w:val="98"/>
                <w:vertAlign w:val="superscript"/>
              </w:rPr>
              <w:t>(1)</w:t>
            </w:r>
            <w:r>
              <w:rPr>
                <w:rFonts w:ascii="Arial" w:cs="Arial" w:eastAsia="Arial" w:hAnsi="Arial"/>
                <w:sz w:val="20"/>
                <w:szCs w:val="20"/>
                <w:color w:val="auto"/>
                <w:w w:val="98"/>
              </w:rPr>
              <w:t xml:space="preserve"> . . . . . . . . . . . . . . . . . . . . . . . . . . . . . . . . . . . . . . . . . . . . . . .</w:t>
            </w:r>
          </w:p>
        </w:tc>
        <w:tc>
          <w:tcPr>
            <w:tcW w:w="26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w:t>
            </w:r>
          </w:p>
        </w:tc>
        <w:tc>
          <w:tcPr>
            <w:tcW w:w="132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b w:val="1"/>
                <w:bCs w:val="1"/>
                <w:color w:val="auto"/>
              </w:rPr>
              <w:t>(9,332)</w:t>
            </w:r>
          </w:p>
        </w:tc>
        <w:tc>
          <w:tcPr>
            <w:tcW w:w="2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(11,056)</w:t>
            </w:r>
          </w:p>
        </w:tc>
      </w:tr>
      <w:tr>
        <w:trPr>
          <w:trHeight w:val="70"/>
        </w:trPr>
        <w:tc>
          <w:tcPr>
            <w:tcW w:w="6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9360"/>
          </w:cols>
          <w:pgMar w:left="1440" w:top="1440" w:right="1440" w:bottom="836" w:gutter="0" w:footer="0" w:header="0"/>
          <w:type w:val="continuous"/>
        </w:sectPr>
      </w:pPr>
    </w:p>
    <w:bookmarkStart w:id="53" w:name="page54"/>
    <w:bookmarkEnd w:id="53"/>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20"/>
                <w:szCs w:val="20"/>
                <w:b w:val="1"/>
                <w:bCs w:val="1"/>
                <w:color w:val="auto"/>
              </w:rPr>
              <w:t>Changes in Liquidity:</w:t>
            </w:r>
          </w:p>
        </w:tc>
        <w:tc>
          <w:tcPr>
            <w:tcW w:w="280" w:type="dxa"/>
            <w:vAlign w:val="bottom"/>
          </w:tcPr>
          <w:p>
            <w:pPr>
              <w:spacing w:after="0"/>
              <w:rPr>
                <w:sz w:val="19"/>
                <w:szCs w:val="19"/>
                <w:color w:val="auto"/>
              </w:rPr>
            </w:pPr>
          </w:p>
        </w:tc>
        <w:tc>
          <w:tcPr>
            <w:tcW w:w="840" w:type="dxa"/>
            <w:vAlign w:val="bottom"/>
          </w:tcPr>
          <w:p>
            <w:pPr>
              <w:jc w:val="right"/>
              <w:ind w:right="22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rPr>
              <w:t>2021</w:t>
            </w:r>
          </w:p>
        </w:tc>
      </w:tr>
      <w:tr>
        <w:trPr>
          <w:trHeight w:val="28"/>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7"/>
              </w:rPr>
              <w:t>Net income . . . . . . . . . . . . . . . . . . . . . . . . . . . . . . . . . . . . . . . . . . . . . . . . . . . . . . . . . . . . . . .</w:t>
            </w:r>
          </w:p>
        </w:tc>
        <w:tc>
          <w:tcPr>
            <w:tcW w:w="2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3,492</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1,928</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7"/>
              </w:rPr>
              <w:t>Charges and credits . . . . . . . . . . . . . . . . . . . . . . . . . . . . . . . . . . . . . . . . . . . . . . . . . . . . . . . .</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49"/>
        </w:trPr>
        <w:tc>
          <w:tcPr>
            <w:tcW w:w="7840" w:type="dxa"/>
            <w:vAlign w:val="bottom"/>
            <w:shd w:val="clear" w:color="auto" w:fill="CCCCCC"/>
          </w:tcPr>
          <w:p>
            <w:pPr>
              <w:spacing w:after="0" w:line="248" w:lineRule="exact"/>
              <w:rPr>
                <w:sz w:val="20"/>
                <w:szCs w:val="20"/>
                <w:color w:val="auto"/>
              </w:rPr>
            </w:pPr>
            <w:r>
              <w:rPr>
                <w:rFonts w:ascii="Arial" w:cs="Arial" w:eastAsia="Arial" w:hAnsi="Arial"/>
                <w:sz w:val="20"/>
                <w:szCs w:val="20"/>
                <w:color w:val="auto"/>
                <w:w w:val="97"/>
              </w:rPr>
              <w:t xml:space="preserve">Depreciation and amortization </w:t>
            </w:r>
            <w:r>
              <w:rPr>
                <w:rFonts w:ascii="Arial" w:cs="Arial" w:eastAsia="Arial" w:hAnsi="Arial"/>
                <w:sz w:val="26"/>
                <w:szCs w:val="26"/>
                <w:color w:val="auto"/>
                <w:w w:val="97"/>
                <w:vertAlign w:val="superscript"/>
              </w:rPr>
              <w:t>(2)</w:t>
            </w:r>
            <w:r>
              <w:rPr>
                <w:rFonts w:ascii="Arial" w:cs="Arial" w:eastAsia="Arial" w:hAnsi="Arial"/>
                <w:sz w:val="20"/>
                <w:szCs w:val="20"/>
                <w:color w:val="auto"/>
                <w:w w:val="97"/>
              </w:rPr>
              <w:t xml:space="preserve"> . . . . . . . . . . . . . . . . . . . . . . . . . . . . . . . . . . . . . . . . . . . . . .</w:t>
            </w:r>
          </w:p>
        </w:tc>
        <w:tc>
          <w:tcPr>
            <w:tcW w:w="28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2,147</w:t>
            </w: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2,120</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9"/>
              </w:rPr>
              <w:t>Stock-based compensation expense . . . . . . . . . . . . . . . . . . . . . . . . . . . . . . . . . . . . . . . . . .</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313</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324</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7"/>
              </w:rPr>
              <w:t>Deferred taxes . . . . . . . . . . . . . . . . . . . . . . . . . . . . . . . . . . . . . . . . . . . . . . . . . . . . . .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(39)</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(31)</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9"/>
              </w:rPr>
              <w:t>Earnings of equity method investments, less dividends received . . . . . . . . . . . . . . . . . . . .</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8"/>
              </w:rPr>
              <w:t>Increase in working capital  . . . . . . . . . . . . . . . . . . . . . . . . . . . . . . . . . . . . . . . . . . . .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(1,709)</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(45)</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8"/>
              </w:rPr>
              <w:t>US Federal tax refund . . . . . . . . . . . . . . . . . . . . . . . . . . . . . . . . . . . . . . . . . . . . . . . . . . . . . .</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477</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6"/>
              </w:rPr>
              <w:t>Other . . . . . . . . . . . . . . . . . . . . . . . . . . . . . . . . . . . . . . . . . . . . . . . . . . . . . . . . . . . . . .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(41)</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(67)</w:t>
            </w:r>
          </w:p>
        </w:tc>
      </w:tr>
      <w:tr>
        <w:trPr>
          <w:trHeight w:val="70"/>
        </w:trPr>
        <w:tc>
          <w:tcPr>
            <w:tcW w:w="78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41"/>
        </w:trPr>
        <w:tc>
          <w:tcPr>
            <w:tcW w:w="7840" w:type="dxa"/>
            <w:vAlign w:val="bottom"/>
          </w:tcPr>
          <w:p>
            <w:pPr>
              <w:spacing w:after="0"/>
              <w:rPr>
                <w:sz w:val="20"/>
                <w:szCs w:val="20"/>
                <w:color w:val="auto"/>
              </w:rPr>
            </w:pPr>
            <w:r>
              <w:rPr>
                <w:rFonts w:ascii="Arial" w:cs="Arial" w:eastAsia="Arial" w:hAnsi="Arial"/>
                <w:sz w:val="20"/>
                <w:szCs w:val="20"/>
                <w:b w:val="1"/>
                <w:bCs w:val="1"/>
                <w:color w:val="auto"/>
                <w:w w:val="98"/>
              </w:rPr>
              <w:t xml:space="preserve">Cash flow from operations </w:t>
            </w:r>
            <w:r>
              <w:rPr>
                <w:rFonts w:ascii="Arial" w:cs="Arial" w:eastAsia="Arial" w:hAnsi="Arial"/>
                <w:sz w:val="20"/>
                <w:szCs w:val="20"/>
                <w:color w:val="auto"/>
                <w:w w:val="98"/>
              </w:rPr>
              <w:t>. . . . . . . . . . . . . . . . . . . . . . . . . . . . . . . . . . . . . . . . . . . . . . . . .</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3,720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4,651</w:t>
            </w:r>
          </w:p>
        </w:tc>
      </w:tr>
      <w:tr>
        <w:trPr>
          <w:trHeight w:val="28"/>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7"/>
              </w:rPr>
              <w:t>Capital expenditures  . . . . . . . . . . . . . . . . . . . . . . . . . . . . . . . . . . . . . . . . . . . . . . . . . . . . . . .</w:t>
            </w:r>
          </w:p>
        </w:tc>
        <w:tc>
          <w:tcPr>
            <w:tcW w:w="280" w:type="dxa"/>
            <w:vAlign w:val="bottom"/>
            <w:shd w:val="clear" w:color="auto" w:fill="CCCCCC"/>
          </w:tcPr>
          <w:p>
            <w:pPr>
              <w:spacing w:after="0"/>
              <w:rPr>
                <w:sz w:val="20"/>
                <w:szCs w:val="20"/>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(1,618)</w:t>
            </w:r>
          </w:p>
        </w:tc>
        <w:tc>
          <w:tcPr>
            <w:tcW w:w="10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(1,141)</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8"/>
              </w:rPr>
              <w:t>APS investments . . . . . . . . . . . . . . . . . . . . . . . . . . . . . . . . . . . . . . . . . . . . . . . . . . . . . . . . . .</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(474)</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7"/>
              </w:rPr>
              <w:t>Exploration data capitalized . . . . . . . . . . . . . . . . . . . . . . . . . . . . . . . . . . . . . . . . . . . .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(97)</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(39)</w:t>
            </w:r>
          </w:p>
        </w:tc>
      </w:tr>
      <w:tr>
        <w:trPr>
          <w:trHeight w:val="70"/>
        </w:trPr>
        <w:tc>
          <w:tcPr>
            <w:tcW w:w="78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69"/>
        </w:trPr>
        <w:tc>
          <w:tcPr>
            <w:tcW w:w="7840" w:type="dxa"/>
            <w:vAlign w:val="bottom"/>
          </w:tcPr>
          <w:p>
            <w:pPr>
              <w:spacing w:after="0" w:line="268" w:lineRule="exact"/>
              <w:rPr>
                <w:sz w:val="20"/>
                <w:szCs w:val="20"/>
                <w:color w:val="auto"/>
              </w:rPr>
            </w:pPr>
            <w:r>
              <w:rPr>
                <w:rFonts w:ascii="Arial" w:cs="Arial" w:eastAsia="Arial" w:hAnsi="Arial"/>
                <w:sz w:val="20"/>
                <w:szCs w:val="20"/>
                <w:b w:val="1"/>
                <w:bCs w:val="1"/>
                <w:color w:val="auto"/>
                <w:w w:val="97"/>
              </w:rPr>
              <w:t xml:space="preserve">Free cash flow </w:t>
            </w:r>
            <w:r>
              <w:rPr>
                <w:rFonts w:ascii="Arial" w:cs="Arial" w:eastAsia="Arial" w:hAnsi="Arial"/>
                <w:sz w:val="26"/>
                <w:szCs w:val="26"/>
                <w:b w:val="1"/>
                <w:bCs w:val="1"/>
                <w:color w:val="auto"/>
                <w:w w:val="97"/>
                <w:vertAlign w:val="superscript"/>
              </w:rPr>
              <w:t>(3)</w:t>
            </w:r>
            <w:r>
              <w:rPr>
                <w:rFonts w:ascii="Arial" w:cs="Arial" w:eastAsia="Arial" w:hAnsi="Arial"/>
                <w:sz w:val="20"/>
                <w:szCs w:val="20"/>
                <w:b w:val="1"/>
                <w:bCs w:val="1"/>
                <w:color w:val="auto"/>
                <w:w w:val="97"/>
              </w:rPr>
              <w:t xml:space="preserve">  </w:t>
            </w:r>
            <w:r>
              <w:rPr>
                <w:rFonts w:ascii="Arial" w:cs="Arial" w:eastAsia="Arial" w:hAnsi="Arial"/>
                <w:sz w:val="20"/>
                <w:szCs w:val="20"/>
                <w:color w:val="auto"/>
                <w:w w:val="97"/>
              </w:rPr>
              <w:t>. . . . . . . . . . . . . . . . . . . . . . . . . . . . . . . . . . . . . . . . . . . . . . . . . . . . . . . . .</w:t>
            </w:r>
          </w:p>
        </w:tc>
        <w:tc>
          <w:tcPr>
            <w:tcW w:w="2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1,418</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2,997</w:t>
            </w:r>
          </w:p>
        </w:tc>
      </w:tr>
      <w:tr>
        <w:trPr>
          <w:trHeight w:val="23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7"/>
              </w:rPr>
              <w:t>Dividends paid . . . . . . . . . . . . . . . . . . . . . . . . . . . . . . . . . . . . . . . . . . . . . . . . . . . . . . . . . . . .</w:t>
            </w:r>
          </w:p>
        </w:tc>
        <w:tc>
          <w:tcPr>
            <w:tcW w:w="280" w:type="dxa"/>
            <w:vAlign w:val="bottom"/>
            <w:tcBorders>
              <w:top w:val="single" w:sz="8" w:color="auto"/>
            </w:tcBorders>
            <w:shd w:val="clear" w:color="auto" w:fill="CCCCCC"/>
          </w:tcPr>
          <w:p>
            <w:pPr>
              <w:spacing w:after="0"/>
              <w:rPr>
                <w:sz w:val="20"/>
                <w:szCs w:val="20"/>
                <w:color w:val="auto"/>
              </w:rPr>
            </w:pPr>
          </w:p>
        </w:tc>
        <w:tc>
          <w:tcPr>
            <w:tcW w:w="8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20"/>
                <w:szCs w:val="20"/>
                <w:b w:val="1"/>
                <w:bCs w:val="1"/>
                <w:color w:val="auto"/>
              </w:rPr>
              <w:t>(848)</w:t>
            </w:r>
          </w:p>
        </w:tc>
        <w:tc>
          <w:tcPr>
            <w:tcW w:w="100" w:type="dxa"/>
            <w:vAlign w:val="bottom"/>
            <w:shd w:val="clear" w:color="auto" w:fill="CCCCCC"/>
          </w:tcPr>
          <w:p>
            <w:pPr>
              <w:spacing w:after="0"/>
              <w:rPr>
                <w:sz w:val="20"/>
                <w:szCs w:val="20"/>
                <w:color w:val="auto"/>
              </w:rPr>
            </w:pPr>
          </w:p>
        </w:tc>
        <w:tc>
          <w:tcPr>
            <w:tcW w:w="200" w:type="dxa"/>
            <w:vAlign w:val="bottom"/>
            <w:tcBorders>
              <w:top w:val="single" w:sz="8" w:color="auto"/>
            </w:tcBorders>
            <w:shd w:val="clear" w:color="auto" w:fill="CCCCCC"/>
          </w:tcPr>
          <w:p>
            <w:pPr>
              <w:spacing w:after="0"/>
              <w:rPr>
                <w:sz w:val="20"/>
                <w:szCs w:val="20"/>
                <w:color w:val="auto"/>
              </w:rPr>
            </w:pPr>
          </w:p>
        </w:tc>
        <w:tc>
          <w:tcPr>
            <w:tcW w:w="8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20"/>
                <w:szCs w:val="20"/>
                <w:color w:val="auto"/>
              </w:rPr>
              <w:t>(699)</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9"/>
              </w:rPr>
              <w:t>Proceeds from employee stock purchase plan  . . . . . . . . . . . . . . . . . . . . . . . . . . . . . . . . . .</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141</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9"/>
              </w:rPr>
              <w:t>Proceeds from exercise of stock options . . . . . . . . . . . . . . . . . . . . . . . . . . . . . . . . . . . . . . .</w:t>
            </w:r>
          </w:p>
        </w:tc>
        <w:tc>
          <w:tcPr>
            <w:tcW w:w="28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81</w:t>
            </w: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9"/>
              </w:rPr>
              <w:t>Taxes paid on net-settled stock-based compensation awards . . . . . . . . . . . . . . . . . . . . . .</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rPr>
              <w:t>Business acquisitions and investments, net of cash acquired plus debt assumed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(58)</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(103)</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8"/>
              </w:rPr>
              <w:t>Proceeds from sale of Liberty shares . . . . . . . . . . . . . . . . . . . . . . . . . . . . . . . . . . . . . . . . . .</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732</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8"/>
              </w:rPr>
              <w:t>Proceeds from sale of ADC shares . . . . . . . . . . . . . . . . . . . . . . . . . . . . . . . . . . . . . . . . . . . .</w:t>
            </w:r>
          </w:p>
        </w:tc>
        <w:tc>
          <w:tcPr>
            <w:tcW w:w="28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223</w:t>
            </w: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8"/>
              </w:rPr>
              <w:t>Proceeds from sale of real estate . . . . . . . . . . . . . . . . . . . . . . . . . . . . . . . . . . . . . . . . . . . . .</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120</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9"/>
              </w:rPr>
              <w:t>Purchases of Blue Chip Swap securities . . . . . . . . . . . . . . . . . . . . . . . . . . . . . . . . .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(259)</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7840" w:type="dxa"/>
            <w:vAlign w:val="bottom"/>
          </w:tcPr>
          <w:p>
            <w:pPr>
              <w:spacing w:after="0"/>
              <w:rPr>
                <w:sz w:val="20"/>
                <w:szCs w:val="20"/>
                <w:color w:val="auto"/>
              </w:rPr>
            </w:pPr>
            <w:r>
              <w:rPr>
                <w:rFonts w:ascii="Arial" w:cs="Arial" w:eastAsia="Arial" w:hAnsi="Arial"/>
                <w:sz w:val="20"/>
                <w:szCs w:val="20"/>
                <w:color w:val="auto"/>
                <w:w w:val="99"/>
              </w:rPr>
              <w:t>Proceeds from sales of Blue Chip Swap securities . . . . . . . . . . . . . . . . . . . . . . . . . . . . . . .</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111</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6"/>
              </w:rPr>
              <w:t>Other . . . . . . . . . . . . . . . . . . . . . . . . . . . . . . . . . . . . . . . . . . . . . . . . . . . . . . . . . . . . . .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(105)</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(81)</w:t>
            </w:r>
          </w:p>
        </w:tc>
      </w:tr>
      <w:tr>
        <w:trPr>
          <w:trHeight w:val="70"/>
        </w:trPr>
        <w:tc>
          <w:tcPr>
            <w:tcW w:w="78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39"/>
        </w:trPr>
        <w:tc>
          <w:tcPr>
            <w:tcW w:w="7840" w:type="dxa"/>
            <w:vAlign w:val="bottom"/>
          </w:tcPr>
          <w:p>
            <w:pPr>
              <w:spacing w:after="0"/>
              <w:rPr>
                <w:sz w:val="20"/>
                <w:szCs w:val="20"/>
                <w:color w:val="auto"/>
              </w:rPr>
            </w:pPr>
            <w:r>
              <w:rPr>
                <w:rFonts w:ascii="Arial" w:cs="Arial" w:eastAsia="Arial" w:hAnsi="Arial"/>
                <w:sz w:val="20"/>
                <w:szCs w:val="20"/>
                <w:b w:val="1"/>
                <w:bCs w:val="1"/>
                <w:color w:val="auto"/>
                <w:w w:val="95"/>
              </w:rPr>
              <w:t xml:space="preserve">Change in net debt before impact of changes in foreign exchange rates on net debt </w:t>
            </w:r>
            <w:r>
              <w:rPr>
                <w:rFonts w:ascii="Arial" w:cs="Arial" w:eastAsia="Arial" w:hAnsi="Arial"/>
                <w:sz w:val="20"/>
                <w:szCs w:val="20"/>
                <w:color w:val="auto"/>
                <w:w w:val="95"/>
              </w:rPr>
              <w:t>. . .</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1,463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2,336</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9"/>
              </w:rPr>
              <w:t>Impact of changes in foreign exchange rates on net debt  . . . . . . . . . . . . . . . . . . . . . . . . .</w:t>
            </w:r>
          </w:p>
        </w:tc>
        <w:tc>
          <w:tcPr>
            <w:tcW w:w="280" w:type="dxa"/>
            <w:vAlign w:val="bottom"/>
            <w:shd w:val="clear" w:color="auto" w:fill="CCCCCC"/>
          </w:tcPr>
          <w:p>
            <w:pPr>
              <w:spacing w:after="0"/>
              <w:rPr>
                <w:sz w:val="21"/>
                <w:szCs w:val="21"/>
                <w:color w:val="auto"/>
              </w:rPr>
            </w:pP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261</w:t>
            </w: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488</w:t>
            </w:r>
          </w:p>
        </w:tc>
      </w:tr>
      <w:tr>
        <w:trPr>
          <w:trHeight w:val="70"/>
        </w:trPr>
        <w:tc>
          <w:tcPr>
            <w:tcW w:w="78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39"/>
        </w:trPr>
        <w:tc>
          <w:tcPr>
            <w:tcW w:w="7840" w:type="dxa"/>
            <w:vAlign w:val="bottom"/>
          </w:tcPr>
          <w:p>
            <w:pPr>
              <w:spacing w:after="0"/>
              <w:rPr>
                <w:sz w:val="20"/>
                <w:szCs w:val="20"/>
                <w:color w:val="auto"/>
              </w:rPr>
            </w:pPr>
            <w:r>
              <w:rPr>
                <w:rFonts w:ascii="Arial" w:cs="Arial" w:eastAsia="Arial" w:hAnsi="Arial"/>
                <w:sz w:val="20"/>
                <w:szCs w:val="20"/>
                <w:b w:val="1"/>
                <w:bCs w:val="1"/>
                <w:color w:val="auto"/>
                <w:w w:val="97"/>
              </w:rPr>
              <w:t xml:space="preserve">Decrease in Net Debt </w:t>
            </w:r>
            <w:r>
              <w:rPr>
                <w:rFonts w:ascii="Arial" w:cs="Arial" w:eastAsia="Arial" w:hAnsi="Arial"/>
                <w:sz w:val="20"/>
                <w:szCs w:val="20"/>
                <w:color w:val="auto"/>
                <w:w w:val="97"/>
              </w:rPr>
              <w:t>. . . . . . . . . . . . . . . . . . . . . . . . . . . . . . . . . . . . . . . . . . . . . . . . . . . . . .</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1,724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2,824</w:t>
            </w:r>
          </w:p>
        </w:tc>
      </w:tr>
      <w:tr>
        <w:trPr>
          <w:trHeight w:val="249"/>
        </w:trPr>
        <w:tc>
          <w:tcPr>
            <w:tcW w:w="7840" w:type="dxa"/>
            <w:vAlign w:val="bottom"/>
            <w:shd w:val="clear" w:color="auto" w:fill="CCCCCC"/>
          </w:tcPr>
          <w:p>
            <w:pPr>
              <w:spacing w:after="0"/>
              <w:rPr>
                <w:sz w:val="20"/>
                <w:szCs w:val="20"/>
                <w:color w:val="auto"/>
              </w:rPr>
            </w:pPr>
            <w:r>
              <w:rPr>
                <w:rFonts w:ascii="Arial" w:cs="Arial" w:eastAsia="Arial" w:hAnsi="Arial"/>
                <w:sz w:val="20"/>
                <w:szCs w:val="20"/>
                <w:color w:val="auto"/>
                <w:w w:val="98"/>
              </w:rPr>
              <w:t>Net Debt, Beginning of period . . . . . . . . . . . . . . . . . . . . . . . . . . . . . . . . . . . . . . . . . . . . . . . .</w:t>
            </w:r>
          </w:p>
        </w:tc>
        <w:tc>
          <w:tcPr>
            <w:tcW w:w="280" w:type="dxa"/>
            <w:vAlign w:val="bottom"/>
            <w:shd w:val="clear" w:color="auto" w:fill="CCCCCC"/>
          </w:tcPr>
          <w:p>
            <w:pPr>
              <w:spacing w:after="0"/>
              <w:rPr>
                <w:sz w:val="21"/>
                <w:szCs w:val="21"/>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(11,056)</w:t>
            </w:r>
          </w:p>
        </w:tc>
        <w:tc>
          <w:tcPr>
            <w:tcW w:w="10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(13,880)</w:t>
            </w:r>
          </w:p>
        </w:tc>
      </w:tr>
      <w:tr>
        <w:trPr>
          <w:trHeight w:val="70"/>
        </w:trPr>
        <w:tc>
          <w:tcPr>
            <w:tcW w:w="78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41"/>
        </w:trPr>
        <w:tc>
          <w:tcPr>
            <w:tcW w:w="7840" w:type="dxa"/>
            <w:vAlign w:val="bottom"/>
          </w:tcPr>
          <w:p>
            <w:pPr>
              <w:spacing w:after="0"/>
              <w:rPr>
                <w:sz w:val="20"/>
                <w:szCs w:val="20"/>
                <w:color w:val="auto"/>
              </w:rPr>
            </w:pPr>
            <w:r>
              <w:rPr>
                <w:rFonts w:ascii="Arial" w:cs="Arial" w:eastAsia="Arial" w:hAnsi="Arial"/>
                <w:sz w:val="20"/>
                <w:szCs w:val="20"/>
                <w:b w:val="1"/>
                <w:bCs w:val="1"/>
                <w:color w:val="auto"/>
                <w:w w:val="97"/>
              </w:rPr>
              <w:t xml:space="preserve">Net Debt, End of period </w:t>
            </w:r>
            <w:r>
              <w:rPr>
                <w:rFonts w:ascii="Arial" w:cs="Arial" w:eastAsia="Arial" w:hAnsi="Arial"/>
                <w:sz w:val="20"/>
                <w:szCs w:val="20"/>
                <w:color w:val="auto"/>
                <w:w w:val="97"/>
              </w:rPr>
              <w:t>. . . . . . . . . . . . . . . . . . . . . . . . . . . . . . . . . . . . . . . . . . . . . . . . . . . .</w:t>
            </w:r>
          </w:p>
        </w:tc>
        <w:tc>
          <w:tcPr>
            <w:tcW w:w="280" w:type="dxa"/>
            <w:vAlign w:val="bottom"/>
          </w:tcPr>
          <w:p>
            <w:pPr>
              <w:jc w:val="right"/>
              <w:ind w:right="60"/>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(9,332)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(11,056)</w:t>
            </w:r>
          </w:p>
        </w:tc>
      </w:tr>
      <w:tr>
        <w:trPr>
          <w:trHeight w:val="28"/>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400" w:hanging="400"/>
        <w:spacing w:after="0" w:line="229" w:lineRule="auto"/>
        <w:tabs>
          <w:tab w:leader="none" w:pos="400" w:val="left"/>
        </w:tabs>
        <w:numPr>
          <w:ilvl w:val="0"/>
          <w:numId w:val="40"/>
        </w:numPr>
        <w:rPr>
          <w:rFonts w:ascii="Arial" w:cs="Arial" w:eastAsia="Arial" w:hAnsi="Arial"/>
          <w:sz w:val="26"/>
          <w:szCs w:val="26"/>
          <w:color w:val="auto"/>
          <w:vertAlign w:val="superscript"/>
        </w:rPr>
      </w:pPr>
      <w:r>
        <w:rPr>
          <w:rFonts w:ascii="Arial" w:cs="Arial" w:eastAsia="Arial" w:hAnsi="Arial"/>
          <w:sz w:val="26"/>
          <w:szCs w:val="26"/>
          <w:color w:val="auto"/>
          <w:vertAlign w:val="superscript"/>
        </w:rPr>
        <w:t>”</w:t>
      </w:r>
      <w:r>
        <w:rPr>
          <w:rFonts w:ascii="Arial" w:cs="Arial" w:eastAsia="Arial" w:hAnsi="Arial"/>
          <w:sz w:val="20"/>
          <w:szCs w:val="20"/>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36" w:lineRule="exact"/>
        <w:rPr>
          <w:rFonts w:ascii="Arial" w:cs="Arial" w:eastAsia="Arial" w:hAnsi="Arial"/>
          <w:sz w:val="26"/>
          <w:szCs w:val="26"/>
          <w:color w:val="auto"/>
          <w:vertAlign w:val="superscript"/>
        </w:rPr>
      </w:pPr>
    </w:p>
    <w:p>
      <w:pPr>
        <w:ind w:left="400" w:hanging="400"/>
        <w:spacing w:after="0" w:line="211" w:lineRule="auto"/>
        <w:tabs>
          <w:tab w:leader="none" w:pos="400" w:val="left"/>
        </w:tabs>
        <w:numPr>
          <w:ilvl w:val="0"/>
          <w:numId w:val="40"/>
        </w:numPr>
        <w:rPr>
          <w:rFonts w:ascii="Arial" w:cs="Arial" w:eastAsia="Arial" w:hAnsi="Arial"/>
          <w:sz w:val="26"/>
          <w:szCs w:val="26"/>
          <w:color w:val="auto"/>
          <w:vertAlign w:val="superscript"/>
        </w:rPr>
      </w:pPr>
      <w:r>
        <w:rPr>
          <w:rFonts w:ascii="Arial" w:cs="Arial" w:eastAsia="Arial" w:hAnsi="Arial"/>
          <w:sz w:val="20"/>
          <w:szCs w:val="20"/>
          <w:color w:val="auto"/>
        </w:rPr>
        <w:t>Includes depreciation of property, plant and equipment and amortization of intangible assets, exploration data costs and APS investments.</w:t>
      </w:r>
    </w:p>
    <w:p>
      <w:pPr>
        <w:spacing w:after="0" w:line="134" w:lineRule="exact"/>
        <w:rPr>
          <w:rFonts w:ascii="Arial" w:cs="Arial" w:eastAsia="Arial" w:hAnsi="Arial"/>
          <w:sz w:val="26"/>
          <w:szCs w:val="26"/>
          <w:color w:val="auto"/>
          <w:vertAlign w:val="superscript"/>
        </w:rPr>
      </w:pPr>
    </w:p>
    <w:p>
      <w:pPr>
        <w:jc w:val="both"/>
        <w:ind w:left="400" w:hanging="400"/>
        <w:spacing w:after="0" w:line="251" w:lineRule="auto"/>
        <w:tabs>
          <w:tab w:leader="none" w:pos="400" w:val="left"/>
        </w:tabs>
        <w:numPr>
          <w:ilvl w:val="0"/>
          <w:numId w:val="40"/>
        </w:numPr>
        <w:rPr>
          <w:rFonts w:ascii="Arial" w:cs="Arial" w:eastAsia="Arial" w:hAnsi="Arial"/>
          <w:sz w:val="25"/>
          <w:szCs w:val="25"/>
          <w:color w:val="auto"/>
          <w:vertAlign w:val="superscript"/>
        </w:rPr>
      </w:pPr>
      <w:r>
        <w:rPr>
          <w:rFonts w:ascii="Arial" w:cs="Arial" w:eastAsia="Arial" w:hAnsi="Arial"/>
          <w:sz w:val="19"/>
          <w:szCs w:val="19"/>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2240" w:h="15840" w:orient="portrait"/>
          <w:cols w:equalWidth="0" w:num="1">
            <w:col w:w="10080"/>
          </w:cols>
          <w:pgMar w:left="1080" w:top="1440" w:right="1080" w:bottom="836"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10080"/>
          </w:cols>
          <w:pgMar w:left="1080" w:top="1440" w:right="1080" w:bottom="836" w:gutter="0" w:footer="0" w:header="0"/>
          <w:type w:val="continuous"/>
        </w:sectPr>
      </w:pPr>
    </w:p>
    <w:bookmarkStart w:id="54" w:name="page55"/>
    <w:bookmarkEnd w:id="54"/>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Key liquidity events during 2022 and 2021 included:</w:t>
      </w:r>
    </w:p>
    <w:p>
      <w:pPr>
        <w:spacing w:after="0" w:line="123" w:lineRule="exact"/>
        <w:rPr>
          <w:sz w:val="20"/>
          <w:szCs w:val="20"/>
          <w:color w:val="auto"/>
        </w:rPr>
      </w:pPr>
    </w:p>
    <w:p>
      <w:pPr>
        <w:jc w:val="both"/>
        <w:ind w:left="840" w:right="120" w:hanging="360"/>
        <w:spacing w:after="0" w:line="249"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Cash flow from operations of $3.7 billion in 2022 decreased approximately $1.0 billion as compared to 2021. This decrease was primarily due to working capital consuming $1.7 billion of liquidity in 2022 compared to $45 million in 2021. The increase in working capital was largely the result of receivables increasing $1.7 billion (32%) and inventories increasing $0.7 billion (22%), respectively, from 2021 to 2022, while these balances were relatively flat at the end of 2021 as compared to 2020. The increase in receivables was driven primarily by the fact that SLB’s fourth quarter 2022 revenue increased 27% as compared to the same period last year. The increase in inventories was a result of the significant activity growth that SLB experienced in 2022 that is expected to continue in 2023. These increases in working capital were partially offset by increases in accounts payable and accrued liabilities that were a source of cash of $0.7 billion in 2022 compared to $0.2 billion in 2021.</w:t>
      </w:r>
    </w:p>
    <w:p>
      <w:pPr>
        <w:spacing w:after="0" w:line="124" w:lineRule="exact"/>
        <w:rPr>
          <w:rFonts w:ascii="Arial" w:cs="Arial" w:eastAsia="Arial" w:hAnsi="Arial"/>
          <w:sz w:val="20"/>
          <w:szCs w:val="20"/>
          <w:color w:val="auto"/>
        </w:rPr>
      </w:pPr>
    </w:p>
    <w:p>
      <w:pPr>
        <w:jc w:val="both"/>
        <w:ind w:left="840" w:right="120"/>
        <w:spacing w:after="0" w:line="249" w:lineRule="auto"/>
        <w:rPr>
          <w:rFonts w:ascii="Arial" w:cs="Arial" w:eastAsia="Arial" w:hAnsi="Arial"/>
          <w:sz w:val="20"/>
          <w:szCs w:val="20"/>
          <w:color w:val="auto"/>
        </w:rPr>
      </w:pPr>
      <w:r>
        <w:rPr>
          <w:rFonts w:ascii="Arial" w:cs="Arial" w:eastAsia="Arial" w:hAnsi="Arial"/>
          <w:sz w:val="20"/>
          <w:szCs w:val="20"/>
          <w:color w:val="auto"/>
        </w:rPr>
        <w:t>The increase in working capital in 2022 was partially offset by the effects of a $1.3 billion increase in net income, excluding the effects of the previously mentioned charges and credits (which had no impact on cash flow from operations), in 2022 as compared to 2021. In addition, cash flow from operations in 2021 benefited from a federal tax refund of $477 million relating to the carryback of US net operating losses pursuant to the Coronavirus Aid, Relief and Economic Security Act.</w:t>
      </w:r>
    </w:p>
    <w:p>
      <w:pPr>
        <w:spacing w:after="0" w:line="117"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April 2022, SLB announced a 40% increase to its quarterly cash dividend from $0.125 per share of outstanding common stock to $0.175 per share, beginning with the dividend payable in July 2022. Dividends paid during 2022 and 2021 were $0.8 billion and $0.7 billion, respectively. In January 2023, SLB announced a further 43% increase to its quarterly cash dividend from $0.175 per share of outstanding common stock to $0.25 per share, beginning with the dividend payable in April 2023.</w:t>
      </w:r>
    </w:p>
    <w:p>
      <w:pPr>
        <w:spacing w:after="0" w:line="117"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On January 21, 2016, the SLB Board of Directors approved a $10 billion share repurchase program for SLB common stock. SLB had repurchased $1.0 billion of SLB common stock under this program as of December 31, 2022. SLB did not repurchase any of its common stock during 2022 and 2021. SLB resumed repurchases under this program in the first quarter of 2023.</w:t>
      </w:r>
    </w:p>
    <w:p>
      <w:pPr>
        <w:spacing w:after="0" w:line="115"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Capital investments (consisting of capital expenditures, APS investments and exploration data capitalized) were $2.3 billion in 2022 and $1.7 billion in 2021. Capital investments during 2023 are expected to be approximately $2.5 to $2.6 billion as SLB continues to support the strong revenue growth that is expected to continue in 2023.</w:t>
      </w:r>
    </w:p>
    <w:p>
      <w:pPr>
        <w:spacing w:after="0" w:line="118"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During 2022, SLB sold 47.8 million of its shares of Liberty and received proceeds of $732 million. During 2021, SLB sold 9.5 million of its shares of Liberty and received proceeds of $109 million.</w:t>
      </w:r>
    </w:p>
    <w:p>
      <w:pPr>
        <w:spacing w:after="0" w:line="116"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During the fourth quarter of 2022, SLB repurchased $395 million of its 3.75% Senior Notes due 2024 and $409 million of its 4.00% Senior Notes due 2025 for $790 million.</w:t>
      </w:r>
    </w:p>
    <w:p>
      <w:pPr>
        <w:spacing w:after="0" w:line="119" w:lineRule="exact"/>
        <w:rPr>
          <w:rFonts w:ascii="Arial" w:cs="Arial" w:eastAsia="Arial" w:hAnsi="Arial"/>
          <w:sz w:val="20"/>
          <w:szCs w:val="20"/>
          <w:color w:val="auto"/>
        </w:rPr>
      </w:pPr>
    </w:p>
    <w:p>
      <w:pPr>
        <w:ind w:left="840" w:right="120" w:hanging="360"/>
        <w:spacing w:after="0" w:line="243"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During the fourth quarter of 2022, SLB sold a portion of its equity interest in ADC in a secondary offering that resulted in SLB receiving net proceeds of $223 million.</w:t>
      </w:r>
    </w:p>
    <w:p>
      <w:pPr>
        <w:spacing w:after="0" w:line="123" w:lineRule="exact"/>
        <w:rPr>
          <w:rFonts w:ascii="Arial" w:cs="Arial" w:eastAsia="Arial" w:hAnsi="Arial"/>
          <w:sz w:val="20"/>
          <w:szCs w:val="20"/>
          <w:color w:val="auto"/>
        </w:rPr>
      </w:pPr>
    </w:p>
    <w:p>
      <w:pPr>
        <w:ind w:left="840" w:right="120" w:hanging="360"/>
        <w:spacing w:after="0" w:line="243"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During the second quarter of 2022, SLB sold certain real estate and received proceeds of $120 million.</w:t>
      </w:r>
    </w:p>
    <w:p>
      <w:pPr>
        <w:spacing w:after="0" w:line="123" w:lineRule="exact"/>
        <w:rPr>
          <w:rFonts w:ascii="Arial" w:cs="Arial" w:eastAsia="Arial" w:hAnsi="Arial"/>
          <w:sz w:val="20"/>
          <w:szCs w:val="20"/>
          <w:color w:val="auto"/>
        </w:rPr>
      </w:pPr>
    </w:p>
    <w:p>
      <w:pPr>
        <w:jc w:val="both"/>
        <w:ind w:left="840" w:right="120" w:hanging="360"/>
        <w:spacing w:after="0" w:line="247"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During the fourth quarter of 2021, SLB deposited sufficient funds with the trustee for its $1.0 billion of 2.40% Senior Notes due 2022 to satisfy and discharge all of its obligations relating to such notes.</w:t>
      </w:r>
    </w:p>
    <w:p>
      <w:pPr>
        <w:spacing w:after="0" w:line="118"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During the second quarter of 2021, SLB repurchased all $665 million of its 3.30% Senior Notes due 2021.</w:t>
      </w:r>
    </w:p>
    <w:p>
      <w:pPr>
        <w:sectPr>
          <w:pgSz w:w="12240" w:h="15840" w:orient="portrait"/>
          <w:cols w:equalWidth="0" w:num="1">
            <w:col w:w="9360"/>
          </w:cols>
          <w:pgMar w:left="1440" w:top="1440" w:right="1440" w:bottom="836"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9360"/>
          </w:cols>
          <w:pgMar w:left="1440" w:top="1440" w:right="1440" w:bottom="836" w:gutter="0" w:footer="0" w:header="0"/>
          <w:type w:val="continuous"/>
        </w:sectPr>
      </w:pPr>
    </w:p>
    <w:bookmarkStart w:id="55" w:name="page56"/>
    <w:bookmarkEnd w:id="55"/>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As of December 31, 2022, SLB had $2.89 billion of cash and short-term investments and committed credit facility agreements with commercial banks aggregating $6.55 billion, all of which was available and unused. SLB believes these amounts, along with cash generated by ongoing operations, will be sufficient to meet future business requirements for the next 12 months and beyond.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reflects the carrying amounts of SLB’s debt at December 31, 2022 by year of maturity: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ind w:left="100"/>
              <w:spacing w:after="0"/>
              <w:rPr>
                <w:sz w:val="20"/>
                <w:szCs w:val="20"/>
                <w:color w:val="auto"/>
              </w:rPr>
            </w:pPr>
            <w:r>
              <w:rPr>
                <w:rFonts w:ascii="Arial" w:cs="Arial" w:eastAsia="Arial" w:hAnsi="Arial"/>
                <w:sz w:val="16"/>
                <w:szCs w:val="16"/>
                <w:i w:val="1"/>
                <w:iCs w:val="1"/>
                <w:color w:val="auto"/>
                <w:w w:val="98"/>
              </w:rPr>
              <w:t>(Stated in millions)</w:t>
            </w: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After</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20" w:type="dxa"/>
            <w:vAlign w:val="bottom"/>
          </w:tcPr>
          <w:p>
            <w:pPr>
              <w:jc w:val="right"/>
              <w:ind w:right="22"/>
              <w:spacing w:after="0" w:line="201"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jc w:val="center"/>
              <w:spacing w:after="0" w:line="201" w:lineRule="exact"/>
              <w:rPr>
                <w:sz w:val="20"/>
                <w:szCs w:val="20"/>
                <w:color w:val="auto"/>
              </w:rPr>
            </w:pPr>
            <w:r>
              <w:rPr>
                <w:rFonts w:ascii="Arial" w:cs="Arial" w:eastAsia="Arial" w:hAnsi="Arial"/>
                <w:sz w:val="18"/>
                <w:szCs w:val="18"/>
                <w:color w:val="auto"/>
                <w:w w:val="99"/>
              </w:rPr>
              <w:t>2024</w:t>
            </w:r>
          </w:p>
        </w:tc>
        <w:tc>
          <w:tcPr>
            <w:tcW w:w="80" w:type="dxa"/>
            <w:vAlign w:val="bottom"/>
          </w:tcPr>
          <w:p>
            <w:pPr>
              <w:spacing w:after="0"/>
              <w:rPr>
                <w:sz w:val="17"/>
                <w:szCs w:val="17"/>
                <w:color w:val="auto"/>
              </w:rPr>
            </w:pP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2025</w:t>
            </w:r>
          </w:p>
        </w:tc>
        <w:tc>
          <w:tcPr>
            <w:tcW w:w="80" w:type="dxa"/>
            <w:vAlign w:val="bottom"/>
          </w:tcPr>
          <w:p>
            <w:pPr>
              <w:spacing w:after="0"/>
              <w:rPr>
                <w:sz w:val="17"/>
                <w:szCs w:val="17"/>
                <w:color w:val="auto"/>
              </w:rPr>
            </w:pPr>
          </w:p>
        </w:tc>
        <w:tc>
          <w:tcPr>
            <w:tcW w:w="620" w:type="dxa"/>
            <w:vAlign w:val="bottom"/>
          </w:tcPr>
          <w:p>
            <w:pPr>
              <w:jc w:val="right"/>
              <w:ind w:right="2"/>
              <w:spacing w:after="0" w:line="201" w:lineRule="exact"/>
              <w:rPr>
                <w:sz w:val="20"/>
                <w:szCs w:val="20"/>
                <w:color w:val="auto"/>
              </w:rPr>
            </w:pPr>
            <w:r>
              <w:rPr>
                <w:rFonts w:ascii="Arial" w:cs="Arial" w:eastAsia="Arial" w:hAnsi="Arial"/>
                <w:sz w:val="18"/>
                <w:szCs w:val="18"/>
                <w:color w:val="auto"/>
              </w:rPr>
              <w:t>2026</w:t>
            </w:r>
          </w:p>
        </w:tc>
        <w:tc>
          <w:tcPr>
            <w:tcW w:w="8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99"/>
              </w:rPr>
              <w:t>2027</w:t>
            </w:r>
          </w:p>
        </w:tc>
        <w:tc>
          <w:tcPr>
            <w:tcW w:w="80" w:type="dxa"/>
            <w:vAlign w:val="bottom"/>
          </w:tcPr>
          <w:p>
            <w:pPr>
              <w:spacing w:after="0"/>
              <w:rPr>
                <w:sz w:val="17"/>
                <w:szCs w:val="17"/>
                <w:color w:val="auto"/>
              </w:rPr>
            </w:pPr>
          </w:p>
        </w:tc>
        <w:tc>
          <w:tcPr>
            <w:tcW w:w="620" w:type="dxa"/>
            <w:vAlign w:val="bottom"/>
          </w:tcPr>
          <w:p>
            <w:pPr>
              <w:jc w:val="right"/>
              <w:ind w:right="21"/>
              <w:spacing w:after="0" w:line="201" w:lineRule="exact"/>
              <w:rPr>
                <w:sz w:val="20"/>
                <w:szCs w:val="20"/>
                <w:color w:val="auto"/>
              </w:rPr>
            </w:pPr>
            <w:r>
              <w:rPr>
                <w:rFonts w:ascii="Arial" w:cs="Arial" w:eastAsia="Arial" w:hAnsi="Arial"/>
                <w:sz w:val="18"/>
                <w:szCs w:val="18"/>
                <w:color w:val="auto"/>
              </w:rPr>
              <w:t>2028</w:t>
            </w:r>
          </w:p>
        </w:tc>
        <w:tc>
          <w:tcPr>
            <w:tcW w:w="8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99"/>
              </w:rPr>
              <w:t>2029</w:t>
            </w:r>
          </w:p>
        </w:tc>
        <w:tc>
          <w:tcPr>
            <w:tcW w:w="80" w:type="dxa"/>
            <w:vAlign w:val="bottom"/>
          </w:tcPr>
          <w:p>
            <w:pPr>
              <w:spacing w:after="0"/>
              <w:rPr>
                <w:sz w:val="17"/>
                <w:szCs w:val="17"/>
                <w:color w:val="auto"/>
              </w:rPr>
            </w:pPr>
          </w:p>
        </w:tc>
        <w:tc>
          <w:tcPr>
            <w:tcW w:w="600" w:type="dxa"/>
            <w:vAlign w:val="bottom"/>
          </w:tcPr>
          <w:p>
            <w:pPr>
              <w:ind w:left="100"/>
              <w:spacing w:after="0" w:line="201" w:lineRule="exact"/>
              <w:rPr>
                <w:sz w:val="20"/>
                <w:szCs w:val="20"/>
                <w:color w:val="auto"/>
              </w:rPr>
            </w:pPr>
            <w:r>
              <w:rPr>
                <w:rFonts w:ascii="Arial" w:cs="Arial" w:eastAsia="Arial" w:hAnsi="Arial"/>
                <w:sz w:val="18"/>
                <w:szCs w:val="18"/>
                <w:color w:val="auto"/>
              </w:rPr>
              <w:t>2030</w:t>
            </w:r>
          </w:p>
        </w:tc>
        <w:tc>
          <w:tcPr>
            <w:tcW w:w="80" w:type="dxa"/>
            <w:vAlign w:val="bottom"/>
          </w:tcPr>
          <w:p>
            <w:pPr>
              <w:spacing w:after="0"/>
              <w:rPr>
                <w:sz w:val="17"/>
                <w:szCs w:val="17"/>
                <w:color w:val="auto"/>
              </w:rPr>
            </w:pPr>
          </w:p>
        </w:tc>
        <w:tc>
          <w:tcPr>
            <w:tcW w:w="6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2031</w:t>
            </w:r>
          </w:p>
        </w:tc>
        <w:tc>
          <w:tcPr>
            <w:tcW w:w="80" w:type="dxa"/>
            <w:vAlign w:val="bottom"/>
          </w:tcPr>
          <w:p>
            <w:pPr>
              <w:spacing w:after="0"/>
              <w:rPr>
                <w:sz w:val="17"/>
                <w:szCs w:val="17"/>
                <w:color w:val="auto"/>
              </w:rPr>
            </w:pPr>
          </w:p>
        </w:tc>
        <w:tc>
          <w:tcPr>
            <w:tcW w:w="720" w:type="dxa"/>
            <w:vAlign w:val="bottom"/>
          </w:tcPr>
          <w:p>
            <w:pPr>
              <w:jc w:val="right"/>
              <w:ind w:right="60"/>
              <w:spacing w:after="0" w:line="201"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3160" w:type="dxa"/>
            <w:vAlign w:val="bottom"/>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160" w:type="dxa"/>
            <w:vAlign w:val="bottom"/>
            <w:gridSpan w:val="2"/>
            <w:shd w:val="clear" w:color="auto" w:fill="CCCCCC"/>
          </w:tcPr>
          <w:p>
            <w:pPr>
              <w:spacing w:after="0"/>
              <w:rPr>
                <w:sz w:val="20"/>
                <w:szCs w:val="20"/>
                <w:color w:val="auto"/>
              </w:rPr>
            </w:pPr>
            <w:r>
              <w:rPr>
                <w:rFonts w:ascii="Arial" w:cs="Arial" w:eastAsia="Arial" w:hAnsi="Arial"/>
                <w:sz w:val="20"/>
                <w:szCs w:val="20"/>
                <w:b w:val="1"/>
                <w:bCs w:val="1"/>
                <w:color w:val="auto"/>
              </w:rPr>
              <w:t>Fixed rate debt</w:t>
            </w:r>
          </w:p>
        </w:tc>
        <w:tc>
          <w:tcPr>
            <w:tcW w:w="620" w:type="dxa"/>
            <w:vAlign w:val="bottom"/>
            <w:shd w:val="clear" w:color="auto" w:fill="CCCCCC"/>
          </w:tcPr>
          <w:p>
            <w:pPr>
              <w:spacing w:after="0"/>
              <w:rPr>
                <w:sz w:val="23"/>
                <w:szCs w:val="23"/>
                <w:color w:val="auto"/>
              </w:rPr>
            </w:pPr>
          </w:p>
        </w:tc>
        <w:tc>
          <w:tcPr>
            <w:tcW w:w="2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c>
          <w:tcPr>
            <w:tcW w:w="44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0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62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44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62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44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60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42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72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3.65%</w:t>
            </w:r>
          </w:p>
        </w:tc>
        <w:tc>
          <w:tcPr>
            <w:tcW w:w="2580" w:type="dxa"/>
            <w:vAlign w:val="bottom"/>
          </w:tcPr>
          <w:p>
            <w:pPr>
              <w:ind w:left="40"/>
              <w:spacing w:after="0"/>
              <w:rPr>
                <w:sz w:val="20"/>
                <w:szCs w:val="20"/>
                <w:color w:val="auto"/>
              </w:rPr>
            </w:pPr>
            <w:r>
              <w:rPr>
                <w:rFonts w:ascii="Arial" w:cs="Arial" w:eastAsia="Arial" w:hAnsi="Arial"/>
                <w:sz w:val="20"/>
                <w:szCs w:val="20"/>
                <w:color w:val="auto"/>
              </w:rPr>
              <w:t>Senior Notes . . . . . . . . . . . .</w:t>
            </w: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$1,499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1,499</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4.00%</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w w:val="99"/>
              </w:rPr>
              <w:t>Notes . . . . . . . . . . . . . . . . . .</w:t>
            </w:r>
          </w:p>
        </w:tc>
        <w:tc>
          <w:tcPr>
            <w:tcW w:w="640" w:type="dxa"/>
            <w:vAlign w:val="bottom"/>
            <w:gridSpan w:val="2"/>
            <w:shd w:val="clear" w:color="auto" w:fill="CCCCCC"/>
          </w:tcPr>
          <w:p>
            <w:pPr>
              <w:jc w:val="right"/>
              <w:ind w:right="20"/>
              <w:spacing w:after="0"/>
              <w:rPr>
                <w:sz w:val="20"/>
                <w:szCs w:val="20"/>
                <w:color w:val="auto"/>
              </w:rPr>
            </w:pPr>
            <w:r>
              <w:rPr>
                <w:rFonts w:ascii="Arial" w:cs="Arial" w:eastAsia="Arial" w:hAnsi="Arial"/>
                <w:sz w:val="20"/>
                <w:szCs w:val="20"/>
                <w:color w:val="auto"/>
              </w:rPr>
              <w:t>79</w:t>
            </w: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0.00%</w:t>
            </w:r>
          </w:p>
        </w:tc>
        <w:tc>
          <w:tcPr>
            <w:tcW w:w="2580" w:type="dxa"/>
            <w:vAlign w:val="bottom"/>
          </w:tcPr>
          <w:p>
            <w:pPr>
              <w:ind w:left="40"/>
              <w:spacing w:after="0"/>
              <w:rPr>
                <w:sz w:val="20"/>
                <w:szCs w:val="20"/>
                <w:color w:val="auto"/>
              </w:rPr>
            </w:pPr>
            <w:r>
              <w:rPr>
                <w:rFonts w:ascii="Arial" w:cs="Arial" w:eastAsia="Arial" w:hAnsi="Arial"/>
                <w:sz w:val="20"/>
                <w:szCs w:val="20"/>
                <w:color w:val="auto"/>
                <w:w w:val="99"/>
              </w:rPr>
              <w:t>Notes . . . . . . . . . . .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Arial" w:cs="Arial" w:eastAsia="Arial" w:hAnsi="Arial"/>
                <w:sz w:val="20"/>
                <w:szCs w:val="20"/>
                <w:color w:val="auto"/>
                <w:w w:val="98"/>
              </w:rPr>
              <w:t>$531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531</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3.75%</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rPr>
              <w:t>Senior Notes . . . . . .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5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355</w:t>
            </w: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355</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3.70%</w:t>
            </w:r>
          </w:p>
        </w:tc>
        <w:tc>
          <w:tcPr>
            <w:tcW w:w="2580" w:type="dxa"/>
            <w:vAlign w:val="bottom"/>
          </w:tcPr>
          <w:p>
            <w:pPr>
              <w:ind w:left="40"/>
              <w:spacing w:after="0"/>
              <w:rPr>
                <w:sz w:val="20"/>
                <w:szCs w:val="20"/>
                <w:color w:val="auto"/>
              </w:rPr>
            </w:pPr>
            <w:r>
              <w:rPr>
                <w:rFonts w:ascii="Arial" w:cs="Arial" w:eastAsia="Arial" w:hAnsi="Arial"/>
                <w:sz w:val="20"/>
                <w:szCs w:val="20"/>
                <w:color w:val="auto"/>
                <w:w w:val="99"/>
              </w:rPr>
              <w:t>Notes . . . . . . . . . . .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54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4.00%</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rPr>
              <w:t>Senior Notes . . . . . .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gridSpan w:val="2"/>
            <w:shd w:val="clear" w:color="auto" w:fill="CCCCCC"/>
          </w:tcPr>
          <w:p>
            <w:pPr>
              <w:jc w:val="right"/>
              <w:ind w:right="80"/>
              <w:spacing w:after="0"/>
              <w:rPr>
                <w:sz w:val="20"/>
                <w:szCs w:val="20"/>
                <w:color w:val="auto"/>
              </w:rPr>
            </w:pPr>
            <w:r>
              <w:rPr>
                <w:rFonts w:ascii="Arial" w:cs="Arial" w:eastAsia="Arial" w:hAnsi="Arial"/>
                <w:sz w:val="20"/>
                <w:szCs w:val="20"/>
                <w:color w:val="auto"/>
              </w:rPr>
              <w:t>522</w:t>
            </w: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522</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1.40%</w:t>
            </w:r>
          </w:p>
        </w:tc>
        <w:tc>
          <w:tcPr>
            <w:tcW w:w="2580" w:type="dxa"/>
            <w:vAlign w:val="bottom"/>
          </w:tcPr>
          <w:p>
            <w:pPr>
              <w:ind w:left="40"/>
              <w:spacing w:after="0"/>
              <w:rPr>
                <w:sz w:val="20"/>
                <w:szCs w:val="20"/>
                <w:color w:val="auto"/>
              </w:rPr>
            </w:pPr>
            <w:r>
              <w:rPr>
                <w:rFonts w:ascii="Arial" w:cs="Arial" w:eastAsia="Arial" w:hAnsi="Arial"/>
                <w:sz w:val="20"/>
                <w:szCs w:val="20"/>
                <w:color w:val="auto"/>
              </w:rPr>
              <w:t>Senior Notes . . . . .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499</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499</w:t>
            </w:r>
          </w:p>
        </w:tc>
        <w:tc>
          <w:tcPr>
            <w:tcW w:w="0" w:type="dxa"/>
            <w:vAlign w:val="bottom"/>
          </w:tcPr>
          <w:p>
            <w:pPr>
              <w:spacing w:after="0"/>
              <w:rPr>
                <w:sz w:val="1"/>
                <w:szCs w:val="1"/>
                <w:color w:val="auto"/>
              </w:rPr>
            </w:pPr>
          </w:p>
        </w:tc>
      </w:tr>
      <w:tr>
        <w:trPr>
          <w:trHeight w:val="280"/>
        </w:trPr>
        <w:tc>
          <w:tcPr>
            <w:tcW w:w="3160" w:type="dxa"/>
            <w:vAlign w:val="bottom"/>
            <w:gridSpan w:val="2"/>
            <w:shd w:val="clear" w:color="auto" w:fill="CCCCCC"/>
          </w:tcPr>
          <w:p>
            <w:pPr>
              <w:spacing w:after="0"/>
              <w:rPr>
                <w:sz w:val="20"/>
                <w:szCs w:val="20"/>
                <w:color w:val="auto"/>
              </w:rPr>
            </w:pPr>
            <w:r>
              <w:rPr>
                <w:rFonts w:ascii="Arial" w:cs="Arial" w:eastAsia="Arial" w:hAnsi="Arial"/>
                <w:sz w:val="20"/>
                <w:szCs w:val="20"/>
                <w:color w:val="auto"/>
              </w:rPr>
              <w:t>1.375% Guaranteed Notes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w w:val="98"/>
              </w:rPr>
              <w:t>$1,060</w:t>
            </w: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1,060</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1.00%</w:t>
            </w:r>
          </w:p>
        </w:tc>
        <w:tc>
          <w:tcPr>
            <w:tcW w:w="2580" w:type="dxa"/>
            <w:vAlign w:val="bottom"/>
          </w:tcPr>
          <w:p>
            <w:pPr>
              <w:ind w:left="40"/>
              <w:spacing w:after="0"/>
              <w:rPr>
                <w:sz w:val="20"/>
                <w:szCs w:val="20"/>
                <w:color w:val="auto"/>
              </w:rPr>
            </w:pPr>
            <w:r>
              <w:rPr>
                <w:rFonts w:ascii="Arial" w:cs="Arial" w:eastAsia="Arial" w:hAnsi="Arial"/>
                <w:sz w:val="20"/>
                <w:szCs w:val="20"/>
                <w:color w:val="auto"/>
              </w:rPr>
              <w:t>Guaranteed Notes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636</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636</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0.25%</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w w:val="99"/>
              </w:rPr>
              <w:t>Notes . . . . . . . . . . . .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5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w w:val="94"/>
              </w:rPr>
              <w:t>$955</w:t>
            </w: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955</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3.90%</w:t>
            </w:r>
          </w:p>
        </w:tc>
        <w:tc>
          <w:tcPr>
            <w:tcW w:w="2580" w:type="dxa"/>
            <w:vAlign w:val="bottom"/>
          </w:tcPr>
          <w:p>
            <w:pPr>
              <w:ind w:left="40"/>
              <w:spacing w:after="0"/>
              <w:rPr>
                <w:sz w:val="20"/>
                <w:szCs w:val="20"/>
                <w:color w:val="auto"/>
              </w:rPr>
            </w:pPr>
            <w:r>
              <w:rPr>
                <w:rFonts w:ascii="Arial" w:cs="Arial" w:eastAsia="Arial" w:hAnsi="Arial"/>
                <w:sz w:val="20"/>
                <w:szCs w:val="20"/>
                <w:color w:val="auto"/>
              </w:rPr>
              <w:t>Senior Notes . . . . .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w w:val="98"/>
              </w:rPr>
              <w:t>$1,464</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1,464</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4.30%</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rPr>
              <w:t>Senior Notes . . . . . .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520" w:type="dxa"/>
            <w:vAlign w:val="bottom"/>
            <w:gridSpan w:val="2"/>
            <w:shd w:val="clear" w:color="auto" w:fill="CCCCCC"/>
          </w:tcPr>
          <w:p>
            <w:pPr>
              <w:jc w:val="right"/>
              <w:ind w:right="80"/>
              <w:spacing w:after="0"/>
              <w:rPr>
                <w:sz w:val="20"/>
                <w:szCs w:val="20"/>
                <w:color w:val="auto"/>
              </w:rPr>
            </w:pPr>
            <w:r>
              <w:rPr>
                <w:rFonts w:ascii="Arial" w:cs="Arial" w:eastAsia="Arial" w:hAnsi="Arial"/>
                <w:sz w:val="20"/>
                <w:szCs w:val="20"/>
                <w:color w:val="auto"/>
                <w:w w:val="94"/>
              </w:rPr>
              <w:t>$847</w:t>
            </w: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847</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2.65%</w:t>
            </w:r>
          </w:p>
        </w:tc>
        <w:tc>
          <w:tcPr>
            <w:tcW w:w="2580" w:type="dxa"/>
            <w:vAlign w:val="bottom"/>
          </w:tcPr>
          <w:p>
            <w:pPr>
              <w:ind w:left="40"/>
              <w:spacing w:after="0"/>
              <w:rPr>
                <w:sz w:val="20"/>
                <w:szCs w:val="20"/>
                <w:color w:val="auto"/>
              </w:rPr>
            </w:pPr>
            <w:r>
              <w:rPr>
                <w:rFonts w:ascii="Arial" w:cs="Arial" w:eastAsia="Arial" w:hAnsi="Arial"/>
                <w:sz w:val="20"/>
                <w:szCs w:val="20"/>
                <w:color w:val="auto"/>
              </w:rPr>
              <w:t>Senior Notes . . . . .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20"/>
                <w:szCs w:val="20"/>
                <w:color w:val="auto"/>
              </w:rPr>
              <w:t>$1,250</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1,250</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2.00%</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rPr>
              <w:t>Guaranteed Notes .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00" w:type="dxa"/>
            <w:vAlign w:val="bottom"/>
            <w:gridSpan w:val="3"/>
            <w:shd w:val="clear" w:color="auto" w:fill="CCCCCC"/>
          </w:tcPr>
          <w:p>
            <w:pPr>
              <w:jc w:val="right"/>
              <w:ind w:right="80"/>
              <w:spacing w:after="0"/>
              <w:rPr>
                <w:sz w:val="20"/>
                <w:szCs w:val="20"/>
                <w:color w:val="auto"/>
              </w:rPr>
            </w:pPr>
            <w:r>
              <w:rPr>
                <w:rFonts w:ascii="Arial" w:cs="Arial" w:eastAsia="Arial" w:hAnsi="Arial"/>
                <w:sz w:val="20"/>
                <w:szCs w:val="20"/>
                <w:color w:val="auto"/>
                <w:w w:val="98"/>
              </w:rPr>
              <w:t>$1,055</w:t>
            </w: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1,055</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0.50%</w:t>
            </w:r>
          </w:p>
        </w:tc>
        <w:tc>
          <w:tcPr>
            <w:tcW w:w="2580" w:type="dxa"/>
            <w:vAlign w:val="bottom"/>
          </w:tcPr>
          <w:p>
            <w:pPr>
              <w:ind w:left="40"/>
              <w:spacing w:after="0"/>
              <w:rPr>
                <w:sz w:val="20"/>
                <w:szCs w:val="20"/>
                <w:color w:val="auto"/>
              </w:rPr>
            </w:pPr>
            <w:r>
              <w:rPr>
                <w:rFonts w:ascii="Arial" w:cs="Arial" w:eastAsia="Arial" w:hAnsi="Arial"/>
                <w:sz w:val="20"/>
                <w:szCs w:val="20"/>
                <w:color w:val="auto"/>
                <w:w w:val="99"/>
              </w:rPr>
              <w:t>Notes . . . . . . . . . . .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20"/>
                <w:szCs w:val="20"/>
                <w:color w:val="auto"/>
              </w:rPr>
              <w:t>954</w:t>
            </w:r>
          </w:p>
        </w:tc>
        <w:tc>
          <w:tcPr>
            <w:tcW w:w="720" w:type="dxa"/>
            <w:vAlign w:val="bottom"/>
          </w:tcPr>
          <w:p>
            <w:pPr>
              <w:jc w:val="right"/>
              <w:spacing w:after="0"/>
              <w:rPr>
                <w:sz w:val="20"/>
                <w:szCs w:val="20"/>
                <w:color w:val="auto"/>
              </w:rPr>
            </w:pPr>
            <w:r>
              <w:rPr>
                <w:rFonts w:ascii="Arial" w:cs="Arial" w:eastAsia="Arial" w:hAnsi="Arial"/>
                <w:sz w:val="20"/>
                <w:szCs w:val="20"/>
                <w:color w:val="auto"/>
              </w:rPr>
              <w:t>954</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7.00%</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w w:val="99"/>
              </w:rPr>
              <w:t>Notes . . . . . . . . . . . .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00" w:type="dxa"/>
            <w:vAlign w:val="bottom"/>
            <w:gridSpan w:val="3"/>
            <w:shd w:val="clear" w:color="auto" w:fill="CCCCCC"/>
          </w:tcPr>
          <w:p>
            <w:pPr>
              <w:jc w:val="right"/>
              <w:ind w:right="80"/>
              <w:spacing w:after="0"/>
              <w:rPr>
                <w:sz w:val="20"/>
                <w:szCs w:val="20"/>
                <w:color w:val="auto"/>
              </w:rPr>
            </w:pPr>
            <w:r>
              <w:rPr>
                <w:rFonts w:ascii="Arial" w:cs="Arial" w:eastAsia="Arial" w:hAnsi="Arial"/>
                <w:sz w:val="20"/>
                <w:szCs w:val="20"/>
                <w:color w:val="auto"/>
              </w:rPr>
              <w:t>202</w:t>
            </w: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w w:val="98"/>
              </w:rPr>
              <w:t>5.95%</w:t>
            </w:r>
          </w:p>
        </w:tc>
        <w:tc>
          <w:tcPr>
            <w:tcW w:w="2580" w:type="dxa"/>
            <w:vAlign w:val="bottom"/>
          </w:tcPr>
          <w:p>
            <w:pPr>
              <w:ind w:left="40"/>
              <w:spacing w:after="0"/>
              <w:rPr>
                <w:sz w:val="20"/>
                <w:szCs w:val="20"/>
                <w:color w:val="auto"/>
              </w:rPr>
            </w:pPr>
            <w:r>
              <w:rPr>
                <w:rFonts w:ascii="Arial" w:cs="Arial" w:eastAsia="Arial" w:hAnsi="Arial"/>
                <w:sz w:val="20"/>
                <w:szCs w:val="20"/>
                <w:color w:val="auto"/>
                <w:w w:val="99"/>
              </w:rPr>
              <w:t>Notes . . . . . . . . . . . . . . . . . .</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20"/>
                <w:szCs w:val="20"/>
                <w:color w:val="auto"/>
              </w:rPr>
              <w:t>112</w:t>
            </w:r>
          </w:p>
        </w:tc>
        <w:tc>
          <w:tcPr>
            <w:tcW w:w="720" w:type="dxa"/>
            <w:vAlign w:val="bottom"/>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w w:val="98"/>
              </w:rPr>
              <w:t>5.13%</w:t>
            </w:r>
          </w:p>
        </w:tc>
        <w:tc>
          <w:tcPr>
            <w:tcW w:w="2580" w:type="dxa"/>
            <w:vAlign w:val="bottom"/>
            <w:shd w:val="clear" w:color="auto" w:fill="CCCCCC"/>
          </w:tcPr>
          <w:p>
            <w:pPr>
              <w:ind w:left="40"/>
              <w:spacing w:after="0"/>
              <w:rPr>
                <w:sz w:val="20"/>
                <w:szCs w:val="20"/>
                <w:color w:val="auto"/>
              </w:rPr>
            </w:pPr>
            <w:r>
              <w:rPr>
                <w:rFonts w:ascii="Arial" w:cs="Arial" w:eastAsia="Arial" w:hAnsi="Arial"/>
                <w:sz w:val="20"/>
                <w:szCs w:val="20"/>
                <w:color w:val="auto"/>
                <w:w w:val="99"/>
              </w:rPr>
              <w:t>Notes . . . . . . . . . . . . . . . . . .</w:t>
            </w:r>
          </w:p>
        </w:tc>
        <w:tc>
          <w:tcPr>
            <w:tcW w:w="62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00" w:type="dxa"/>
            <w:vAlign w:val="bottom"/>
            <w:gridSpan w:val="3"/>
            <w:shd w:val="clear" w:color="auto" w:fill="CCCCCC"/>
          </w:tcPr>
          <w:p>
            <w:pPr>
              <w:jc w:val="right"/>
              <w:ind w:right="80"/>
              <w:spacing w:after="0"/>
              <w:rPr>
                <w:sz w:val="20"/>
                <w:szCs w:val="20"/>
                <w:color w:val="auto"/>
              </w:rPr>
            </w:pPr>
            <w:r>
              <w:rPr>
                <w:rFonts w:ascii="Arial" w:cs="Arial" w:eastAsia="Arial" w:hAnsi="Arial"/>
                <w:sz w:val="20"/>
                <w:szCs w:val="20"/>
                <w:color w:val="auto"/>
              </w:rPr>
              <w:t>98</w:t>
            </w: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70"/>
        </w:trPr>
        <w:tc>
          <w:tcPr>
            <w:tcW w:w="3160" w:type="dxa"/>
            <w:vAlign w:val="bottom"/>
            <w:gridSpan w:val="2"/>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gridSpan w:val="2"/>
          </w:tcPr>
          <w:p>
            <w:pPr>
              <w:spacing w:after="0"/>
              <w:rPr>
                <w:sz w:val="20"/>
                <w:szCs w:val="20"/>
                <w:color w:val="auto"/>
              </w:rPr>
            </w:pPr>
            <w:r>
              <w:rPr>
                <w:rFonts w:ascii="Arial" w:cs="Arial" w:eastAsia="Arial" w:hAnsi="Arial"/>
                <w:sz w:val="20"/>
                <w:szCs w:val="20"/>
                <w:color w:val="auto"/>
              </w:rPr>
              <w:t>Total fixed rate debt . . . . . . . . . . . .</w:t>
            </w: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$1,578</w:t>
            </w:r>
          </w:p>
        </w:tc>
        <w:tc>
          <w:tcPr>
            <w:tcW w:w="60" w:type="dxa"/>
            <w:vAlign w:val="bottom"/>
          </w:tcPr>
          <w:p>
            <w:pPr>
              <w:spacing w:after="0"/>
              <w:rPr>
                <w:sz w:val="23"/>
                <w:szCs w:val="23"/>
                <w:color w:val="auto"/>
              </w:rPr>
            </w:pPr>
          </w:p>
        </w:tc>
        <w:tc>
          <w:tcPr>
            <w:tcW w:w="520" w:type="dxa"/>
            <w:vAlign w:val="bottom"/>
            <w:gridSpan w:val="2"/>
          </w:tcPr>
          <w:p>
            <w:pPr>
              <w:jc w:val="center"/>
              <w:spacing w:after="0"/>
              <w:rPr>
                <w:sz w:val="20"/>
                <w:szCs w:val="20"/>
                <w:color w:val="auto"/>
              </w:rPr>
            </w:pPr>
            <w:r>
              <w:rPr>
                <w:rFonts w:ascii="Arial" w:cs="Arial" w:eastAsia="Arial" w:hAnsi="Arial"/>
                <w:sz w:val="20"/>
                <w:szCs w:val="20"/>
                <w:color w:val="auto"/>
                <w:w w:val="98"/>
              </w:rPr>
              <w:t>$940</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w w:val="95"/>
              </w:rPr>
              <w:t>1,021</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w w:val="98"/>
              </w:rPr>
              <w:t>$1,696</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w w:val="94"/>
              </w:rPr>
              <w:t>$955</w:t>
            </w: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w w:val="98"/>
              </w:rPr>
              <w:t>$1,464</w:t>
            </w:r>
          </w:p>
        </w:tc>
        <w:tc>
          <w:tcPr>
            <w:tcW w:w="520" w:type="dxa"/>
            <w:vAlign w:val="bottom"/>
            <w:gridSpan w:val="2"/>
          </w:tcPr>
          <w:p>
            <w:pPr>
              <w:jc w:val="right"/>
              <w:ind w:right="80"/>
              <w:spacing w:after="0"/>
              <w:rPr>
                <w:sz w:val="20"/>
                <w:szCs w:val="20"/>
                <w:color w:val="auto"/>
              </w:rPr>
            </w:pPr>
            <w:r>
              <w:rPr>
                <w:rFonts w:ascii="Arial" w:cs="Arial" w:eastAsia="Arial" w:hAnsi="Arial"/>
                <w:sz w:val="20"/>
                <w:szCs w:val="20"/>
                <w:color w:val="auto"/>
                <w:w w:val="94"/>
              </w:rPr>
              <w:t>$847</w:t>
            </w:r>
          </w:p>
        </w:tc>
        <w:tc>
          <w:tcPr>
            <w:tcW w:w="680" w:type="dxa"/>
            <w:vAlign w:val="bottom"/>
            <w:gridSpan w:val="2"/>
          </w:tcPr>
          <w:p>
            <w:pPr>
              <w:spacing w:after="0"/>
              <w:rPr>
                <w:sz w:val="20"/>
                <w:szCs w:val="20"/>
                <w:color w:val="auto"/>
              </w:rPr>
            </w:pPr>
            <w:r>
              <w:rPr>
                <w:rFonts w:ascii="Arial" w:cs="Arial" w:eastAsia="Arial" w:hAnsi="Arial"/>
                <w:sz w:val="20"/>
                <w:szCs w:val="20"/>
                <w:color w:val="auto"/>
              </w:rPr>
              <w:t>$1,250</w:t>
            </w:r>
          </w:p>
        </w:tc>
        <w:tc>
          <w:tcPr>
            <w:tcW w:w="700" w:type="dxa"/>
            <w:vAlign w:val="bottom"/>
            <w:gridSpan w:val="3"/>
          </w:tcPr>
          <w:p>
            <w:pPr>
              <w:jc w:val="right"/>
              <w:ind w:right="80"/>
              <w:spacing w:after="0"/>
              <w:rPr>
                <w:sz w:val="20"/>
                <w:szCs w:val="20"/>
                <w:color w:val="auto"/>
              </w:rPr>
            </w:pPr>
            <w:r>
              <w:rPr>
                <w:rFonts w:ascii="Arial" w:cs="Arial" w:eastAsia="Arial" w:hAnsi="Arial"/>
                <w:sz w:val="20"/>
                <w:szCs w:val="20"/>
                <w:color w:val="auto"/>
                <w:w w:val="98"/>
              </w:rPr>
              <w:t>$2,421</w:t>
            </w:r>
          </w:p>
        </w:tc>
        <w:tc>
          <w:tcPr>
            <w:tcW w:w="720" w:type="dxa"/>
            <w:vAlign w:val="bottom"/>
          </w:tcPr>
          <w:p>
            <w:pPr>
              <w:jc w:val="right"/>
              <w:spacing w:after="0"/>
              <w:rPr>
                <w:sz w:val="20"/>
                <w:szCs w:val="20"/>
                <w:color w:val="auto"/>
              </w:rPr>
            </w:pPr>
            <w:r>
              <w:rPr>
                <w:rFonts w:ascii="Arial" w:cs="Arial" w:eastAsia="Arial" w:hAnsi="Arial"/>
                <w:sz w:val="20"/>
                <w:szCs w:val="20"/>
                <w:color w:val="auto"/>
                <w:w w:val="96"/>
              </w:rPr>
              <w:t>$12,172</w:t>
            </w:r>
          </w:p>
        </w:tc>
        <w:tc>
          <w:tcPr>
            <w:tcW w:w="0" w:type="dxa"/>
            <w:vAlign w:val="bottom"/>
          </w:tcPr>
          <w:p>
            <w:pPr>
              <w:spacing w:after="0"/>
              <w:rPr>
                <w:sz w:val="1"/>
                <w:szCs w:val="1"/>
                <w:color w:val="auto"/>
              </w:rPr>
            </w:pPr>
          </w:p>
        </w:tc>
      </w:tr>
      <w:tr>
        <w:trPr>
          <w:trHeight w:val="280"/>
        </w:trPr>
        <w:tc>
          <w:tcPr>
            <w:tcW w:w="3160" w:type="dxa"/>
            <w:vAlign w:val="bottom"/>
            <w:gridSpan w:val="2"/>
            <w:shd w:val="clear" w:color="auto" w:fill="CCCCCC"/>
          </w:tcPr>
          <w:p>
            <w:pPr>
              <w:spacing w:after="0"/>
              <w:rPr>
                <w:sz w:val="20"/>
                <w:szCs w:val="20"/>
                <w:color w:val="auto"/>
              </w:rPr>
            </w:pPr>
            <w:r>
              <w:rPr>
                <w:rFonts w:ascii="Arial" w:cs="Arial" w:eastAsia="Arial" w:hAnsi="Arial"/>
                <w:sz w:val="20"/>
                <w:szCs w:val="20"/>
                <w:b w:val="1"/>
                <w:bCs w:val="1"/>
                <w:color w:val="auto"/>
              </w:rPr>
              <w:t xml:space="preserve">Variable rate debt </w:t>
            </w:r>
            <w:r>
              <w:rPr>
                <w:rFonts w:ascii="Arial" w:cs="Arial" w:eastAsia="Arial" w:hAnsi="Arial"/>
                <w:sz w:val="20"/>
                <w:szCs w:val="20"/>
                <w:color w:val="auto"/>
              </w:rPr>
              <w:t>. . . . . . . . . . . . .</w:t>
            </w:r>
          </w:p>
        </w:tc>
        <w:tc>
          <w:tcPr>
            <w:tcW w:w="640" w:type="dxa"/>
            <w:vAlign w:val="bottom"/>
            <w:gridSpan w:val="2"/>
            <w:shd w:val="clear" w:color="auto" w:fill="CCCCCC"/>
          </w:tcPr>
          <w:p>
            <w:pPr>
              <w:jc w:val="right"/>
              <w:ind w:right="20"/>
              <w:spacing w:after="0"/>
              <w:rPr>
                <w:sz w:val="20"/>
                <w:szCs w:val="20"/>
                <w:color w:val="auto"/>
              </w:rPr>
            </w:pPr>
            <w:r>
              <w:rPr>
                <w:rFonts w:ascii="Arial" w:cs="Arial" w:eastAsia="Arial" w:hAnsi="Arial"/>
                <w:sz w:val="20"/>
                <w:szCs w:val="20"/>
                <w:color w:val="auto"/>
              </w:rPr>
              <w:t>54</w:t>
            </w:r>
          </w:p>
        </w:tc>
        <w:tc>
          <w:tcPr>
            <w:tcW w:w="60" w:type="dxa"/>
            <w:vAlign w:val="bottom"/>
            <w:shd w:val="clear" w:color="auto" w:fill="CCCCCC"/>
          </w:tcPr>
          <w:p>
            <w:pPr>
              <w:spacing w:after="0"/>
              <w:rPr>
                <w:sz w:val="24"/>
                <w:szCs w:val="24"/>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6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600" w:type="dxa"/>
            <w:vAlign w:val="bottom"/>
            <w:shd w:val="clear" w:color="auto" w:fill="CCCCCC"/>
          </w:tcPr>
          <w:p>
            <w:pPr>
              <w:ind w:left="54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CCCC"/>
          </w:tcPr>
          <w:p>
            <w:pPr>
              <w:spacing w:after="0"/>
              <w:rPr>
                <w:sz w:val="24"/>
                <w:szCs w:val="24"/>
                <w:color w:val="auto"/>
              </w:rPr>
            </w:pPr>
          </w:p>
        </w:tc>
        <w:tc>
          <w:tcPr>
            <w:tcW w:w="6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70"/>
        </w:trPr>
        <w:tc>
          <w:tcPr>
            <w:tcW w:w="580" w:type="dxa"/>
            <w:vAlign w:val="bottom"/>
            <w:vMerge w:val="restart"/>
          </w:tcPr>
          <w:p>
            <w:pPr>
              <w:spacing w:after="0"/>
              <w:rPr>
                <w:sz w:val="20"/>
                <w:szCs w:val="20"/>
                <w:color w:val="auto"/>
              </w:rPr>
            </w:pPr>
            <w:r>
              <w:rPr>
                <w:rFonts w:ascii="Arial" w:cs="Arial" w:eastAsia="Arial" w:hAnsi="Arial"/>
                <w:sz w:val="20"/>
                <w:szCs w:val="20"/>
                <w:b w:val="1"/>
                <w:bCs w:val="1"/>
                <w:color w:val="auto"/>
              </w:rPr>
              <w:t>Total</w:t>
            </w:r>
          </w:p>
        </w:tc>
        <w:tc>
          <w:tcPr>
            <w:tcW w:w="25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580" w:type="dxa"/>
            <w:vAlign w:val="bottom"/>
            <w:vMerge w:val="continue"/>
          </w:tcPr>
          <w:p>
            <w:pPr>
              <w:spacing w:after="0"/>
              <w:rPr>
                <w:sz w:val="23"/>
                <w:szCs w:val="23"/>
                <w:color w:val="auto"/>
              </w:rPr>
            </w:pPr>
          </w:p>
        </w:tc>
        <w:tc>
          <w:tcPr>
            <w:tcW w:w="2580" w:type="dxa"/>
            <w:vAlign w:val="bottom"/>
          </w:tcPr>
          <w:p>
            <w:pPr>
              <w:spacing w:after="0"/>
              <w:rPr>
                <w:sz w:val="20"/>
                <w:szCs w:val="20"/>
                <w:color w:val="auto"/>
              </w:rPr>
            </w:pPr>
            <w:r>
              <w:rPr>
                <w:rFonts w:ascii="Arial" w:cs="Arial" w:eastAsia="Arial" w:hAnsi="Arial"/>
                <w:sz w:val="20"/>
                <w:szCs w:val="20"/>
                <w:color w:val="auto"/>
                <w:w w:val="97"/>
              </w:rPr>
              <w:t>. . . . . . . . . . . . . . . . . . . . . . . .</w:t>
            </w: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$1,632</w:t>
            </w:r>
          </w:p>
        </w:tc>
        <w:tc>
          <w:tcPr>
            <w:tcW w:w="60" w:type="dxa"/>
            <w:vAlign w:val="bottom"/>
          </w:tcPr>
          <w:p>
            <w:pPr>
              <w:spacing w:after="0"/>
              <w:rPr>
                <w:sz w:val="23"/>
                <w:szCs w:val="23"/>
                <w:color w:val="auto"/>
              </w:rPr>
            </w:pPr>
          </w:p>
        </w:tc>
        <w:tc>
          <w:tcPr>
            <w:tcW w:w="520" w:type="dxa"/>
            <w:vAlign w:val="bottom"/>
            <w:gridSpan w:val="2"/>
          </w:tcPr>
          <w:p>
            <w:pPr>
              <w:jc w:val="center"/>
              <w:spacing w:after="0"/>
              <w:rPr>
                <w:sz w:val="20"/>
                <w:szCs w:val="20"/>
                <w:color w:val="auto"/>
              </w:rPr>
            </w:pPr>
            <w:r>
              <w:rPr>
                <w:rFonts w:ascii="Arial" w:cs="Arial" w:eastAsia="Arial" w:hAnsi="Arial"/>
                <w:sz w:val="20"/>
                <w:szCs w:val="20"/>
                <w:color w:val="auto"/>
                <w:w w:val="98"/>
              </w:rPr>
              <w:t>$940</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w w:val="95"/>
              </w:rPr>
              <w:t>1,021</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w w:val="98"/>
              </w:rPr>
              <w:t>$1,696</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w w:val="94"/>
              </w:rPr>
              <w:t>$955</w:t>
            </w: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w w:val="98"/>
              </w:rPr>
              <w:t>$1,464</w:t>
            </w:r>
          </w:p>
        </w:tc>
        <w:tc>
          <w:tcPr>
            <w:tcW w:w="520" w:type="dxa"/>
            <w:vAlign w:val="bottom"/>
            <w:gridSpan w:val="2"/>
          </w:tcPr>
          <w:p>
            <w:pPr>
              <w:jc w:val="right"/>
              <w:ind w:right="80"/>
              <w:spacing w:after="0"/>
              <w:rPr>
                <w:sz w:val="20"/>
                <w:szCs w:val="20"/>
                <w:color w:val="auto"/>
              </w:rPr>
            </w:pPr>
            <w:r>
              <w:rPr>
                <w:rFonts w:ascii="Arial" w:cs="Arial" w:eastAsia="Arial" w:hAnsi="Arial"/>
                <w:sz w:val="20"/>
                <w:szCs w:val="20"/>
                <w:color w:val="auto"/>
                <w:w w:val="94"/>
              </w:rPr>
              <w:t>$847</w:t>
            </w:r>
          </w:p>
        </w:tc>
        <w:tc>
          <w:tcPr>
            <w:tcW w:w="680" w:type="dxa"/>
            <w:vAlign w:val="bottom"/>
            <w:gridSpan w:val="2"/>
          </w:tcPr>
          <w:p>
            <w:pPr>
              <w:spacing w:after="0"/>
              <w:rPr>
                <w:sz w:val="20"/>
                <w:szCs w:val="20"/>
                <w:color w:val="auto"/>
              </w:rPr>
            </w:pPr>
            <w:r>
              <w:rPr>
                <w:rFonts w:ascii="Arial" w:cs="Arial" w:eastAsia="Arial" w:hAnsi="Arial"/>
                <w:sz w:val="20"/>
                <w:szCs w:val="20"/>
                <w:color w:val="auto"/>
              </w:rPr>
              <w:t>$1,250</w:t>
            </w:r>
          </w:p>
        </w:tc>
        <w:tc>
          <w:tcPr>
            <w:tcW w:w="700" w:type="dxa"/>
            <w:vAlign w:val="bottom"/>
            <w:gridSpan w:val="3"/>
          </w:tcPr>
          <w:p>
            <w:pPr>
              <w:jc w:val="right"/>
              <w:ind w:right="80"/>
              <w:spacing w:after="0"/>
              <w:rPr>
                <w:sz w:val="20"/>
                <w:szCs w:val="20"/>
                <w:color w:val="auto"/>
              </w:rPr>
            </w:pPr>
            <w:r>
              <w:rPr>
                <w:rFonts w:ascii="Arial" w:cs="Arial" w:eastAsia="Arial" w:hAnsi="Arial"/>
                <w:sz w:val="20"/>
                <w:szCs w:val="20"/>
                <w:color w:val="auto"/>
                <w:w w:val="98"/>
              </w:rPr>
              <w:t>$2,421</w:t>
            </w:r>
          </w:p>
        </w:tc>
        <w:tc>
          <w:tcPr>
            <w:tcW w:w="720" w:type="dxa"/>
            <w:vAlign w:val="bottom"/>
          </w:tcPr>
          <w:p>
            <w:pPr>
              <w:jc w:val="right"/>
              <w:spacing w:after="0"/>
              <w:rPr>
                <w:sz w:val="20"/>
                <w:szCs w:val="20"/>
                <w:color w:val="auto"/>
              </w:rPr>
            </w:pPr>
            <w:r>
              <w:rPr>
                <w:rFonts w:ascii="Arial" w:cs="Arial" w:eastAsia="Arial" w:hAnsi="Arial"/>
                <w:sz w:val="20"/>
                <w:szCs w:val="20"/>
                <w:color w:val="auto"/>
                <w:w w:val="96"/>
              </w:rPr>
              <w:t>$12,226</w:t>
            </w:r>
          </w:p>
        </w:tc>
        <w:tc>
          <w:tcPr>
            <w:tcW w:w="0" w:type="dxa"/>
            <w:vAlign w:val="bottom"/>
          </w:tcPr>
          <w:p>
            <w:pPr>
              <w:spacing w:after="0"/>
              <w:rPr>
                <w:sz w:val="1"/>
                <w:szCs w:val="1"/>
                <w:color w:val="auto"/>
              </w:rPr>
            </w:pPr>
          </w:p>
        </w:tc>
      </w:tr>
      <w:tr>
        <w:trPr>
          <w:trHeight w:val="28"/>
        </w:trPr>
        <w:tc>
          <w:tcPr>
            <w:tcW w:w="3160" w:type="dxa"/>
            <w:vAlign w:val="bottom"/>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280" w:type="dxa"/>
            <w:vAlign w:val="bottom"/>
            <w:gridSpan w:val="14"/>
          </w:tcPr>
          <w:p>
            <w:pPr>
              <w:spacing w:after="0"/>
              <w:rPr>
                <w:sz w:val="20"/>
                <w:szCs w:val="20"/>
                <w:color w:val="auto"/>
              </w:rPr>
            </w:pPr>
            <w:r>
              <w:rPr>
                <w:rFonts w:ascii="Arial" w:cs="Arial" w:eastAsia="Arial" w:hAnsi="Arial"/>
                <w:sz w:val="20"/>
                <w:szCs w:val="20"/>
                <w:color w:val="auto"/>
              </w:rPr>
              <w:t>Interest payments on fixed rate debt obligations by year are as follows: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ind w:left="100"/>
              <w:spacing w:after="0"/>
              <w:rPr>
                <w:sz w:val="20"/>
                <w:szCs w:val="20"/>
                <w:color w:val="auto"/>
              </w:rPr>
            </w:pPr>
            <w:r>
              <w:rPr>
                <w:rFonts w:ascii="Arial" w:cs="Arial" w:eastAsia="Arial" w:hAnsi="Arial"/>
                <w:sz w:val="16"/>
                <w:szCs w:val="16"/>
                <w:i w:val="1"/>
                <w:iCs w:val="1"/>
                <w:color w:val="auto"/>
                <w:w w:val="98"/>
              </w:rPr>
              <w:t>(Stated in millions)</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rPr>
              <w:t>2023 .</w:t>
            </w:r>
          </w:p>
        </w:tc>
        <w:tc>
          <w:tcPr>
            <w:tcW w:w="3200" w:type="dxa"/>
            <w:vAlign w:val="bottom"/>
            <w:gridSpan w:val="2"/>
            <w:shd w:val="clear" w:color="auto" w:fill="CCCCCC"/>
          </w:tcPr>
          <w:p>
            <w:pPr>
              <w:ind w:left="20"/>
              <w:spacing w:after="0"/>
              <w:rPr>
                <w:sz w:val="20"/>
                <w:szCs w:val="20"/>
                <w:color w:val="auto"/>
              </w:rPr>
            </w:pPr>
            <w:r>
              <w:rPr>
                <w:rFonts w:ascii="Arial" w:cs="Arial" w:eastAsia="Arial" w:hAnsi="Arial"/>
                <w:sz w:val="20"/>
                <w:szCs w:val="20"/>
                <w:color w:val="auto"/>
                <w:w w:val="96"/>
              </w:rPr>
              <w:t>. . . . . . . . . . . . . . . . . . . . . . . . . . . . . .</w:t>
            </w: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0"/>
                <w:szCs w:val="10"/>
                <w:color w:val="auto"/>
                <w:w w:val="70"/>
              </w:rPr>
              <w:t>.</w:t>
            </w:r>
          </w:p>
        </w:tc>
        <w:tc>
          <w:tcPr>
            <w:tcW w:w="440" w:type="dxa"/>
            <w:vAlign w:val="bottom"/>
            <w:shd w:val="clear" w:color="auto" w:fill="CCCCCC"/>
          </w:tcPr>
          <w:p>
            <w:pPr>
              <w:jc w:val="center"/>
              <w:spacing w:after="0"/>
              <w:rPr>
                <w:sz w:val="20"/>
                <w:szCs w:val="20"/>
                <w:color w:val="auto"/>
              </w:rPr>
            </w:pPr>
            <w:r>
              <w:rPr>
                <w:rFonts w:ascii="Arial" w:cs="Arial" w:eastAsia="Arial" w:hAnsi="Arial"/>
                <w:sz w:val="20"/>
                <w:szCs w:val="20"/>
                <w:color w:val="auto"/>
                <w:w w:val="92"/>
              </w:rPr>
              <w:t>.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w w:val="97"/>
              </w:rPr>
              <w:t>. . . . . . . .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4"/>
            <w:shd w:val="clear" w:color="auto" w:fill="CCCCCC"/>
          </w:tcPr>
          <w:p>
            <w:pPr>
              <w:jc w:val="right"/>
              <w:ind w:right="60"/>
              <w:spacing w:after="0"/>
              <w:rPr>
                <w:sz w:val="20"/>
                <w:szCs w:val="20"/>
                <w:color w:val="auto"/>
              </w:rPr>
            </w:pPr>
            <w:r>
              <w:rPr>
                <w:rFonts w:ascii="Arial" w:cs="Arial" w:eastAsia="Arial" w:hAnsi="Arial"/>
                <w:sz w:val="20"/>
                <w:szCs w:val="20"/>
                <w:color w:val="auto"/>
                <w:w w:val="97"/>
              </w:rPr>
              <w:t>. . . . . . . . . . .</w:t>
            </w:r>
          </w:p>
        </w:tc>
        <w:tc>
          <w:tcPr>
            <w:tcW w:w="600" w:type="dxa"/>
            <w:vAlign w:val="bottom"/>
            <w:shd w:val="clear" w:color="auto" w:fill="CCCCCC"/>
          </w:tcPr>
          <w:p>
            <w:pPr>
              <w:spacing w:after="0"/>
              <w:rPr>
                <w:sz w:val="20"/>
                <w:szCs w:val="20"/>
                <w:color w:val="auto"/>
              </w:rPr>
            </w:pPr>
            <w:r>
              <w:rPr>
                <w:rFonts w:ascii="Arial" w:cs="Arial" w:eastAsia="Arial" w:hAnsi="Arial"/>
                <w:sz w:val="20"/>
                <w:szCs w:val="20"/>
                <w:color w:val="auto"/>
                <w:w w:val="94"/>
              </w:rPr>
              <w:t>. . . . . .</w:t>
            </w:r>
          </w:p>
        </w:tc>
        <w:tc>
          <w:tcPr>
            <w:tcW w:w="80" w:type="dxa"/>
            <w:vAlign w:val="bottom"/>
            <w:shd w:val="clear" w:color="auto" w:fill="CCCCCC"/>
          </w:tcPr>
          <w:p>
            <w:pPr>
              <w:ind w:left="40"/>
              <w:spacing w:after="0"/>
              <w:rPr>
                <w:sz w:val="20"/>
                <w:szCs w:val="20"/>
                <w:color w:val="auto"/>
              </w:rPr>
            </w:pPr>
            <w:r>
              <w:rPr>
                <w:rFonts w:ascii="Arial" w:cs="Arial" w:eastAsia="Arial" w:hAnsi="Arial"/>
                <w:sz w:val="10"/>
                <w:szCs w:val="10"/>
                <w:color w:val="auto"/>
                <w:w w:val="70"/>
              </w:rPr>
              <w:t>.</w:t>
            </w:r>
          </w:p>
        </w:tc>
        <w:tc>
          <w:tcPr>
            <w:tcW w:w="620" w:type="dxa"/>
            <w:vAlign w:val="bottom"/>
            <w:gridSpan w:val="2"/>
            <w:shd w:val="clear" w:color="auto" w:fill="CCCCCC"/>
          </w:tcPr>
          <w:p>
            <w:pPr>
              <w:jc w:val="right"/>
              <w:ind w:right="300"/>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386</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rPr>
              <w:t>2024 .</w:t>
            </w:r>
          </w:p>
        </w:tc>
        <w:tc>
          <w:tcPr>
            <w:tcW w:w="3200" w:type="dxa"/>
            <w:vAlign w:val="bottom"/>
            <w:gridSpan w:val="2"/>
          </w:tcPr>
          <w:p>
            <w:pPr>
              <w:ind w:left="20"/>
              <w:spacing w:after="0"/>
              <w:rPr>
                <w:sz w:val="20"/>
                <w:szCs w:val="20"/>
                <w:color w:val="auto"/>
              </w:rPr>
            </w:pPr>
            <w:r>
              <w:rPr>
                <w:rFonts w:ascii="Arial" w:cs="Arial" w:eastAsia="Arial" w:hAnsi="Arial"/>
                <w:sz w:val="20"/>
                <w:szCs w:val="20"/>
                <w:color w:val="auto"/>
                <w:w w:val="96"/>
              </w:rPr>
              <w:t>. . . . . . . . . . . . . . . . . . . . . . . . . . . . . .</w:t>
            </w: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440" w:type="dxa"/>
            <w:vAlign w:val="bottom"/>
          </w:tcPr>
          <w:p>
            <w:pPr>
              <w:jc w:val="center"/>
              <w:spacing w:after="0"/>
              <w:rPr>
                <w:sz w:val="20"/>
                <w:szCs w:val="20"/>
                <w:color w:val="auto"/>
              </w:rPr>
            </w:pPr>
            <w:r>
              <w:rPr>
                <w:rFonts w:ascii="Arial" w:cs="Arial" w:eastAsia="Arial" w:hAnsi="Arial"/>
                <w:sz w:val="20"/>
                <w:szCs w:val="20"/>
                <w:color w:val="auto"/>
                <w:w w:val="92"/>
              </w:rPr>
              <w:t>.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w w:val="97"/>
              </w:rPr>
              <w:t>. . . . . . . .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4"/>
          </w:tcPr>
          <w:p>
            <w:pPr>
              <w:jc w:val="right"/>
              <w:ind w:right="60"/>
              <w:spacing w:after="0"/>
              <w:rPr>
                <w:sz w:val="20"/>
                <w:szCs w:val="20"/>
                <w:color w:val="auto"/>
              </w:rPr>
            </w:pPr>
            <w:r>
              <w:rPr>
                <w:rFonts w:ascii="Arial" w:cs="Arial" w:eastAsia="Arial" w:hAnsi="Arial"/>
                <w:sz w:val="20"/>
                <w:szCs w:val="20"/>
                <w:color w:val="auto"/>
                <w:w w:val="97"/>
              </w:rPr>
              <w:t>. . . . . . . . . . .</w:t>
            </w:r>
          </w:p>
        </w:tc>
        <w:tc>
          <w:tcPr>
            <w:tcW w:w="600" w:type="dxa"/>
            <w:vAlign w:val="bottom"/>
          </w:tcPr>
          <w:p>
            <w:pPr>
              <w:spacing w:after="0"/>
              <w:rPr>
                <w:sz w:val="20"/>
                <w:szCs w:val="20"/>
                <w:color w:val="auto"/>
              </w:rPr>
            </w:pPr>
            <w:r>
              <w:rPr>
                <w:rFonts w:ascii="Arial" w:cs="Arial" w:eastAsia="Arial" w:hAnsi="Arial"/>
                <w:sz w:val="20"/>
                <w:szCs w:val="20"/>
                <w:color w:val="auto"/>
                <w:w w:val="94"/>
              </w:rPr>
              <w:t>. . . . . .</w:t>
            </w:r>
          </w:p>
        </w:tc>
        <w:tc>
          <w:tcPr>
            <w:tcW w:w="28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320</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rPr>
              <w:t>2025 .</w:t>
            </w:r>
          </w:p>
        </w:tc>
        <w:tc>
          <w:tcPr>
            <w:tcW w:w="3200" w:type="dxa"/>
            <w:vAlign w:val="bottom"/>
            <w:gridSpan w:val="2"/>
            <w:shd w:val="clear" w:color="auto" w:fill="CCCCCC"/>
          </w:tcPr>
          <w:p>
            <w:pPr>
              <w:ind w:left="20"/>
              <w:spacing w:after="0"/>
              <w:rPr>
                <w:sz w:val="20"/>
                <w:szCs w:val="20"/>
                <w:color w:val="auto"/>
              </w:rPr>
            </w:pPr>
            <w:r>
              <w:rPr>
                <w:rFonts w:ascii="Arial" w:cs="Arial" w:eastAsia="Arial" w:hAnsi="Arial"/>
                <w:sz w:val="20"/>
                <w:szCs w:val="20"/>
                <w:color w:val="auto"/>
                <w:w w:val="96"/>
              </w:rPr>
              <w:t>. . . . . . . . . . . . . . . . . . . . . . . . . . . . . .</w:t>
            </w: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0"/>
                <w:szCs w:val="10"/>
                <w:color w:val="auto"/>
                <w:w w:val="70"/>
              </w:rPr>
              <w:t>.</w:t>
            </w:r>
          </w:p>
        </w:tc>
        <w:tc>
          <w:tcPr>
            <w:tcW w:w="440" w:type="dxa"/>
            <w:vAlign w:val="bottom"/>
            <w:shd w:val="clear" w:color="auto" w:fill="CCCCCC"/>
          </w:tcPr>
          <w:p>
            <w:pPr>
              <w:jc w:val="center"/>
              <w:spacing w:after="0"/>
              <w:rPr>
                <w:sz w:val="20"/>
                <w:szCs w:val="20"/>
                <w:color w:val="auto"/>
              </w:rPr>
            </w:pPr>
            <w:r>
              <w:rPr>
                <w:rFonts w:ascii="Arial" w:cs="Arial" w:eastAsia="Arial" w:hAnsi="Arial"/>
                <w:sz w:val="20"/>
                <w:szCs w:val="20"/>
                <w:color w:val="auto"/>
                <w:w w:val="92"/>
              </w:rPr>
              <w:t>.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w w:val="97"/>
              </w:rPr>
              <w:t>. . . . . . . .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4"/>
            <w:shd w:val="clear" w:color="auto" w:fill="CCCCCC"/>
          </w:tcPr>
          <w:p>
            <w:pPr>
              <w:jc w:val="right"/>
              <w:ind w:right="60"/>
              <w:spacing w:after="0"/>
              <w:rPr>
                <w:sz w:val="20"/>
                <w:szCs w:val="20"/>
                <w:color w:val="auto"/>
              </w:rPr>
            </w:pPr>
            <w:r>
              <w:rPr>
                <w:rFonts w:ascii="Arial" w:cs="Arial" w:eastAsia="Arial" w:hAnsi="Arial"/>
                <w:sz w:val="20"/>
                <w:szCs w:val="20"/>
                <w:color w:val="auto"/>
                <w:w w:val="97"/>
              </w:rPr>
              <w:t>. . . . . . . . . . .</w:t>
            </w:r>
          </w:p>
        </w:tc>
        <w:tc>
          <w:tcPr>
            <w:tcW w:w="600" w:type="dxa"/>
            <w:vAlign w:val="bottom"/>
            <w:shd w:val="clear" w:color="auto" w:fill="CCCCCC"/>
          </w:tcPr>
          <w:p>
            <w:pPr>
              <w:spacing w:after="0"/>
              <w:rPr>
                <w:sz w:val="20"/>
                <w:szCs w:val="20"/>
                <w:color w:val="auto"/>
              </w:rPr>
            </w:pPr>
            <w:r>
              <w:rPr>
                <w:rFonts w:ascii="Arial" w:cs="Arial" w:eastAsia="Arial" w:hAnsi="Arial"/>
                <w:sz w:val="20"/>
                <w:szCs w:val="20"/>
                <w:color w:val="auto"/>
                <w:w w:val="94"/>
              </w:rPr>
              <w:t>. . . . . .</w:t>
            </w:r>
          </w:p>
        </w:tc>
        <w:tc>
          <w:tcPr>
            <w:tcW w:w="280" w:type="dxa"/>
            <w:vAlign w:val="bottom"/>
            <w:gridSpan w:val="2"/>
            <w:shd w:val="clear" w:color="auto" w:fill="CCCCCC"/>
          </w:tcPr>
          <w:p>
            <w:pPr>
              <w:ind w:left="4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301</w:t>
            </w:r>
          </w:p>
        </w:tc>
        <w:tc>
          <w:tcPr>
            <w:tcW w:w="0" w:type="dxa"/>
            <w:vAlign w:val="bottom"/>
          </w:tcPr>
          <w:p>
            <w:pPr>
              <w:spacing w:after="0"/>
              <w:rPr>
                <w:sz w:val="1"/>
                <w:szCs w:val="1"/>
                <w:color w:val="auto"/>
              </w:rPr>
            </w:pPr>
          </w:p>
        </w:tc>
      </w:tr>
      <w:tr>
        <w:trPr>
          <w:trHeight w:val="280"/>
        </w:trPr>
        <w:tc>
          <w:tcPr>
            <w:tcW w:w="580" w:type="dxa"/>
            <w:vAlign w:val="bottom"/>
          </w:tcPr>
          <w:p>
            <w:pPr>
              <w:spacing w:after="0"/>
              <w:rPr>
                <w:sz w:val="20"/>
                <w:szCs w:val="20"/>
                <w:color w:val="auto"/>
              </w:rPr>
            </w:pPr>
            <w:r>
              <w:rPr>
                <w:rFonts w:ascii="Arial" w:cs="Arial" w:eastAsia="Arial" w:hAnsi="Arial"/>
                <w:sz w:val="20"/>
                <w:szCs w:val="20"/>
                <w:color w:val="auto"/>
              </w:rPr>
              <w:t>2026 .</w:t>
            </w:r>
          </w:p>
        </w:tc>
        <w:tc>
          <w:tcPr>
            <w:tcW w:w="3200" w:type="dxa"/>
            <w:vAlign w:val="bottom"/>
            <w:gridSpan w:val="2"/>
          </w:tcPr>
          <w:p>
            <w:pPr>
              <w:ind w:left="20"/>
              <w:spacing w:after="0"/>
              <w:rPr>
                <w:sz w:val="20"/>
                <w:szCs w:val="20"/>
                <w:color w:val="auto"/>
              </w:rPr>
            </w:pPr>
            <w:r>
              <w:rPr>
                <w:rFonts w:ascii="Arial" w:cs="Arial" w:eastAsia="Arial" w:hAnsi="Arial"/>
                <w:sz w:val="20"/>
                <w:szCs w:val="20"/>
                <w:color w:val="auto"/>
                <w:w w:val="96"/>
              </w:rPr>
              <w:t>. . . . . . . . . . . . . . . . . . . . . . . . . . . . . .</w:t>
            </w: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440" w:type="dxa"/>
            <w:vAlign w:val="bottom"/>
          </w:tcPr>
          <w:p>
            <w:pPr>
              <w:jc w:val="center"/>
              <w:spacing w:after="0"/>
              <w:rPr>
                <w:sz w:val="20"/>
                <w:szCs w:val="20"/>
                <w:color w:val="auto"/>
              </w:rPr>
            </w:pPr>
            <w:r>
              <w:rPr>
                <w:rFonts w:ascii="Arial" w:cs="Arial" w:eastAsia="Arial" w:hAnsi="Arial"/>
                <w:sz w:val="20"/>
                <w:szCs w:val="20"/>
                <w:color w:val="auto"/>
                <w:w w:val="92"/>
              </w:rPr>
              <w:t>.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w w:val="97"/>
              </w:rPr>
              <w:t>. . . . . . . .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4"/>
          </w:tcPr>
          <w:p>
            <w:pPr>
              <w:jc w:val="right"/>
              <w:ind w:right="60"/>
              <w:spacing w:after="0"/>
              <w:rPr>
                <w:sz w:val="20"/>
                <w:szCs w:val="20"/>
                <w:color w:val="auto"/>
              </w:rPr>
            </w:pPr>
            <w:r>
              <w:rPr>
                <w:rFonts w:ascii="Arial" w:cs="Arial" w:eastAsia="Arial" w:hAnsi="Arial"/>
                <w:sz w:val="20"/>
                <w:szCs w:val="20"/>
                <w:color w:val="auto"/>
                <w:w w:val="97"/>
              </w:rPr>
              <w:t>. . . . . . . . . . .</w:t>
            </w:r>
          </w:p>
        </w:tc>
        <w:tc>
          <w:tcPr>
            <w:tcW w:w="600" w:type="dxa"/>
            <w:vAlign w:val="bottom"/>
          </w:tcPr>
          <w:p>
            <w:pPr>
              <w:spacing w:after="0"/>
              <w:rPr>
                <w:sz w:val="20"/>
                <w:szCs w:val="20"/>
                <w:color w:val="auto"/>
              </w:rPr>
            </w:pPr>
            <w:r>
              <w:rPr>
                <w:rFonts w:ascii="Arial" w:cs="Arial" w:eastAsia="Arial" w:hAnsi="Arial"/>
                <w:sz w:val="20"/>
                <w:szCs w:val="20"/>
                <w:color w:val="auto"/>
                <w:w w:val="94"/>
              </w:rPr>
              <w:t>. . . . . .</w:t>
            </w:r>
          </w:p>
        </w:tc>
        <w:tc>
          <w:tcPr>
            <w:tcW w:w="28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265</w:t>
            </w:r>
          </w:p>
        </w:tc>
        <w:tc>
          <w:tcPr>
            <w:tcW w:w="0" w:type="dxa"/>
            <w:vAlign w:val="bottom"/>
          </w:tcPr>
          <w:p>
            <w:pPr>
              <w:spacing w:after="0"/>
              <w:rPr>
                <w:sz w:val="1"/>
                <w:szCs w:val="1"/>
                <w:color w:val="auto"/>
              </w:rPr>
            </w:pPr>
          </w:p>
        </w:tc>
      </w:tr>
      <w:tr>
        <w:trPr>
          <w:trHeight w:val="280"/>
        </w:trPr>
        <w:tc>
          <w:tcPr>
            <w:tcW w:w="580" w:type="dxa"/>
            <w:vAlign w:val="bottom"/>
            <w:shd w:val="clear" w:color="auto" w:fill="CCCCCC"/>
          </w:tcPr>
          <w:p>
            <w:pPr>
              <w:spacing w:after="0"/>
              <w:rPr>
                <w:sz w:val="20"/>
                <w:szCs w:val="20"/>
                <w:color w:val="auto"/>
              </w:rPr>
            </w:pPr>
            <w:r>
              <w:rPr>
                <w:rFonts w:ascii="Arial" w:cs="Arial" w:eastAsia="Arial" w:hAnsi="Arial"/>
                <w:sz w:val="20"/>
                <w:szCs w:val="20"/>
                <w:color w:val="auto"/>
              </w:rPr>
              <w:t>2027 .</w:t>
            </w:r>
          </w:p>
        </w:tc>
        <w:tc>
          <w:tcPr>
            <w:tcW w:w="3200" w:type="dxa"/>
            <w:vAlign w:val="bottom"/>
            <w:gridSpan w:val="2"/>
            <w:shd w:val="clear" w:color="auto" w:fill="CCCCCC"/>
          </w:tcPr>
          <w:p>
            <w:pPr>
              <w:ind w:left="20"/>
              <w:spacing w:after="0"/>
              <w:rPr>
                <w:sz w:val="20"/>
                <w:szCs w:val="20"/>
                <w:color w:val="auto"/>
              </w:rPr>
            </w:pPr>
            <w:r>
              <w:rPr>
                <w:rFonts w:ascii="Arial" w:cs="Arial" w:eastAsia="Arial" w:hAnsi="Arial"/>
                <w:sz w:val="20"/>
                <w:szCs w:val="20"/>
                <w:color w:val="auto"/>
                <w:w w:val="96"/>
              </w:rPr>
              <w:t>. . . . . . . . . . . . . . . . . . . . . . . . . . . . . .</w:t>
            </w:r>
          </w:p>
        </w:tc>
        <w:tc>
          <w:tcPr>
            <w:tcW w:w="20" w:type="dxa"/>
            <w:vAlign w:val="bottom"/>
            <w:shd w:val="clear" w:color="auto" w:fill="CCCCCC"/>
          </w:tcPr>
          <w:p>
            <w:pPr>
              <w:spacing w:after="0"/>
              <w:rPr>
                <w:sz w:val="24"/>
                <w:szCs w:val="24"/>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0"/>
                <w:szCs w:val="10"/>
                <w:color w:val="auto"/>
                <w:w w:val="70"/>
              </w:rPr>
              <w:t>.</w:t>
            </w:r>
          </w:p>
        </w:tc>
        <w:tc>
          <w:tcPr>
            <w:tcW w:w="440" w:type="dxa"/>
            <w:vAlign w:val="bottom"/>
            <w:shd w:val="clear" w:color="auto" w:fill="CCCCCC"/>
          </w:tcPr>
          <w:p>
            <w:pPr>
              <w:jc w:val="center"/>
              <w:spacing w:after="0"/>
              <w:rPr>
                <w:sz w:val="20"/>
                <w:szCs w:val="20"/>
                <w:color w:val="auto"/>
              </w:rPr>
            </w:pPr>
            <w:r>
              <w:rPr>
                <w:rFonts w:ascii="Arial" w:cs="Arial" w:eastAsia="Arial" w:hAnsi="Arial"/>
                <w:sz w:val="20"/>
                <w:szCs w:val="20"/>
                <w:color w:val="auto"/>
                <w:w w:val="92"/>
              </w:rPr>
              <w:t>.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w w:val="97"/>
              </w:rPr>
              <w:t>. . . . . . . .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 . . .</w:t>
            </w:r>
          </w:p>
        </w:tc>
        <w:tc>
          <w:tcPr>
            <w:tcW w:w="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4"/>
            <w:shd w:val="clear" w:color="auto" w:fill="CCCCCC"/>
          </w:tcPr>
          <w:p>
            <w:pPr>
              <w:jc w:val="right"/>
              <w:ind w:right="60"/>
              <w:spacing w:after="0"/>
              <w:rPr>
                <w:sz w:val="20"/>
                <w:szCs w:val="20"/>
                <w:color w:val="auto"/>
              </w:rPr>
            </w:pPr>
            <w:r>
              <w:rPr>
                <w:rFonts w:ascii="Arial" w:cs="Arial" w:eastAsia="Arial" w:hAnsi="Arial"/>
                <w:sz w:val="20"/>
                <w:szCs w:val="20"/>
                <w:color w:val="auto"/>
                <w:w w:val="97"/>
              </w:rPr>
              <w:t>. . . . . . . . . . .</w:t>
            </w:r>
          </w:p>
        </w:tc>
        <w:tc>
          <w:tcPr>
            <w:tcW w:w="600" w:type="dxa"/>
            <w:vAlign w:val="bottom"/>
            <w:shd w:val="clear" w:color="auto" w:fill="CCCCCC"/>
          </w:tcPr>
          <w:p>
            <w:pPr>
              <w:spacing w:after="0"/>
              <w:rPr>
                <w:sz w:val="20"/>
                <w:szCs w:val="20"/>
                <w:color w:val="auto"/>
              </w:rPr>
            </w:pPr>
            <w:r>
              <w:rPr>
                <w:rFonts w:ascii="Arial" w:cs="Arial" w:eastAsia="Arial" w:hAnsi="Arial"/>
                <w:sz w:val="20"/>
                <w:szCs w:val="20"/>
                <w:color w:val="auto"/>
                <w:w w:val="94"/>
              </w:rPr>
              <w:t>. . . . . .</w:t>
            </w:r>
          </w:p>
        </w:tc>
        <w:tc>
          <w:tcPr>
            <w:tcW w:w="280" w:type="dxa"/>
            <w:vAlign w:val="bottom"/>
            <w:gridSpan w:val="2"/>
            <w:shd w:val="clear" w:color="auto" w:fill="CCCCCC"/>
          </w:tcPr>
          <w:p>
            <w:pPr>
              <w:ind w:left="4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CCCC"/>
          </w:tcPr>
          <w:p>
            <w:pPr>
              <w:spacing w:after="0"/>
              <w:rPr>
                <w:sz w:val="24"/>
                <w:szCs w:val="24"/>
                <w:color w:val="auto"/>
              </w:rPr>
            </w:pPr>
          </w:p>
        </w:tc>
        <w:tc>
          <w:tcPr>
            <w:tcW w:w="8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235</w:t>
            </w:r>
          </w:p>
        </w:tc>
        <w:tc>
          <w:tcPr>
            <w:tcW w:w="0" w:type="dxa"/>
            <w:vAlign w:val="bottom"/>
          </w:tcPr>
          <w:p>
            <w:pPr>
              <w:spacing w:after="0"/>
              <w:rPr>
                <w:sz w:val="1"/>
                <w:szCs w:val="1"/>
                <w:color w:val="auto"/>
              </w:rPr>
            </w:pPr>
          </w:p>
        </w:tc>
      </w:tr>
      <w:tr>
        <w:trPr>
          <w:trHeight w:val="280"/>
        </w:trPr>
        <w:tc>
          <w:tcPr>
            <w:tcW w:w="3780" w:type="dxa"/>
            <w:vAlign w:val="bottom"/>
            <w:gridSpan w:val="3"/>
          </w:tcPr>
          <w:p>
            <w:pPr>
              <w:spacing w:after="0"/>
              <w:rPr>
                <w:sz w:val="20"/>
                <w:szCs w:val="20"/>
                <w:color w:val="auto"/>
              </w:rPr>
            </w:pPr>
            <w:r>
              <w:rPr>
                <w:rFonts w:ascii="Arial" w:cs="Arial" w:eastAsia="Arial" w:hAnsi="Arial"/>
                <w:sz w:val="20"/>
                <w:szCs w:val="20"/>
                <w:color w:val="auto"/>
                <w:w w:val="98"/>
              </w:rPr>
              <w:t>Thereafter . . . . . . . . . . . . . . . . . . . . . . . . . .</w:t>
            </w: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440" w:type="dxa"/>
            <w:vAlign w:val="bottom"/>
          </w:tcPr>
          <w:p>
            <w:pPr>
              <w:jc w:val="center"/>
              <w:spacing w:after="0"/>
              <w:rPr>
                <w:sz w:val="20"/>
                <w:szCs w:val="20"/>
                <w:color w:val="auto"/>
              </w:rPr>
            </w:pPr>
            <w:r>
              <w:rPr>
                <w:rFonts w:ascii="Arial" w:cs="Arial" w:eastAsia="Arial" w:hAnsi="Arial"/>
                <w:sz w:val="20"/>
                <w:szCs w:val="20"/>
                <w:color w:val="auto"/>
                <w:w w:val="92"/>
              </w:rPr>
              <w:t>.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w w:val="97"/>
              </w:rPr>
              <w:t>. . . . . . . .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 . . .</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4"/>
          </w:tcPr>
          <w:p>
            <w:pPr>
              <w:jc w:val="right"/>
              <w:ind w:right="60"/>
              <w:spacing w:after="0"/>
              <w:rPr>
                <w:sz w:val="20"/>
                <w:szCs w:val="20"/>
                <w:color w:val="auto"/>
              </w:rPr>
            </w:pPr>
            <w:r>
              <w:rPr>
                <w:rFonts w:ascii="Arial" w:cs="Arial" w:eastAsia="Arial" w:hAnsi="Arial"/>
                <w:sz w:val="20"/>
                <w:szCs w:val="20"/>
                <w:color w:val="auto"/>
                <w:w w:val="97"/>
              </w:rPr>
              <w:t>. . . . . . . . . . .</w:t>
            </w:r>
          </w:p>
        </w:tc>
        <w:tc>
          <w:tcPr>
            <w:tcW w:w="600" w:type="dxa"/>
            <w:vAlign w:val="bottom"/>
          </w:tcPr>
          <w:p>
            <w:pPr>
              <w:spacing w:after="0"/>
              <w:rPr>
                <w:sz w:val="20"/>
                <w:szCs w:val="20"/>
                <w:color w:val="auto"/>
              </w:rPr>
            </w:pPr>
            <w:r>
              <w:rPr>
                <w:rFonts w:ascii="Arial" w:cs="Arial" w:eastAsia="Arial" w:hAnsi="Arial"/>
                <w:sz w:val="20"/>
                <w:szCs w:val="20"/>
                <w:color w:val="auto"/>
                <w:w w:val="94"/>
              </w:rPr>
              <w:t>. . . . . .</w:t>
            </w:r>
          </w:p>
        </w:tc>
        <w:tc>
          <w:tcPr>
            <w:tcW w:w="28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706</w:t>
            </w:r>
          </w:p>
        </w:tc>
        <w:tc>
          <w:tcPr>
            <w:tcW w:w="0" w:type="dxa"/>
            <w:vAlign w:val="bottom"/>
          </w:tcPr>
          <w:p>
            <w:pPr>
              <w:spacing w:after="0"/>
              <w:rPr>
                <w:sz w:val="1"/>
                <w:szCs w:val="1"/>
                <w:color w:val="auto"/>
              </w:rPr>
            </w:pPr>
          </w:p>
        </w:tc>
      </w:tr>
      <w:tr>
        <w:trPr>
          <w:trHeight w:val="30"/>
        </w:trPr>
        <w:tc>
          <w:tcPr>
            <w:tcW w:w="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80" w:type="dxa"/>
            <w:vAlign w:val="bottom"/>
            <w:shd w:val="clear" w:color="auto" w:fill="CCCCCC"/>
          </w:tcPr>
          <w:p>
            <w:pPr>
              <w:spacing w:after="0"/>
              <w:rPr>
                <w:sz w:val="23"/>
                <w:szCs w:val="23"/>
                <w:color w:val="auto"/>
              </w:rPr>
            </w:pPr>
          </w:p>
        </w:tc>
        <w:tc>
          <w:tcPr>
            <w:tcW w:w="2580" w:type="dxa"/>
            <w:vAlign w:val="bottom"/>
            <w:shd w:val="clear" w:color="auto" w:fill="CCCCCC"/>
          </w:tcPr>
          <w:p>
            <w:pPr>
              <w:spacing w:after="0"/>
              <w:rPr>
                <w:sz w:val="23"/>
                <w:szCs w:val="23"/>
                <w:color w:val="auto"/>
              </w:rPr>
            </w:pPr>
          </w:p>
        </w:tc>
        <w:tc>
          <w:tcPr>
            <w:tcW w:w="620" w:type="dxa"/>
            <w:vAlign w:val="bottom"/>
            <w:shd w:val="clear" w:color="auto" w:fill="CCCCCC"/>
          </w:tcPr>
          <w:p>
            <w:pPr>
              <w:spacing w:after="0"/>
              <w:rPr>
                <w:sz w:val="23"/>
                <w:szCs w:val="23"/>
                <w:color w:val="auto"/>
              </w:rPr>
            </w:pPr>
          </w:p>
        </w:tc>
        <w:tc>
          <w:tcPr>
            <w:tcW w:w="2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c>
          <w:tcPr>
            <w:tcW w:w="44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50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62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44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62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44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600" w:type="dxa"/>
            <w:vAlign w:val="bottom"/>
            <w:shd w:val="clear" w:color="auto" w:fill="CCCCCC"/>
          </w:tcPr>
          <w:p>
            <w:pPr>
              <w:spacing w:after="0"/>
              <w:rPr>
                <w:sz w:val="23"/>
                <w:szCs w:val="23"/>
                <w:color w:val="auto"/>
              </w:rPr>
            </w:pPr>
          </w:p>
        </w:tc>
        <w:tc>
          <w:tcPr>
            <w:tcW w:w="80" w:type="dxa"/>
            <w:vAlign w:val="bottom"/>
            <w:shd w:val="clear" w:color="auto" w:fill="CCCCCC"/>
          </w:tcPr>
          <w:p>
            <w:pPr>
              <w:spacing w:after="0"/>
              <w:rPr>
                <w:sz w:val="23"/>
                <w:szCs w:val="23"/>
                <w:color w:val="auto"/>
              </w:rPr>
            </w:pPr>
          </w:p>
        </w:tc>
        <w:tc>
          <w:tcPr>
            <w:tcW w:w="620" w:type="dxa"/>
            <w:vAlign w:val="bottom"/>
            <w:gridSpan w:val="2"/>
            <w:shd w:val="clear" w:color="auto" w:fill="CCCCCC"/>
          </w:tcPr>
          <w:p>
            <w:pPr>
              <w:jc w:val="right"/>
              <w:ind w:right="300"/>
              <w:spacing w:after="0"/>
              <w:rPr>
                <w:sz w:val="20"/>
                <w:szCs w:val="20"/>
                <w:color w:val="auto"/>
              </w:rPr>
            </w:pPr>
            <w:r>
              <w:rPr>
                <w:rFonts w:ascii="Arial" w:cs="Arial" w:eastAsia="Arial" w:hAnsi="Arial"/>
                <w:sz w:val="20"/>
                <w:szCs w:val="20"/>
                <w:color w:val="auto"/>
              </w:rPr>
              <w:t>$</w:t>
            </w:r>
          </w:p>
        </w:tc>
        <w:tc>
          <w:tcPr>
            <w:tcW w:w="80" w:type="dxa"/>
            <w:vAlign w:val="bottom"/>
            <w:shd w:val="clear" w:color="auto" w:fill="CCCCCC"/>
          </w:tcPr>
          <w:p>
            <w:pPr>
              <w:spacing w:after="0"/>
              <w:rPr>
                <w:sz w:val="23"/>
                <w:szCs w:val="23"/>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2,213</w:t>
            </w:r>
          </w:p>
        </w:tc>
        <w:tc>
          <w:tcPr>
            <w:tcW w:w="0" w:type="dxa"/>
            <w:vAlign w:val="bottom"/>
          </w:tcPr>
          <w:p>
            <w:pPr>
              <w:spacing w:after="0"/>
              <w:rPr>
                <w:sz w:val="1"/>
                <w:szCs w:val="1"/>
                <w:color w:val="auto"/>
              </w:rPr>
            </w:pPr>
          </w:p>
        </w:tc>
      </w:tr>
      <w:tr>
        <w:trPr>
          <w:trHeight w:val="70"/>
        </w:trPr>
        <w:tc>
          <w:tcPr>
            <w:tcW w:w="5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13, </w:t>
      </w:r>
      <w:r>
        <w:rPr>
          <w:rFonts w:ascii="Arial" w:cs="Arial" w:eastAsia="Arial" w:hAnsi="Arial"/>
          <w:sz w:val="20"/>
          <w:szCs w:val="20"/>
          <w:i w:val="1"/>
          <w:iCs w:val="1"/>
          <w:color w:val="auto"/>
        </w:rPr>
        <w:t>Leases</w:t>
      </w:r>
      <w:r>
        <w:rPr>
          <w:rFonts w:ascii="Arial" w:cs="Arial" w:eastAsia="Arial" w:hAnsi="Arial"/>
          <w:sz w:val="20"/>
          <w:szCs w:val="20"/>
          <w:color w:val="auto"/>
        </w:rPr>
        <w:t xml:space="preserve"> of the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 xml:space="preserve"> for details regarding SLB’s lease obligations.</w:t>
      </w:r>
    </w:p>
    <w:p>
      <w:pPr>
        <w:sectPr>
          <w:pgSz w:w="12240" w:h="15840" w:orient="portrait"/>
          <w:cols w:equalWidth="0" w:num="1">
            <w:col w:w="9600"/>
          </w:cols>
          <w:pgMar w:left="1320" w:top="1440" w:right="1320" w:bottom="83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9600"/>
          </w:cols>
          <w:pgMar w:left="1320" w:top="1440" w:right="1320" w:bottom="836" w:gutter="0" w:footer="0" w:header="0"/>
          <w:type w:val="continuous"/>
        </w:sectPr>
      </w:pPr>
    </w:p>
    <w:bookmarkStart w:id="56" w:name="page57"/>
    <w:bookmarkEnd w:id="56"/>
    <w:p>
      <w:pPr>
        <w:spacing w:after="0" w:line="5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has outstanding letters of credit/guarantees that relate to business performance bonds, custom/ excise tax commitments, facility lease/rental obligations, etc. These were entered into in the ordinary course of business and are customary practices in the various countries where SLB operates.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Critical Accounting Policies and Estimates</w:t>
      </w:r>
    </w:p>
    <w:p>
      <w:pPr>
        <w:spacing w:after="0" w:line="19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preparation of financial statements and related disclosures in conformity with accounting principles generally accepted in the United States requires SLB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SLB about matters that are inherently uncertain.</w:t>
      </w:r>
    </w:p>
    <w:p>
      <w:pPr>
        <w:spacing w:after="0" w:line="19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Allowance for Doubtful Accounts</w:t>
      </w:r>
    </w:p>
    <w:p>
      <w:pPr>
        <w:spacing w:after="0" w:line="10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SLB’s customers were to deteriorate resulting in an impairment of their ability to make payments.</w:t>
      </w:r>
    </w:p>
    <w:p>
      <w:pPr>
        <w:spacing w:after="0" w:line="19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As a large multinational company with a long history of operating in a cyclical industry, SLB has extensive experience in working with its customers during difficult times to manage its accounts receivable. During weak economic environments or when there is an extended period of weakness in oil and gas prices, SLB typically experiences delays in the payment of its receivables. However, except for a $469 million accounts receivable write-off during 2017 as a result of the political and economic condition in Venezuela, SLB has not historically had material write-offs due to uncollectible accounts receivable. SLB has a global footprint in more than 100 countries. As of December 31, 2022, three of those countries individually accounted for greater than 5% of SLB’s net accounts receivable balance, of which only two (the United States and Mexico) accounted for greater than 10% of such receivables.</w:t>
      </w:r>
    </w:p>
    <w:p>
      <w:pPr>
        <w:spacing w:after="0" w:line="19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Included in </w:t>
      </w:r>
      <w:r>
        <w:rPr>
          <w:rFonts w:ascii="Arial" w:cs="Arial" w:eastAsia="Arial" w:hAnsi="Arial"/>
          <w:sz w:val="20"/>
          <w:szCs w:val="20"/>
          <w:i w:val="1"/>
          <w:iCs w:val="1"/>
          <w:color w:val="auto"/>
        </w:rPr>
        <w:t>Receivables, less allowance for doubtful accounts</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 Balance Sheet</w:t>
      </w:r>
      <w:r>
        <w:rPr>
          <w:rFonts w:ascii="Arial" w:cs="Arial" w:eastAsia="Arial" w:hAnsi="Arial"/>
          <w:sz w:val="20"/>
          <w:szCs w:val="20"/>
          <w:color w:val="auto"/>
        </w:rPr>
        <w:t xml:space="preserve"> as of December 31, 2022 is approximately $1.0 billion of receivables relating to Mexico. SLB’s receivables from its primary customer in Mexico are not in dispute and SLB has not historically had any material write-offs due to uncollectible accounts receivable relating to this customer.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Goodwill, Intangible Assets and Long-Lived Assets</w:t>
      </w:r>
    </w:p>
    <w:p>
      <w:pPr>
        <w:spacing w:after="0" w:line="10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records the excess of purchase price over the fair value of the tangible and identifiable intangible assets acquired and liabilities assumed as goodwill. The goodwill relating to each of SLB’s reporting units is tested for impairment annually as well as when an event, or change in circumstances, indicates an impairment may have occurred.</w:t>
      </w:r>
    </w:p>
    <w:p>
      <w:pPr>
        <w:spacing w:after="0" w:line="191"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Under generally accepted accounting principles, SLB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SLB determines it is more likely than not that</w:t>
      </w:r>
    </w:p>
    <w:p>
      <w:pPr>
        <w:sectPr>
          <w:pgSz w:w="12240" w:h="15840" w:orient="portrait"/>
          <w:cols w:equalWidth="0" w:num="1">
            <w:col w:w="9360"/>
          </w:cols>
          <w:pgMar w:left="1440" w:top="1440" w:right="1440" w:bottom="83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9360"/>
          </w:cols>
          <w:pgMar w:left="1440" w:top="1440" w:right="1440" w:bottom="836" w:gutter="0" w:footer="0" w:header="0"/>
          <w:type w:val="continuous"/>
        </w:sectPr>
      </w:pPr>
    </w:p>
    <w:bookmarkStart w:id="57" w:name="page58"/>
    <w:bookmarkEnd w:id="57"/>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fair value of a reporting unit is greater than its carrying amount, there is no need to perform any further testing. However, if SLB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8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SLB has the option to bypass the qualitative assessment for any reporting unit in any period and proceed directly to performing the quantitative goodwill impairment test.</w:t>
      </w:r>
    </w:p>
    <w:p>
      <w:pPr>
        <w:spacing w:after="0" w:line="19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elected to perform the qualitative assessment described above for purposes of its annual goodwill impairment test in 2022. Based on this assessment, SLB concluded it was more likely than not that the fair value of each of its reporting units was significantly greater than its carrying amount. Accordingly, no further testing was required.</w:t>
      </w:r>
    </w:p>
    <w:p>
      <w:pPr>
        <w:spacing w:after="0" w:line="18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SLB could be required to recognize impairment charges in the future.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Income Taxes</w:t>
      </w:r>
    </w:p>
    <w:p>
      <w:pPr>
        <w:spacing w:after="0" w:line="104"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SLB conducts business in more than 100 tax jurisdictions, a number of which have tax laws that are not fully defined and are evolving. SLB’s tax filings are subject to regular audits by the tax authorities. These audits may result in assessments for additional taxes that are resolved with the authorities or, potentially, through the courts. SLB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judgmental and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SLB will record additional tax expense or tax benefit in the period in which such resolution occurs.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Revenue Recognition for Certain Long-term Construction-type Contracts</w:t>
      </w:r>
    </w:p>
    <w:p>
      <w:pPr>
        <w:spacing w:after="0" w:line="10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5% of SLB’s revenue in 2022, 6% in 2021, and 5% in 2020, was recognized under this method.</w:t>
      </w:r>
    </w:p>
    <w:p>
      <w:pPr>
        <w:spacing w:after="0" w:line="18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ectPr>
          <w:pgSz w:w="12240" w:h="15840" w:orient="portrait"/>
          <w:cols w:equalWidth="0" w:num="1">
            <w:col w:w="9360"/>
          </w:cols>
          <w:pgMar w:left="1440" w:top="1440" w:right="1440" w:bottom="836"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9360"/>
          </w:cols>
          <w:pgMar w:left="1440" w:top="1440" w:right="1440" w:bottom="836" w:gutter="0" w:footer="0" w:header="0"/>
          <w:type w:val="continuous"/>
        </w:sectPr>
      </w:pPr>
    </w:p>
    <w:bookmarkStart w:id="58" w:name="page59"/>
    <w:bookmarkEnd w:id="58"/>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Pension and Postretirement Benefits</w:t>
      </w:r>
    </w:p>
    <w:p>
      <w:pPr>
        <w:spacing w:after="0" w:line="11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SLB’s pension and postretirement benefit obligations are described in detail in Note 16 to the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 The obligations and related costs are calculated using actuarial</w:t>
      </w:r>
      <w:r>
        <w:rPr>
          <w:rFonts w:ascii="Arial" w:cs="Arial" w:eastAsia="Arial" w:hAnsi="Arial"/>
          <w:sz w:val="20"/>
          <w:szCs w:val="20"/>
          <w:i w:val="1"/>
          <w:iCs w:val="1"/>
          <w:color w:val="auto"/>
        </w:rPr>
        <w:t xml:space="preserve"> </w:t>
      </w:r>
      <w:r>
        <w:rPr>
          <w:rFonts w:ascii="Arial" w:cs="Arial" w:eastAsia="Arial" w:hAnsi="Arial"/>
          <w:sz w:val="20"/>
          <w:szCs w:val="20"/>
          <w:color w:val="auto"/>
        </w:rPr>
        <w:t>concepts, which include critical assumptions related to the discount rate and the expected rate of return on plan assets. These assumptions are important elements of expense and/or liability measurement and are updated on an annual basis, or upon the occurrence of significant events.</w:t>
      </w:r>
    </w:p>
    <w:p>
      <w:pPr>
        <w:spacing w:after="0" w:line="21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discount rate that SLB uses reflects the prevailing market rate of a portfolio of high-quality debt instruments with maturities matching the expected timing of payment of the related benefit obligations. The following summarizes the discount rates utilized by SLB for its various pension and postretirement benefit plans:</w:t>
      </w:r>
    </w:p>
    <w:p>
      <w:pPr>
        <w:spacing w:after="0" w:line="114" w:lineRule="exact"/>
        <w:rPr>
          <w:sz w:val="20"/>
          <w:szCs w:val="20"/>
          <w:color w:val="auto"/>
        </w:rPr>
      </w:pPr>
    </w:p>
    <w:p>
      <w:pPr>
        <w:jc w:val="both"/>
        <w:ind w:left="840" w:right="120" w:hanging="360"/>
        <w:spacing w:after="0" w:line="248" w:lineRule="auto"/>
        <w:tabs>
          <w:tab w:leader="none" w:pos="8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discount rate utilized to determine the liability for SLB’s United States pension plans and postretirement medical plan was 5.50% at December 31, 2022 and 3.00% at December 31, 2021.</w:t>
      </w:r>
    </w:p>
    <w:p>
      <w:pPr>
        <w:spacing w:after="0" w:line="7"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weighted-average discount rate utilized to determine the liability for SLB’s international pension plans was 5.41% at December 31, 2022 and 2.83% at December 31, 2021.</w:t>
      </w:r>
    </w:p>
    <w:p>
      <w:pPr>
        <w:spacing w:after="0" w:line="10"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discount rate utilized to determine expense for SLB’s United States pension plans and postretirement medical plan was 3.00% in 2022 and 2.60% in 2021.</w:t>
      </w:r>
    </w:p>
    <w:p>
      <w:pPr>
        <w:spacing w:after="0" w:line="10"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weighted-average discount rate utilized to determine expense for SLB’s international pension plans was 2.83% in 2022 and 2.38% in 2021.</w:t>
      </w:r>
    </w:p>
    <w:p>
      <w:pPr>
        <w:spacing w:after="0" w:line="221"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expected rate of return for SLB’s retirement benefit plans represents the long-term average rate of return expected to be earned on plan assets based on expectations regarding future rates of return for the portfolio considering the asset allocation and related historical rate of return. The average expected rate of return on plan assets for the United States pension plans was 4.40% in 2022 and 6.60% in 2021. The weighted average expected rate of return on plan assets for the international pension plans was 5.05% in 2022 and 6.73% in 2021. A lower expected rate of return increases pension expense.</w:t>
      </w:r>
    </w:p>
    <w:p>
      <w:pPr>
        <w:spacing w:after="0" w:line="219"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The following illustrates the sensitivity to changes in certain assumptions, holding all other assumptions constant, for SLB’s United States and international pension plans: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464"/>
        </w:trPr>
        <w:tc>
          <w:tcPr>
            <w:tcW w:w="21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rPr>
              <w:t>Effect on</w:t>
            </w:r>
          </w:p>
        </w:tc>
        <w:tc>
          <w:tcPr>
            <w:tcW w:w="0" w:type="dxa"/>
            <w:vAlign w:val="bottom"/>
          </w:tcPr>
          <w:p>
            <w:pPr>
              <w:spacing w:after="0"/>
              <w:rPr>
                <w:sz w:val="1"/>
                <w:szCs w:val="1"/>
                <w:color w:val="auto"/>
              </w:rPr>
            </w:pPr>
          </w:p>
        </w:tc>
      </w:tr>
      <w:tr>
        <w:trPr>
          <w:trHeight w:val="220"/>
        </w:trPr>
        <w:tc>
          <w:tcPr>
            <w:tcW w:w="59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Change in Assumption</w:t>
            </w:r>
          </w:p>
        </w:tc>
        <w:tc>
          <w:tcPr>
            <w:tcW w:w="1660" w:type="dxa"/>
            <w:vAlign w:val="bottom"/>
            <w:gridSpan w:val="2"/>
          </w:tcPr>
          <w:p>
            <w:pPr>
              <w:jc w:val="center"/>
              <w:ind w:right="200"/>
              <w:spacing w:after="0" w:line="220" w:lineRule="exact"/>
              <w:rPr>
                <w:sz w:val="20"/>
                <w:szCs w:val="20"/>
                <w:color w:val="auto"/>
              </w:rPr>
            </w:pPr>
            <w:r>
              <w:rPr>
                <w:rFonts w:ascii="Arial" w:cs="Arial" w:eastAsia="Arial" w:hAnsi="Arial"/>
                <w:sz w:val="20"/>
                <w:szCs w:val="20"/>
                <w:color w:val="auto"/>
              </w:rPr>
              <w:t>Effect on 2022</w:t>
            </w:r>
          </w:p>
        </w:tc>
        <w:tc>
          <w:tcPr>
            <w:tcW w:w="1560" w:type="dxa"/>
            <w:vAlign w:val="bottom"/>
          </w:tcPr>
          <w:p>
            <w:pPr>
              <w:jc w:val="center"/>
              <w:spacing w:after="0" w:line="220" w:lineRule="exact"/>
              <w:rPr>
                <w:sz w:val="20"/>
                <w:szCs w:val="20"/>
                <w:color w:val="auto"/>
              </w:rPr>
            </w:pPr>
            <w:r>
              <w:rPr>
                <w:rFonts w:ascii="Arial" w:cs="Arial" w:eastAsia="Arial" w:hAnsi="Arial"/>
                <w:sz w:val="20"/>
                <w:szCs w:val="20"/>
                <w:color w:val="auto"/>
                <w:w w:val="99"/>
              </w:rPr>
              <w:t>Dec. 31, 2022</w:t>
            </w:r>
          </w:p>
        </w:tc>
        <w:tc>
          <w:tcPr>
            <w:tcW w:w="0" w:type="dxa"/>
            <w:vAlign w:val="bottom"/>
          </w:tcPr>
          <w:p>
            <w:pPr>
              <w:spacing w:after="0"/>
              <w:rPr>
                <w:sz w:val="1"/>
                <w:szCs w:val="1"/>
                <w:color w:val="auto"/>
              </w:rPr>
            </w:pPr>
          </w:p>
        </w:tc>
      </w:tr>
      <w:tr>
        <w:trPr>
          <w:trHeight w:val="226"/>
        </w:trPr>
        <w:tc>
          <w:tcPr>
            <w:tcW w:w="5900" w:type="dxa"/>
            <w:vAlign w:val="bottom"/>
            <w:gridSpan w:val="2"/>
            <w:vMerge w:val="continue"/>
          </w:tcPr>
          <w:p>
            <w:pPr>
              <w:spacing w:after="0"/>
              <w:rPr>
                <w:sz w:val="19"/>
                <w:szCs w:val="19"/>
                <w:color w:val="auto"/>
              </w:rPr>
            </w:pPr>
          </w:p>
        </w:tc>
        <w:tc>
          <w:tcPr>
            <w:tcW w:w="1660" w:type="dxa"/>
            <w:vAlign w:val="bottom"/>
            <w:gridSpan w:val="2"/>
          </w:tcPr>
          <w:p>
            <w:pPr>
              <w:jc w:val="center"/>
              <w:ind w:right="200"/>
              <w:spacing w:after="0" w:line="226" w:lineRule="exact"/>
              <w:rPr>
                <w:sz w:val="20"/>
                <w:szCs w:val="20"/>
                <w:color w:val="auto"/>
              </w:rPr>
            </w:pPr>
            <w:r>
              <w:rPr>
                <w:rFonts w:ascii="Arial" w:cs="Arial" w:eastAsia="Arial" w:hAnsi="Arial"/>
                <w:sz w:val="20"/>
                <w:szCs w:val="20"/>
                <w:color w:val="auto"/>
              </w:rPr>
              <w:t>Pretax Expense</w:t>
            </w:r>
          </w:p>
        </w:tc>
        <w:tc>
          <w:tcPr>
            <w:tcW w:w="1560" w:type="dxa"/>
            <w:vAlign w:val="bottom"/>
          </w:tcPr>
          <w:p>
            <w:pPr>
              <w:jc w:val="center"/>
              <w:spacing w:after="0" w:line="226" w:lineRule="exact"/>
              <w:rPr>
                <w:sz w:val="20"/>
                <w:szCs w:val="20"/>
                <w:color w:val="auto"/>
              </w:rPr>
            </w:pPr>
            <w:r>
              <w:rPr>
                <w:rFonts w:ascii="Arial" w:cs="Arial" w:eastAsia="Arial" w:hAnsi="Arial"/>
                <w:sz w:val="20"/>
                <w:szCs w:val="20"/>
                <w:color w:val="auto"/>
                <w:w w:val="99"/>
              </w:rPr>
              <w:t>Obligation</w:t>
            </w:r>
          </w:p>
        </w:tc>
        <w:tc>
          <w:tcPr>
            <w:tcW w:w="0" w:type="dxa"/>
            <w:vAlign w:val="bottom"/>
          </w:tcPr>
          <w:p>
            <w:pPr>
              <w:spacing w:after="0"/>
              <w:rPr>
                <w:sz w:val="1"/>
                <w:szCs w:val="1"/>
                <w:color w:val="auto"/>
              </w:rPr>
            </w:pPr>
          </w:p>
        </w:tc>
      </w:tr>
      <w:tr>
        <w:trPr>
          <w:trHeight w:val="28"/>
        </w:trPr>
        <w:tc>
          <w:tcPr>
            <w:tcW w:w="218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900" w:type="dxa"/>
            <w:vAlign w:val="bottom"/>
            <w:gridSpan w:val="2"/>
            <w:shd w:val="clear" w:color="auto" w:fill="CCCCCC"/>
          </w:tcPr>
          <w:p>
            <w:pPr>
              <w:spacing w:after="0"/>
              <w:rPr>
                <w:sz w:val="20"/>
                <w:szCs w:val="20"/>
                <w:color w:val="auto"/>
              </w:rPr>
            </w:pPr>
            <w:r>
              <w:rPr>
                <w:rFonts w:ascii="Arial" w:cs="Arial" w:eastAsia="Arial" w:hAnsi="Arial"/>
                <w:sz w:val="20"/>
                <w:szCs w:val="20"/>
                <w:color w:val="auto"/>
              </w:rPr>
              <w:t>25 basis point decrease in discount rate . . . . . . . . . . . . . . . . . . . .</w:t>
            </w:r>
          </w:p>
        </w:tc>
        <w:tc>
          <w:tcPr>
            <w:tcW w:w="16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+$31</w:t>
            </w:r>
          </w:p>
        </w:tc>
        <w:tc>
          <w:tcPr>
            <w:tcW w:w="15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80"/>
        </w:trPr>
        <w:tc>
          <w:tcPr>
            <w:tcW w:w="5900" w:type="dxa"/>
            <w:vAlign w:val="bottom"/>
            <w:gridSpan w:val="2"/>
          </w:tcPr>
          <w:p>
            <w:pPr>
              <w:spacing w:after="0"/>
              <w:rPr>
                <w:sz w:val="20"/>
                <w:szCs w:val="20"/>
                <w:color w:val="auto"/>
              </w:rPr>
            </w:pPr>
            <w:r>
              <w:rPr>
                <w:rFonts w:ascii="Arial" w:cs="Arial" w:eastAsia="Arial" w:hAnsi="Arial"/>
                <w:sz w:val="20"/>
                <w:szCs w:val="20"/>
                <w:color w:val="auto"/>
              </w:rPr>
              <w:t>25 basis point increase in discount rate . . . . . . . . . . . . . . . . . . . . .</w:t>
            </w:r>
          </w:p>
        </w:tc>
        <w:tc>
          <w:tcPr>
            <w:tcW w:w="1660" w:type="dxa"/>
            <w:vAlign w:val="bottom"/>
            <w:gridSpan w:val="2"/>
          </w:tcPr>
          <w:p>
            <w:pPr>
              <w:jc w:val="right"/>
              <w:ind w:right="200"/>
              <w:spacing w:after="0"/>
              <w:rPr>
                <w:sz w:val="20"/>
                <w:szCs w:val="20"/>
                <w:color w:val="auto"/>
              </w:rPr>
            </w:pPr>
            <w:r>
              <w:rPr>
                <w:rFonts w:ascii="Arial" w:cs="Arial" w:eastAsia="Arial" w:hAnsi="Arial"/>
                <w:sz w:val="20"/>
                <w:szCs w:val="20"/>
                <w:color w:val="auto"/>
              </w:rPr>
              <w:t>-$30</w:t>
            </w:r>
          </w:p>
        </w:tc>
        <w:tc>
          <w:tcPr>
            <w:tcW w:w="1560" w:type="dxa"/>
            <w:vAlign w:val="bottom"/>
          </w:tcPr>
          <w:p>
            <w:pPr>
              <w:jc w:val="right"/>
              <w:spacing w:after="0"/>
              <w:rPr>
                <w:sz w:val="20"/>
                <w:szCs w:val="20"/>
                <w:color w:val="auto"/>
              </w:rPr>
            </w:pPr>
            <w:r>
              <w:rPr>
                <w:rFonts w:ascii="Arial" w:cs="Arial" w:eastAsia="Arial" w:hAnsi="Arial"/>
                <w:sz w:val="20"/>
                <w:szCs w:val="20"/>
                <w:color w:val="auto"/>
              </w:rPr>
              <w:t>-$321</w:t>
            </w:r>
          </w:p>
        </w:tc>
        <w:tc>
          <w:tcPr>
            <w:tcW w:w="0" w:type="dxa"/>
            <w:vAlign w:val="bottom"/>
          </w:tcPr>
          <w:p>
            <w:pPr>
              <w:spacing w:after="0"/>
              <w:rPr>
                <w:sz w:val="1"/>
                <w:szCs w:val="1"/>
                <w:color w:val="auto"/>
              </w:rPr>
            </w:pPr>
          </w:p>
        </w:tc>
      </w:tr>
      <w:tr>
        <w:trPr>
          <w:trHeight w:val="280"/>
        </w:trPr>
        <w:tc>
          <w:tcPr>
            <w:tcW w:w="5900" w:type="dxa"/>
            <w:vAlign w:val="bottom"/>
            <w:gridSpan w:val="2"/>
            <w:shd w:val="clear" w:color="auto" w:fill="CCCCCC"/>
          </w:tcPr>
          <w:p>
            <w:pPr>
              <w:spacing w:after="0"/>
              <w:rPr>
                <w:sz w:val="20"/>
                <w:szCs w:val="20"/>
                <w:color w:val="auto"/>
              </w:rPr>
            </w:pPr>
            <w:r>
              <w:rPr>
                <w:rFonts w:ascii="Arial" w:cs="Arial" w:eastAsia="Arial" w:hAnsi="Arial"/>
                <w:sz w:val="20"/>
                <w:szCs w:val="20"/>
                <w:color w:val="auto"/>
              </w:rPr>
              <w:t>25 basis point decrease in expected return on plan assets . . . . .</w:t>
            </w:r>
          </w:p>
        </w:tc>
        <w:tc>
          <w:tcPr>
            <w:tcW w:w="16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+$38</w:t>
            </w:r>
          </w:p>
        </w:tc>
        <w:tc>
          <w:tcPr>
            <w:tcW w:w="15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5900" w:type="dxa"/>
            <w:vAlign w:val="bottom"/>
            <w:gridSpan w:val="2"/>
          </w:tcPr>
          <w:p>
            <w:pPr>
              <w:spacing w:after="0"/>
              <w:rPr>
                <w:sz w:val="20"/>
                <w:szCs w:val="20"/>
                <w:color w:val="auto"/>
              </w:rPr>
            </w:pPr>
            <w:r>
              <w:rPr>
                <w:rFonts w:ascii="Arial" w:cs="Arial" w:eastAsia="Arial" w:hAnsi="Arial"/>
                <w:sz w:val="20"/>
                <w:szCs w:val="20"/>
                <w:color w:val="auto"/>
              </w:rPr>
              <w:t>25 basis point increase in expected return on plan assets . . . . . .</w:t>
            </w:r>
          </w:p>
        </w:tc>
        <w:tc>
          <w:tcPr>
            <w:tcW w:w="1660" w:type="dxa"/>
            <w:vAlign w:val="bottom"/>
            <w:gridSpan w:val="2"/>
          </w:tcPr>
          <w:p>
            <w:pPr>
              <w:jc w:val="right"/>
              <w:ind w:right="200"/>
              <w:spacing w:after="0"/>
              <w:rPr>
                <w:sz w:val="20"/>
                <w:szCs w:val="20"/>
                <w:color w:val="auto"/>
              </w:rPr>
            </w:pPr>
            <w:r>
              <w:rPr>
                <w:rFonts w:ascii="Arial" w:cs="Arial" w:eastAsia="Arial" w:hAnsi="Arial"/>
                <w:sz w:val="20"/>
                <w:szCs w:val="20"/>
                <w:color w:val="auto"/>
              </w:rPr>
              <w:t>-$38</w:t>
            </w: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following illustrates the sensitivity to changes in certain assumptions, holding all other assumptions constant, for SLB’s United States postretirement medical plans: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464"/>
        </w:trPr>
        <w:tc>
          <w:tcPr>
            <w:tcW w:w="2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Effect on</w:t>
            </w:r>
          </w:p>
        </w:tc>
        <w:tc>
          <w:tcPr>
            <w:tcW w:w="1440" w:type="dxa"/>
            <w:vAlign w:val="bottom"/>
          </w:tcPr>
          <w:p>
            <w:pPr>
              <w:jc w:val="center"/>
              <w:spacing w:after="0"/>
              <w:rPr>
                <w:sz w:val="20"/>
                <w:szCs w:val="20"/>
                <w:color w:val="auto"/>
              </w:rPr>
            </w:pPr>
            <w:r>
              <w:rPr>
                <w:rFonts w:ascii="Arial" w:cs="Arial" w:eastAsia="Arial" w:hAnsi="Arial"/>
                <w:sz w:val="20"/>
                <w:szCs w:val="20"/>
                <w:color w:val="auto"/>
              </w:rPr>
              <w:t>Effect on</w:t>
            </w:r>
          </w:p>
        </w:tc>
        <w:tc>
          <w:tcPr>
            <w:tcW w:w="0" w:type="dxa"/>
            <w:vAlign w:val="bottom"/>
          </w:tcPr>
          <w:p>
            <w:pPr>
              <w:spacing w:after="0"/>
              <w:rPr>
                <w:sz w:val="1"/>
                <w:szCs w:val="1"/>
                <w:color w:val="auto"/>
              </w:rPr>
            </w:pPr>
          </w:p>
        </w:tc>
      </w:tr>
      <w:tr>
        <w:trPr>
          <w:trHeight w:val="220"/>
        </w:trPr>
        <w:tc>
          <w:tcPr>
            <w:tcW w:w="61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Change in Assumption</w:t>
            </w:r>
          </w:p>
        </w:tc>
        <w:tc>
          <w:tcPr>
            <w:tcW w:w="1500" w:type="dxa"/>
            <w:vAlign w:val="bottom"/>
            <w:gridSpan w:val="2"/>
          </w:tcPr>
          <w:p>
            <w:pPr>
              <w:jc w:val="center"/>
              <w:ind w:right="220"/>
              <w:spacing w:after="0" w:line="220" w:lineRule="exact"/>
              <w:rPr>
                <w:sz w:val="20"/>
                <w:szCs w:val="20"/>
                <w:color w:val="auto"/>
              </w:rPr>
            </w:pPr>
            <w:r>
              <w:rPr>
                <w:rFonts w:ascii="Arial" w:cs="Arial" w:eastAsia="Arial" w:hAnsi="Arial"/>
                <w:sz w:val="20"/>
                <w:szCs w:val="20"/>
                <w:color w:val="auto"/>
              </w:rPr>
              <w:t>2022 Pretax</w:t>
            </w:r>
          </w:p>
        </w:tc>
        <w:tc>
          <w:tcPr>
            <w:tcW w:w="1440" w:type="dxa"/>
            <w:vAlign w:val="bottom"/>
          </w:tcPr>
          <w:p>
            <w:pPr>
              <w:jc w:val="center"/>
              <w:spacing w:after="0" w:line="220" w:lineRule="exact"/>
              <w:rPr>
                <w:sz w:val="20"/>
                <w:szCs w:val="20"/>
                <w:color w:val="auto"/>
              </w:rPr>
            </w:pPr>
            <w:r>
              <w:rPr>
                <w:rFonts w:ascii="Arial" w:cs="Arial" w:eastAsia="Arial" w:hAnsi="Arial"/>
                <w:sz w:val="20"/>
                <w:szCs w:val="20"/>
                <w:color w:val="auto"/>
                <w:w w:val="99"/>
              </w:rPr>
              <w:t>Dec. 31, 2022</w:t>
            </w:r>
          </w:p>
        </w:tc>
        <w:tc>
          <w:tcPr>
            <w:tcW w:w="0" w:type="dxa"/>
            <w:vAlign w:val="bottom"/>
          </w:tcPr>
          <w:p>
            <w:pPr>
              <w:spacing w:after="0"/>
              <w:rPr>
                <w:sz w:val="1"/>
                <w:szCs w:val="1"/>
                <w:color w:val="auto"/>
              </w:rPr>
            </w:pPr>
          </w:p>
        </w:tc>
      </w:tr>
      <w:tr>
        <w:trPr>
          <w:trHeight w:val="224"/>
        </w:trPr>
        <w:tc>
          <w:tcPr>
            <w:tcW w:w="6180" w:type="dxa"/>
            <w:vAlign w:val="bottom"/>
            <w:gridSpan w:val="2"/>
            <w:vMerge w:val="continue"/>
          </w:tcPr>
          <w:p>
            <w:pPr>
              <w:spacing w:after="0"/>
              <w:rPr>
                <w:sz w:val="19"/>
                <w:szCs w:val="19"/>
                <w:color w:val="auto"/>
              </w:rPr>
            </w:pPr>
          </w:p>
        </w:tc>
        <w:tc>
          <w:tcPr>
            <w:tcW w:w="1500" w:type="dxa"/>
            <w:vAlign w:val="bottom"/>
            <w:gridSpan w:val="2"/>
          </w:tcPr>
          <w:p>
            <w:pPr>
              <w:jc w:val="center"/>
              <w:ind w:right="200"/>
              <w:spacing w:after="0" w:line="224" w:lineRule="exact"/>
              <w:rPr>
                <w:sz w:val="20"/>
                <w:szCs w:val="20"/>
                <w:color w:val="auto"/>
              </w:rPr>
            </w:pPr>
            <w:r>
              <w:rPr>
                <w:rFonts w:ascii="Arial" w:cs="Arial" w:eastAsia="Arial" w:hAnsi="Arial"/>
                <w:sz w:val="20"/>
                <w:szCs w:val="20"/>
                <w:color w:val="auto"/>
              </w:rPr>
              <w:t>Expense</w:t>
            </w:r>
          </w:p>
        </w:tc>
        <w:tc>
          <w:tcPr>
            <w:tcW w:w="1440" w:type="dxa"/>
            <w:vAlign w:val="bottom"/>
          </w:tcPr>
          <w:p>
            <w:pPr>
              <w:jc w:val="center"/>
              <w:spacing w:after="0" w:line="224" w:lineRule="exact"/>
              <w:rPr>
                <w:sz w:val="20"/>
                <w:szCs w:val="20"/>
                <w:color w:val="auto"/>
              </w:rPr>
            </w:pPr>
            <w:r>
              <w:rPr>
                <w:rFonts w:ascii="Arial" w:cs="Arial" w:eastAsia="Arial" w:hAnsi="Arial"/>
                <w:sz w:val="20"/>
                <w:szCs w:val="20"/>
                <w:color w:val="auto"/>
                <w:w w:val="99"/>
              </w:rPr>
              <w:t>Obligation</w:t>
            </w:r>
          </w:p>
        </w:tc>
        <w:tc>
          <w:tcPr>
            <w:tcW w:w="0" w:type="dxa"/>
            <w:vAlign w:val="bottom"/>
          </w:tcPr>
          <w:p>
            <w:pPr>
              <w:spacing w:after="0"/>
              <w:rPr>
                <w:sz w:val="1"/>
                <w:szCs w:val="1"/>
                <w:color w:val="auto"/>
              </w:rPr>
            </w:pPr>
          </w:p>
        </w:tc>
      </w:tr>
      <w:tr>
        <w:trPr>
          <w:trHeight w:val="30"/>
        </w:trPr>
        <w:tc>
          <w:tcPr>
            <w:tcW w:w="2180" w:type="dxa"/>
            <w:vAlign w:val="bottom"/>
            <w:tcBorders>
              <w:bottom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180" w:type="dxa"/>
            <w:vAlign w:val="bottom"/>
            <w:gridSpan w:val="2"/>
            <w:shd w:val="clear" w:color="auto" w:fill="CCCCCC"/>
          </w:tcPr>
          <w:p>
            <w:pPr>
              <w:spacing w:after="0"/>
              <w:rPr>
                <w:sz w:val="20"/>
                <w:szCs w:val="20"/>
                <w:color w:val="auto"/>
              </w:rPr>
            </w:pPr>
            <w:r>
              <w:rPr>
                <w:rFonts w:ascii="Arial" w:cs="Arial" w:eastAsia="Arial" w:hAnsi="Arial"/>
                <w:sz w:val="20"/>
                <w:szCs w:val="20"/>
                <w:color w:val="auto"/>
              </w:rPr>
              <w:t>25 basis point decrease in discount rate . . . . . . . . . . . . . . . . . . . . . . .</w:t>
            </w:r>
          </w:p>
        </w:tc>
        <w:tc>
          <w:tcPr>
            <w:tcW w:w="13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w:t>
            </w:r>
          </w:p>
        </w:tc>
        <w:tc>
          <w:tcPr>
            <w:tcW w:w="200" w:type="dxa"/>
            <w:vAlign w:val="bottom"/>
            <w:shd w:val="clear" w:color="auto" w:fill="CCCCCC"/>
          </w:tcPr>
          <w:p>
            <w:pPr>
              <w:spacing w:after="0"/>
              <w:rPr>
                <w:sz w:val="23"/>
                <w:szCs w:val="23"/>
                <w:color w:val="auto"/>
              </w:rPr>
            </w:pPr>
          </w:p>
        </w:tc>
        <w:tc>
          <w:tcPr>
            <w:tcW w:w="14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80"/>
        </w:trPr>
        <w:tc>
          <w:tcPr>
            <w:tcW w:w="6180" w:type="dxa"/>
            <w:vAlign w:val="bottom"/>
            <w:gridSpan w:val="2"/>
          </w:tcPr>
          <w:p>
            <w:pPr>
              <w:spacing w:after="0"/>
              <w:rPr>
                <w:sz w:val="20"/>
                <w:szCs w:val="20"/>
                <w:color w:val="auto"/>
              </w:rPr>
            </w:pPr>
            <w:r>
              <w:rPr>
                <w:rFonts w:ascii="Arial" w:cs="Arial" w:eastAsia="Arial" w:hAnsi="Arial"/>
                <w:sz w:val="20"/>
                <w:szCs w:val="20"/>
                <w:color w:val="auto"/>
              </w:rPr>
              <w:t>25 basis point increase in discount rate  . . . . . . . . . . . . . . . . . . . . . . .</w:t>
            </w: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+$3</w:t>
            </w:r>
          </w:p>
        </w:tc>
        <w:tc>
          <w:tcPr>
            <w:tcW w:w="144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9360"/>
          </w:cols>
          <w:pgMar w:left="1440" w:top="1440" w:right="1440" w:bottom="836" w:gutter="0" w:footer="0" w:header="0"/>
          <w:type w:val="continuous"/>
        </w:sectPr>
      </w:pPr>
    </w:p>
    <w:bookmarkStart w:id="59" w:name="page60"/>
    <w:bookmarkEnd w:id="59"/>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7A. Quantitative and Qualitative Disclosures About Market Risk.</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SLB is subject to market risks primarily associated with changes in foreign currency exchange rates.</w:t>
      </w:r>
    </w:p>
    <w:p>
      <w:pPr>
        <w:spacing w:after="0" w:line="18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SLB’s functional currency is primarily the US dollar. Approximately 72% of SLB’s revenue in 2022 was denominated in US dollars. However, outside the United States, a significant portion of SLB’s expenses is incurred in foreign currencies. Therefore, when the US dollar weakens in relation to the foreign currencies of the countries in which SLB conducts business, the US dollar-reported expenses will increase.</w:t>
      </w:r>
    </w:p>
    <w:p>
      <w:pPr>
        <w:spacing w:after="0" w:line="181"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SLB is exposed to risks on future cash flows relating to its fixed rate debt denominated in currencies other than the functional currency. SLB uses cross-currency interest rate swaps to provide a hedge against these cash flow risks and effectively convert the debt to US-dollar denominated fixed rate debt.</w:t>
      </w:r>
    </w:p>
    <w:p>
      <w:pPr>
        <w:spacing w:after="0" w:line="17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maintains a foreign-currency risk management strategy that uses derivative instruments to manage the impact of changes in foreign exchange rates on its earnings. SLB enters into foreign currency forward contracts to provide a hedge against currency fluctuations on certain monetary assets and liabilities, and certain expenses denominated in currencies other than the functional currency.</w:t>
      </w:r>
    </w:p>
    <w:p>
      <w:pPr>
        <w:spacing w:after="0" w:line="17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 10% appreciation in the US dollar from the December 31, 2022 market rates would increase the unrealized value of SLB’s forward contracts by $28 million. Conversely, a 10% depreciation in the US dollar from the December 31, 2022 market rates would decrease the unrealized value of SLB’s forward contracts by $36 million. In either scenario, the gain or loss on the forward contract would be offset by the gain or loss on the underlying transaction, and therefore, would have no impact on future earnings.</w:t>
      </w:r>
    </w:p>
    <w:p>
      <w:pPr>
        <w:spacing w:after="0" w:line="17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At December 31, 2022, contracts were outstanding for the US dollar equivalent of $7.2 billion in various foreign currencies, of which $5.1 billion related to hedges of debt balances denominated in currencies other than the functional currency.</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85"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This Form 10-K,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effective tax rate; SLB’s APS projects, joint ventures, and other alliances; SLB’s response to the COVID-19 pandemic and its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w:t>
      </w:r>
    </w:p>
    <w:p>
      <w:pPr>
        <w:sectPr>
          <w:pgSz w:w="12240" w:h="15840" w:orient="portrait"/>
          <w:cols w:equalWidth="0" w:num="1">
            <w:col w:w="9360"/>
          </w:cols>
          <w:pgMar w:left="1440" w:top="1440" w:right="1440" w:bottom="836"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9360"/>
          </w:cols>
          <w:pgMar w:left="1440" w:top="1440" w:right="1440" w:bottom="836" w:gutter="0" w:footer="0" w:header="0"/>
          <w:type w:val="continuous"/>
        </w:sectPr>
      </w:pPr>
    </w:p>
    <w:bookmarkStart w:id="60" w:name="page61"/>
    <w:bookmarkEnd w:id="60"/>
    <w:p>
      <w:pPr>
        <w:spacing w:after="0" w:line="56"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10-K and other filings that we make with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10-K are made as of January 25, 2023, and SLB disclaims any intention or obligation to update publicly or revise such statements, whether as a result of new information, future events or otherwise.</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9360"/>
          </w:cols>
          <w:pgMar w:left="1440" w:top="1440" w:right="1440" w:bottom="836" w:gutter="0" w:footer="0" w:header="0"/>
          <w:type w:val="continuous"/>
        </w:sectPr>
      </w:pPr>
    </w:p>
    <w:bookmarkStart w:id="61" w:name="page62"/>
    <w:bookmarkEnd w:id="61"/>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8. Financial Statements and Supplementary Data.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LIMITED AND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INCOME (LOSS)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gridSpan w:val="7"/>
          </w:tcPr>
          <w:p>
            <w:pPr>
              <w:jc w:val="right"/>
              <w:spacing w:after="0"/>
              <w:rPr>
                <w:sz w:val="20"/>
                <w:szCs w:val="20"/>
                <w:color w:val="auto"/>
              </w:rPr>
            </w:pPr>
            <w:r>
              <w:rPr>
                <w:rFonts w:ascii="Arial" w:cs="Arial" w:eastAsia="Arial" w:hAnsi="Arial"/>
                <w:sz w:val="16"/>
                <w:szCs w:val="16"/>
                <w:i w:val="1"/>
                <w:iCs w:val="1"/>
                <w:color w:val="auto"/>
              </w:rPr>
              <w:t>(Stated in millions, except per share amounts)</w:t>
            </w:r>
          </w:p>
        </w:tc>
      </w:tr>
      <w:tr>
        <w:trPr>
          <w:trHeight w:val="424"/>
        </w:trPr>
        <w:tc>
          <w:tcPr>
            <w:tcW w:w="53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2020</w:t>
            </w:r>
          </w:p>
        </w:tc>
      </w:tr>
      <w:tr>
        <w:trPr>
          <w:trHeight w:val="34"/>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300" w:type="dxa"/>
            <w:vAlign w:val="bottom"/>
            <w:shd w:val="clear" w:color="auto" w:fill="CCCCCC"/>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CCCCC"/>
          </w:tcPr>
          <w:p>
            <w:pPr>
              <w:spacing w:after="0"/>
              <w:rPr>
                <w:sz w:val="20"/>
                <w:szCs w:val="20"/>
                <w:color w:val="auto"/>
              </w:rPr>
            </w:pPr>
          </w:p>
        </w:tc>
        <w:tc>
          <w:tcPr>
            <w:tcW w:w="96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88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880" w:type="dxa"/>
            <w:vAlign w:val="bottom"/>
            <w:shd w:val="clear" w:color="auto" w:fill="CCCCCC"/>
          </w:tcPr>
          <w:p>
            <w:pPr>
              <w:spacing w:after="0"/>
              <w:rPr>
                <w:sz w:val="20"/>
                <w:szCs w:val="20"/>
                <w:color w:val="auto"/>
              </w:rPr>
            </w:pPr>
          </w:p>
        </w:tc>
      </w:tr>
      <w:tr>
        <w:trPr>
          <w:trHeight w:val="238"/>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Services . . . . . . . . . . . . . . . . . . . . . . . . . . . . . . . . . . . . . . . . . . .</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19,552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15,602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16,533</w:t>
            </w:r>
          </w:p>
        </w:tc>
      </w:tr>
      <w:tr>
        <w:trPr>
          <w:trHeight w:val="242"/>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color w:val="auto"/>
              </w:rPr>
              <w:t>Product sales . . . . . . . . . . . . . . . . . . . . . . . . . . . . . . . . . . . . . . .</w:t>
            </w:r>
          </w:p>
        </w:tc>
        <w:tc>
          <w:tcPr>
            <w:tcW w:w="260" w:type="dxa"/>
            <w:vAlign w:val="bottom"/>
            <w:shd w:val="clear" w:color="auto" w:fill="CCCCCC"/>
          </w:tcPr>
          <w:p>
            <w:pPr>
              <w:spacing w:after="0"/>
              <w:rPr>
                <w:sz w:val="21"/>
                <w:szCs w:val="21"/>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8,539</w:t>
            </w:r>
          </w:p>
        </w:tc>
        <w:tc>
          <w:tcPr>
            <w:tcW w:w="220" w:type="dxa"/>
            <w:vAlign w:val="bottom"/>
            <w:shd w:val="clear" w:color="auto" w:fill="CCCCCC"/>
          </w:tcPr>
          <w:p>
            <w:pPr>
              <w:spacing w:after="0"/>
              <w:rPr>
                <w:sz w:val="21"/>
                <w:szCs w:val="21"/>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7,327</w:t>
            </w: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7,068</w:t>
            </w:r>
          </w:p>
        </w:tc>
      </w:tr>
      <w:tr>
        <w:trPr>
          <w:trHeight w:val="70"/>
        </w:trPr>
        <w:tc>
          <w:tcPr>
            <w:tcW w:w="53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28"/>
        </w:trPr>
        <w:tc>
          <w:tcPr>
            <w:tcW w:w="5300" w:type="dxa"/>
            <w:vAlign w:val="bottom"/>
          </w:tcPr>
          <w:p>
            <w:pPr>
              <w:jc w:val="right"/>
              <w:ind w:right="110"/>
              <w:spacing w:after="0"/>
              <w:rPr>
                <w:sz w:val="20"/>
                <w:szCs w:val="20"/>
                <w:color w:val="auto"/>
              </w:rPr>
            </w:pPr>
            <w:r>
              <w:rPr>
                <w:rFonts w:ascii="Arial" w:cs="Arial" w:eastAsia="Arial" w:hAnsi="Arial"/>
                <w:sz w:val="18"/>
                <w:szCs w:val="18"/>
                <w:i w:val="1"/>
                <w:iCs w:val="1"/>
                <w:color w:val="auto"/>
                <w:w w:val="96"/>
              </w:rPr>
              <w:t xml:space="preserve">Total Revenue </w:t>
            </w:r>
            <w:r>
              <w:rPr>
                <w:rFonts w:ascii="Arial" w:cs="Arial" w:eastAsia="Arial" w:hAnsi="Arial"/>
                <w:sz w:val="18"/>
                <w:szCs w:val="18"/>
                <w:color w:val="auto"/>
                <w:w w:val="96"/>
              </w:rPr>
              <w:t>. . . . . . . . . . . . . . . . . . . . . . . . . . . . . . . . . . . . . . . . .</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28,091</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22,929</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23,601</w:t>
            </w:r>
          </w:p>
        </w:tc>
      </w:tr>
      <w:tr>
        <w:trPr>
          <w:trHeight w:val="238"/>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i w:val="1"/>
                <w:iCs w:val="1"/>
                <w:color w:val="auto"/>
                <w:w w:val="97"/>
              </w:rPr>
              <w:t xml:space="preserve">Interest &amp; other income, net </w:t>
            </w:r>
            <w:r>
              <w:rPr>
                <w:rFonts w:ascii="Arial" w:cs="Arial" w:eastAsia="Arial" w:hAnsi="Arial"/>
                <w:sz w:val="18"/>
                <w:szCs w:val="18"/>
                <w:color w:val="auto"/>
                <w:w w:val="97"/>
              </w:rPr>
              <w:t>. . . . . . . . . . . . . . . . . . . . . . . . . . . . . .</w:t>
            </w:r>
          </w:p>
        </w:tc>
        <w:tc>
          <w:tcPr>
            <w:tcW w:w="260" w:type="dxa"/>
            <w:vAlign w:val="bottom"/>
            <w:shd w:val="clear" w:color="auto" w:fill="CCCCCC"/>
          </w:tcPr>
          <w:p>
            <w:pPr>
              <w:spacing w:after="0"/>
              <w:rPr>
                <w:sz w:val="20"/>
                <w:szCs w:val="20"/>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610</w:t>
            </w:r>
          </w:p>
        </w:tc>
        <w:tc>
          <w:tcPr>
            <w:tcW w:w="220" w:type="dxa"/>
            <w:vAlign w:val="bottom"/>
            <w:shd w:val="clear" w:color="auto" w:fill="CCCCCC"/>
          </w:tcPr>
          <w:p>
            <w:pPr>
              <w:spacing w:after="0"/>
              <w:rPr>
                <w:sz w:val="20"/>
                <w:szCs w:val="20"/>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CCCC"/>
          </w:tcPr>
          <w:p>
            <w:pPr>
              <w:spacing w:after="0"/>
              <w:rPr>
                <w:sz w:val="20"/>
                <w:szCs w:val="20"/>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267</w:t>
            </w:r>
          </w:p>
        </w:tc>
      </w:tr>
      <w:tr>
        <w:trPr>
          <w:trHeight w:val="244"/>
        </w:trPr>
        <w:tc>
          <w:tcPr>
            <w:tcW w:w="5300" w:type="dxa"/>
            <w:vAlign w:val="bottom"/>
            <w:shd w:val="clear" w:color="auto" w:fill="CCCCCC"/>
          </w:tcPr>
          <w:p>
            <w:pPr>
              <w:spacing w:after="0"/>
              <w:rPr>
                <w:sz w:val="20"/>
                <w:szCs w:val="20"/>
                <w:color w:val="auto"/>
              </w:rPr>
            </w:pPr>
            <w:r>
              <w:rPr>
                <w:rFonts w:ascii="Arial" w:cs="Arial" w:eastAsia="Arial" w:hAnsi="Arial"/>
                <w:sz w:val="18"/>
                <w:szCs w:val="18"/>
                <w:i w:val="1"/>
                <w:iCs w:val="1"/>
                <w:color w:val="auto"/>
              </w:rPr>
              <w:t>Expenses</w:t>
            </w:r>
          </w:p>
        </w:tc>
        <w:tc>
          <w:tcPr>
            <w:tcW w:w="260" w:type="dxa"/>
            <w:vAlign w:val="bottom"/>
            <w:shd w:val="clear" w:color="auto" w:fill="CCCCCC"/>
          </w:tcPr>
          <w:p>
            <w:pPr>
              <w:spacing w:after="0"/>
              <w:rPr>
                <w:sz w:val="21"/>
                <w:szCs w:val="21"/>
                <w:color w:val="auto"/>
              </w:rPr>
            </w:pPr>
          </w:p>
        </w:tc>
        <w:tc>
          <w:tcPr>
            <w:tcW w:w="96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spacing w:after="0"/>
              <w:rPr>
                <w:sz w:val="21"/>
                <w:szCs w:val="21"/>
                <w:color w:val="auto"/>
              </w:rPr>
            </w:pPr>
          </w:p>
        </w:tc>
        <w:tc>
          <w:tcPr>
            <w:tcW w:w="20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spacing w:after="0"/>
              <w:rPr>
                <w:sz w:val="21"/>
                <w:szCs w:val="21"/>
                <w:color w:val="auto"/>
              </w:rPr>
            </w:pPr>
          </w:p>
        </w:tc>
      </w:tr>
      <w:tr>
        <w:trPr>
          <w:trHeight w:val="238"/>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Cost of services . . . . . . . . . . . . . . . . . . . . . . . . . . . . . . . . . . . . .</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15,233</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13,129</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14,675</w:t>
            </w:r>
          </w:p>
        </w:tc>
      </w:tr>
      <w:tr>
        <w:trPr>
          <w:trHeight w:val="242"/>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color w:val="auto"/>
              </w:rPr>
              <w:t>Cost of sales  . . . . . . . . . . . . . . . . . . . . . . . . . . . . . . . . . . . . . . .</w:t>
            </w:r>
          </w:p>
        </w:tc>
        <w:tc>
          <w:tcPr>
            <w:tcW w:w="260" w:type="dxa"/>
            <w:vAlign w:val="bottom"/>
            <w:shd w:val="clear" w:color="auto" w:fill="CCCCCC"/>
          </w:tcPr>
          <w:p>
            <w:pPr>
              <w:spacing w:after="0"/>
              <w:rPr>
                <w:sz w:val="21"/>
                <w:szCs w:val="21"/>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7,697</w:t>
            </w:r>
          </w:p>
        </w:tc>
        <w:tc>
          <w:tcPr>
            <w:tcW w:w="220" w:type="dxa"/>
            <w:vAlign w:val="bottom"/>
            <w:shd w:val="clear" w:color="auto" w:fill="CCCCCC"/>
          </w:tcPr>
          <w:p>
            <w:pPr>
              <w:spacing w:after="0"/>
              <w:rPr>
                <w:sz w:val="21"/>
                <w:szCs w:val="21"/>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6,142</w:t>
            </w: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6,325</w:t>
            </w:r>
          </w:p>
        </w:tc>
      </w:tr>
      <w:tr>
        <w:trPr>
          <w:trHeight w:val="238"/>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Research &amp; engineering . . . . . . . . . . . . . . . . . . . . . . . . . . . . . .</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634</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42"/>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color w:val="auto"/>
              </w:rPr>
              <w:t>General &amp; administrative . . . . . . . . . . . . . . . . . . . . . . . . . . . . . .</w:t>
            </w:r>
          </w:p>
        </w:tc>
        <w:tc>
          <w:tcPr>
            <w:tcW w:w="260" w:type="dxa"/>
            <w:vAlign w:val="bottom"/>
            <w:shd w:val="clear" w:color="auto" w:fill="CCCCCC"/>
          </w:tcPr>
          <w:p>
            <w:pPr>
              <w:spacing w:after="0"/>
              <w:rPr>
                <w:sz w:val="21"/>
                <w:szCs w:val="21"/>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376</w:t>
            </w:r>
          </w:p>
        </w:tc>
        <w:tc>
          <w:tcPr>
            <w:tcW w:w="220" w:type="dxa"/>
            <w:vAlign w:val="bottom"/>
            <w:shd w:val="clear" w:color="auto" w:fill="CCCCCC"/>
          </w:tcPr>
          <w:p>
            <w:pPr>
              <w:spacing w:after="0"/>
              <w:rPr>
                <w:sz w:val="21"/>
                <w:szCs w:val="21"/>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365</w:t>
            </w:r>
          </w:p>
        </w:tc>
      </w:tr>
      <w:tr>
        <w:trPr>
          <w:trHeight w:val="238"/>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Impairments &amp; other  . . . . . . . . . . . . . . . . . . . . . . . . . . . . . . . .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12,658</w:t>
            </w:r>
          </w:p>
        </w:tc>
      </w:tr>
      <w:tr>
        <w:trPr>
          <w:trHeight w:val="242"/>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color w:val="auto"/>
              </w:rPr>
              <w:t>Interest . . . . . . . . . . . . . . . . . . . . . . . . . . . . . . . . . . . . . . . . . . . .</w:t>
            </w:r>
          </w:p>
        </w:tc>
        <w:tc>
          <w:tcPr>
            <w:tcW w:w="260" w:type="dxa"/>
            <w:vAlign w:val="bottom"/>
            <w:shd w:val="clear" w:color="auto" w:fill="CCCCCC"/>
          </w:tcPr>
          <w:p>
            <w:pPr>
              <w:spacing w:after="0"/>
              <w:rPr>
                <w:sz w:val="21"/>
                <w:szCs w:val="21"/>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490</w:t>
            </w:r>
          </w:p>
        </w:tc>
        <w:tc>
          <w:tcPr>
            <w:tcW w:w="220" w:type="dxa"/>
            <w:vAlign w:val="bottom"/>
            <w:shd w:val="clear" w:color="auto" w:fill="CCCCCC"/>
          </w:tcPr>
          <w:p>
            <w:pPr>
              <w:spacing w:after="0"/>
              <w:rPr>
                <w:sz w:val="21"/>
                <w:szCs w:val="21"/>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563</w:t>
            </w:r>
          </w:p>
        </w:tc>
      </w:tr>
      <w:tr>
        <w:trPr>
          <w:trHeight w:val="70"/>
        </w:trPr>
        <w:tc>
          <w:tcPr>
            <w:tcW w:w="53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28"/>
        </w:trPr>
        <w:tc>
          <w:tcPr>
            <w:tcW w:w="5300" w:type="dxa"/>
            <w:vAlign w:val="bottom"/>
          </w:tcPr>
          <w:p>
            <w:pPr>
              <w:jc w:val="right"/>
              <w:ind w:right="110"/>
              <w:spacing w:after="0"/>
              <w:rPr>
                <w:sz w:val="20"/>
                <w:szCs w:val="20"/>
                <w:color w:val="auto"/>
              </w:rPr>
            </w:pPr>
            <w:r>
              <w:rPr>
                <w:rFonts w:ascii="Arial" w:cs="Arial" w:eastAsia="Arial" w:hAnsi="Arial"/>
                <w:sz w:val="18"/>
                <w:szCs w:val="18"/>
                <w:i w:val="1"/>
                <w:iCs w:val="1"/>
                <w:color w:val="auto"/>
                <w:w w:val="97"/>
              </w:rPr>
              <w:t xml:space="preserve">Income (loss) before taxes </w:t>
            </w:r>
            <w:r>
              <w:rPr>
                <w:rFonts w:ascii="Arial" w:cs="Arial" w:eastAsia="Arial" w:hAnsi="Arial"/>
                <w:sz w:val="18"/>
                <w:szCs w:val="18"/>
                <w:color w:val="auto"/>
                <w:w w:val="97"/>
              </w:rPr>
              <w:t>. . . . . . . . . . . . . . . . . . . . . . . . . . . . . . .</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4,271</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2,374</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(11,298)</w:t>
            </w:r>
          </w:p>
        </w:tc>
      </w:tr>
      <w:tr>
        <w:trPr>
          <w:trHeight w:val="242"/>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color w:val="auto"/>
              </w:rPr>
              <w:t>Tax expense (benefit) . . . . . . . . . . . . . . . . . . . . . . . . . . . . . . . .</w:t>
            </w:r>
          </w:p>
        </w:tc>
        <w:tc>
          <w:tcPr>
            <w:tcW w:w="260" w:type="dxa"/>
            <w:vAlign w:val="bottom"/>
            <w:shd w:val="clear" w:color="auto" w:fill="CCCCCC"/>
          </w:tcPr>
          <w:p>
            <w:pPr>
              <w:spacing w:after="0"/>
              <w:rPr>
                <w:sz w:val="21"/>
                <w:szCs w:val="21"/>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779</w:t>
            </w:r>
          </w:p>
        </w:tc>
        <w:tc>
          <w:tcPr>
            <w:tcW w:w="220" w:type="dxa"/>
            <w:vAlign w:val="bottom"/>
            <w:shd w:val="clear" w:color="auto" w:fill="CCCCCC"/>
          </w:tcPr>
          <w:p>
            <w:pPr>
              <w:spacing w:after="0"/>
              <w:rPr>
                <w:sz w:val="21"/>
                <w:szCs w:val="21"/>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(812)</w:t>
            </w:r>
          </w:p>
        </w:tc>
      </w:tr>
      <w:tr>
        <w:trPr>
          <w:trHeight w:val="70"/>
        </w:trPr>
        <w:tc>
          <w:tcPr>
            <w:tcW w:w="53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28"/>
        </w:trPr>
        <w:tc>
          <w:tcPr>
            <w:tcW w:w="5300" w:type="dxa"/>
            <w:vAlign w:val="bottom"/>
          </w:tcPr>
          <w:p>
            <w:pPr>
              <w:jc w:val="right"/>
              <w:ind w:right="110"/>
              <w:spacing w:after="0"/>
              <w:rPr>
                <w:sz w:val="20"/>
                <w:szCs w:val="20"/>
                <w:color w:val="auto"/>
              </w:rPr>
            </w:pPr>
            <w:r>
              <w:rPr>
                <w:rFonts w:ascii="Arial" w:cs="Arial" w:eastAsia="Arial" w:hAnsi="Arial"/>
                <w:sz w:val="18"/>
                <w:szCs w:val="18"/>
                <w:i w:val="1"/>
                <w:iCs w:val="1"/>
                <w:color w:val="auto"/>
                <w:w w:val="96"/>
              </w:rPr>
              <w:t xml:space="preserve">Net income (loss)  </w:t>
            </w:r>
            <w:r>
              <w:rPr>
                <w:rFonts w:ascii="Arial" w:cs="Arial" w:eastAsia="Arial" w:hAnsi="Arial"/>
                <w:sz w:val="18"/>
                <w:szCs w:val="18"/>
                <w:color w:val="auto"/>
                <w:w w:val="96"/>
              </w:rPr>
              <w:t>. . . . . . . . . . . . . . . . . . . . . . . . . . . . . . . . . . . . . .</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3,492</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1,928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(10,486)</w:t>
            </w:r>
          </w:p>
        </w:tc>
      </w:tr>
      <w:tr>
        <w:trPr>
          <w:trHeight w:val="242"/>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color w:val="auto"/>
              </w:rPr>
              <w:t>Net income attributable to noncontrolling interests . . . . . . . . .</w:t>
            </w:r>
          </w:p>
        </w:tc>
        <w:tc>
          <w:tcPr>
            <w:tcW w:w="260" w:type="dxa"/>
            <w:vAlign w:val="bottom"/>
            <w:shd w:val="clear" w:color="auto" w:fill="CCCCCC"/>
          </w:tcPr>
          <w:p>
            <w:pPr>
              <w:spacing w:after="0"/>
              <w:rPr>
                <w:sz w:val="21"/>
                <w:szCs w:val="21"/>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51</w:t>
            </w:r>
          </w:p>
        </w:tc>
        <w:tc>
          <w:tcPr>
            <w:tcW w:w="220" w:type="dxa"/>
            <w:vAlign w:val="bottom"/>
            <w:shd w:val="clear" w:color="auto" w:fill="CCCCCC"/>
          </w:tcPr>
          <w:p>
            <w:pPr>
              <w:spacing w:after="0"/>
              <w:rPr>
                <w:sz w:val="21"/>
                <w:szCs w:val="21"/>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w:t>
            </w:r>
          </w:p>
        </w:tc>
      </w:tr>
      <w:tr>
        <w:trPr>
          <w:trHeight w:val="70"/>
        </w:trPr>
        <w:tc>
          <w:tcPr>
            <w:tcW w:w="53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26"/>
        </w:trPr>
        <w:tc>
          <w:tcPr>
            <w:tcW w:w="5300" w:type="dxa"/>
            <w:vAlign w:val="bottom"/>
          </w:tcPr>
          <w:p>
            <w:pPr>
              <w:jc w:val="right"/>
              <w:ind w:right="110"/>
              <w:spacing w:after="0"/>
              <w:rPr>
                <w:sz w:val="20"/>
                <w:szCs w:val="20"/>
                <w:color w:val="auto"/>
              </w:rPr>
            </w:pPr>
            <w:r>
              <w:rPr>
                <w:rFonts w:ascii="Arial" w:cs="Arial" w:eastAsia="Arial" w:hAnsi="Arial"/>
                <w:sz w:val="18"/>
                <w:szCs w:val="18"/>
                <w:i w:val="1"/>
                <w:iCs w:val="1"/>
                <w:color w:val="auto"/>
                <w:w w:val="98"/>
              </w:rPr>
              <w:t xml:space="preserve">Net income (loss) attributable to SLB  </w:t>
            </w:r>
            <w:r>
              <w:rPr>
                <w:rFonts w:ascii="Arial" w:cs="Arial" w:eastAsia="Arial" w:hAnsi="Arial"/>
                <w:sz w:val="18"/>
                <w:szCs w:val="18"/>
                <w:color w:val="auto"/>
                <w:w w:val="98"/>
              </w:rPr>
              <w:t>. . . . . . . . . . . . . . . . . . . . . .</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(10,518)</w:t>
            </w:r>
          </w:p>
        </w:tc>
      </w:tr>
      <w:tr>
        <w:trPr>
          <w:trHeight w:val="34"/>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b w:val="1"/>
                <w:bCs w:val="1"/>
                <w:color w:val="auto"/>
                <w:w w:val="98"/>
              </w:rPr>
              <w:t xml:space="preserve">Basic earnings (loss) per share of SLB  </w:t>
            </w:r>
            <w:r>
              <w:rPr>
                <w:rFonts w:ascii="Arial" w:cs="Arial" w:eastAsia="Arial" w:hAnsi="Arial"/>
                <w:sz w:val="18"/>
                <w:szCs w:val="18"/>
                <w:color w:val="auto"/>
                <w:w w:val="98"/>
              </w:rPr>
              <w:t>. . . . . . . . . . . . . . . . . .</w:t>
            </w:r>
          </w:p>
        </w:tc>
        <w:tc>
          <w:tcPr>
            <w:tcW w:w="260" w:type="dxa"/>
            <w:vAlign w:val="bottom"/>
            <w:shd w:val="clear" w:color="auto" w:fill="CCCCC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2.43</w:t>
            </w:r>
          </w:p>
        </w:tc>
        <w:tc>
          <w:tcPr>
            <w:tcW w:w="22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(7.57)</w:t>
            </w:r>
          </w:p>
        </w:tc>
      </w:tr>
      <w:tr>
        <w:trPr>
          <w:trHeight w:val="70"/>
        </w:trPr>
        <w:tc>
          <w:tcPr>
            <w:tcW w:w="53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6"/>
        </w:trPr>
        <w:tc>
          <w:tcPr>
            <w:tcW w:w="53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 xml:space="preserve">Diluted earnings (loss) per share of SLB </w:t>
            </w:r>
            <w:r>
              <w:rPr>
                <w:rFonts w:ascii="Arial" w:cs="Arial" w:eastAsia="Arial" w:hAnsi="Arial"/>
                <w:sz w:val="18"/>
                <w:szCs w:val="18"/>
                <w:color w:val="auto"/>
                <w:w w:val="98"/>
              </w:rPr>
              <w:t>. . . . . . . . . . . . . . . . .</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34"/>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Average shares outstanding:</w:t>
            </w:r>
          </w:p>
        </w:tc>
        <w:tc>
          <w:tcPr>
            <w:tcW w:w="260" w:type="dxa"/>
            <w:vAlign w:val="bottom"/>
            <w:shd w:val="clear" w:color="auto" w:fill="CCCCCC"/>
          </w:tcPr>
          <w:p>
            <w:pPr>
              <w:spacing w:after="0"/>
              <w:rPr>
                <w:sz w:val="20"/>
                <w:szCs w:val="20"/>
                <w:color w:val="auto"/>
              </w:rPr>
            </w:pPr>
          </w:p>
        </w:tc>
        <w:tc>
          <w:tcPr>
            <w:tcW w:w="96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880" w:type="dxa"/>
            <w:vAlign w:val="bottom"/>
            <w:shd w:val="clear" w:color="auto" w:fill="CCCCCC"/>
          </w:tcPr>
          <w:p>
            <w:pPr>
              <w:spacing w:after="0"/>
              <w:rPr>
                <w:sz w:val="20"/>
                <w:szCs w:val="20"/>
                <w:color w:val="auto"/>
              </w:rPr>
            </w:pPr>
          </w:p>
        </w:tc>
        <w:tc>
          <w:tcPr>
            <w:tcW w:w="200" w:type="dxa"/>
            <w:vAlign w:val="bottom"/>
            <w:shd w:val="clear" w:color="auto" w:fill="CCCCCC"/>
          </w:tcPr>
          <w:p>
            <w:pPr>
              <w:spacing w:after="0"/>
              <w:rPr>
                <w:sz w:val="20"/>
                <w:szCs w:val="20"/>
                <w:color w:val="auto"/>
              </w:rPr>
            </w:pPr>
          </w:p>
        </w:tc>
        <w:tc>
          <w:tcPr>
            <w:tcW w:w="220" w:type="dxa"/>
            <w:vAlign w:val="bottom"/>
            <w:shd w:val="clear" w:color="auto" w:fill="CCCCCC"/>
          </w:tcPr>
          <w:p>
            <w:pPr>
              <w:spacing w:after="0"/>
              <w:rPr>
                <w:sz w:val="20"/>
                <w:szCs w:val="20"/>
                <w:color w:val="auto"/>
              </w:rPr>
            </w:pPr>
          </w:p>
        </w:tc>
        <w:tc>
          <w:tcPr>
            <w:tcW w:w="880" w:type="dxa"/>
            <w:vAlign w:val="bottom"/>
            <w:shd w:val="clear" w:color="auto" w:fill="CCCCCC"/>
          </w:tcPr>
          <w:p>
            <w:pPr>
              <w:spacing w:after="0"/>
              <w:rPr>
                <w:sz w:val="20"/>
                <w:szCs w:val="20"/>
                <w:color w:val="auto"/>
              </w:rPr>
            </w:pPr>
          </w:p>
        </w:tc>
      </w:tr>
      <w:tr>
        <w:trPr>
          <w:trHeight w:val="238"/>
        </w:trPr>
        <w:tc>
          <w:tcPr>
            <w:tcW w:w="5300" w:type="dxa"/>
            <w:vAlign w:val="bottom"/>
          </w:tcPr>
          <w:p>
            <w:pPr>
              <w:jc w:val="right"/>
              <w:ind w:right="110"/>
              <w:spacing w:after="0"/>
              <w:rPr>
                <w:sz w:val="20"/>
                <w:szCs w:val="20"/>
                <w:color w:val="auto"/>
              </w:rPr>
            </w:pPr>
            <w:r>
              <w:rPr>
                <w:rFonts w:ascii="Arial" w:cs="Arial" w:eastAsia="Arial" w:hAnsi="Arial"/>
                <w:sz w:val="18"/>
                <w:szCs w:val="18"/>
                <w:color w:val="auto"/>
              </w:rPr>
              <w:t>Basic . . . . . . . . . . . . . . . . . . . . . . . . . . . . . . . . . . . . . . . . . . . . . .</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1,416</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42"/>
        </w:trPr>
        <w:tc>
          <w:tcPr>
            <w:tcW w:w="5300" w:type="dxa"/>
            <w:vAlign w:val="bottom"/>
            <w:shd w:val="clear" w:color="auto" w:fill="CCCCCC"/>
          </w:tcPr>
          <w:p>
            <w:pPr>
              <w:jc w:val="right"/>
              <w:ind w:right="110"/>
              <w:spacing w:after="0"/>
              <w:rPr>
                <w:sz w:val="20"/>
                <w:szCs w:val="20"/>
                <w:color w:val="auto"/>
              </w:rPr>
            </w:pPr>
            <w:r>
              <w:rPr>
                <w:rFonts w:ascii="Arial" w:cs="Arial" w:eastAsia="Arial" w:hAnsi="Arial"/>
                <w:sz w:val="18"/>
                <w:szCs w:val="18"/>
                <w:color w:val="auto"/>
              </w:rPr>
              <w:t>Assuming dilution . . . . . . . . . . . . . . . . . . . . . . . . . . . . . . . . . . . .</w:t>
            </w:r>
          </w:p>
        </w:tc>
        <w:tc>
          <w:tcPr>
            <w:tcW w:w="260" w:type="dxa"/>
            <w:vAlign w:val="bottom"/>
            <w:shd w:val="clear" w:color="auto" w:fill="CCCCCC"/>
          </w:tcPr>
          <w:p>
            <w:pPr>
              <w:spacing w:after="0"/>
              <w:rPr>
                <w:sz w:val="21"/>
                <w:szCs w:val="21"/>
                <w:color w:val="auto"/>
              </w:rPr>
            </w:pPr>
          </w:p>
        </w:tc>
        <w:tc>
          <w:tcPr>
            <w:tcW w:w="11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b w:val="1"/>
                <w:bCs w:val="1"/>
                <w:color w:val="auto"/>
              </w:rPr>
              <w:t>1,437</w:t>
            </w:r>
          </w:p>
        </w:tc>
        <w:tc>
          <w:tcPr>
            <w:tcW w:w="220" w:type="dxa"/>
            <w:vAlign w:val="bottom"/>
            <w:shd w:val="clear" w:color="auto" w:fill="CCCCCC"/>
          </w:tcPr>
          <w:p>
            <w:pPr>
              <w:spacing w:after="0"/>
              <w:rPr>
                <w:sz w:val="21"/>
                <w:szCs w:val="21"/>
                <w:color w:val="auto"/>
              </w:rPr>
            </w:pPr>
          </w:p>
        </w:tc>
        <w:tc>
          <w:tcPr>
            <w:tcW w:w="108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CCCCC"/>
          </w:tcPr>
          <w:p>
            <w:pPr>
              <w:spacing w:after="0"/>
              <w:rPr>
                <w:sz w:val="21"/>
                <w:szCs w:val="21"/>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1,390</w:t>
            </w:r>
          </w:p>
        </w:tc>
      </w:tr>
    </w:tbl>
    <w:p>
      <w:pPr>
        <w:spacing w:after="0" w:line="29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See the Notes to Consolidated Financial Statements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9360"/>
          </w:cols>
          <w:pgMar w:left="1440" w:top="1440" w:right="1440" w:bottom="836" w:gutter="0" w:footer="0" w:header="0"/>
          <w:type w:val="continuous"/>
        </w:sectPr>
      </w:pPr>
    </w:p>
    <w:bookmarkStart w:id="62" w:name="page63"/>
    <w:bookmarkEnd w:id="62"/>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LIMITED AND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COMPREHENSIVE INCOME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6880" w:type="dxa"/>
            <w:vAlign w:val="bottom"/>
          </w:tcPr>
          <w:p>
            <w:pPr>
              <w:spacing w:after="0"/>
              <w:rPr>
                <w:sz w:val="20"/>
                <w:szCs w:val="20"/>
                <w:color w:val="auto"/>
              </w:rPr>
            </w:pPr>
            <w:r>
              <w:rPr>
                <w:rFonts w:ascii="Arial" w:cs="Arial" w:eastAsia="Arial" w:hAnsi="Arial"/>
                <w:sz w:val="20"/>
                <w:szCs w:val="20"/>
                <w:b w:val="1"/>
                <w:bCs w:val="1"/>
                <w:color w:val="auto"/>
              </w:rPr>
              <w:t>Year Ended December 31,</w:t>
            </w:r>
          </w:p>
        </w:tc>
        <w:tc>
          <w:tcPr>
            <w:tcW w:w="180" w:type="dxa"/>
            <w:vAlign w:val="bottom"/>
          </w:tcPr>
          <w:p>
            <w:pPr>
              <w:spacing w:after="0"/>
              <w:rPr>
                <w:sz w:val="24"/>
                <w:szCs w:val="24"/>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41"/>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20"/>
                <w:szCs w:val="20"/>
                <w:color w:val="auto"/>
              </w:rPr>
              <w:t>2020</w:t>
            </w:r>
          </w:p>
        </w:tc>
      </w:tr>
      <w:tr>
        <w:trPr>
          <w:trHeight w:val="28"/>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6880" w:type="dxa"/>
            <w:vAlign w:val="bottom"/>
            <w:shd w:val="clear" w:color="auto" w:fill="CCCCCC"/>
          </w:tcPr>
          <w:p>
            <w:pPr>
              <w:spacing w:after="0"/>
              <w:rPr>
                <w:sz w:val="20"/>
                <w:szCs w:val="20"/>
                <w:color w:val="auto"/>
              </w:rPr>
            </w:pPr>
            <w:r>
              <w:rPr>
                <w:rFonts w:ascii="Arial" w:cs="Arial" w:eastAsia="Arial" w:hAnsi="Arial"/>
                <w:sz w:val="20"/>
                <w:szCs w:val="20"/>
                <w:i w:val="1"/>
                <w:iCs w:val="1"/>
                <w:color w:val="auto"/>
                <w:highlight w:val="lightGray"/>
                <w:w w:val="99"/>
              </w:rPr>
              <w:t xml:space="preserve">Net income (loss) </w:t>
            </w:r>
            <w:r>
              <w:rPr>
                <w:rFonts w:ascii="Arial" w:cs="Arial" w:eastAsia="Arial" w:hAnsi="Arial"/>
                <w:sz w:val="20"/>
                <w:szCs w:val="20"/>
                <w:color w:val="auto"/>
                <w:highlight w:val="lightGray"/>
                <w:w w:val="99"/>
              </w:rPr>
              <w:t>. . . . . . . . . . . . . . . . . . . . . . . . . . . . . . . . . . . . . . . . . . . . . . . .</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w w:val="89"/>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rPr>
              <w:t>3,492</w:t>
            </w:r>
          </w:p>
        </w:tc>
        <w:tc>
          <w:tcPr>
            <w:tcW w:w="200" w:type="dxa"/>
            <w:vAlign w:val="bottom"/>
            <w:shd w:val="clear" w:color="auto" w:fill="CCCCCC"/>
          </w:tcPr>
          <w:p>
            <w:pPr>
              <w:spacing w:after="0"/>
              <w:rPr>
                <w:sz w:val="23"/>
                <w:szCs w:val="23"/>
                <w:color w:val="auto"/>
              </w:rPr>
            </w:pP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w w:val="71"/>
              </w:rPr>
              <w:t>$</w:t>
            </w:r>
          </w:p>
        </w:tc>
        <w:tc>
          <w:tcPr>
            <w:tcW w:w="9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highlight w:val="lightGray"/>
              </w:rPr>
              <w:t>1,928</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 (10,486)</w:t>
            </w:r>
          </w:p>
        </w:tc>
      </w:tr>
      <w:tr>
        <w:trPr>
          <w:trHeight w:val="280"/>
        </w:trPr>
        <w:tc>
          <w:tcPr>
            <w:tcW w:w="6880" w:type="dxa"/>
            <w:vAlign w:val="bottom"/>
          </w:tcPr>
          <w:p>
            <w:pPr>
              <w:spacing w:after="0"/>
              <w:rPr>
                <w:sz w:val="20"/>
                <w:szCs w:val="20"/>
                <w:color w:val="auto"/>
              </w:rPr>
            </w:pPr>
            <w:r>
              <w:rPr>
                <w:rFonts w:ascii="Arial" w:cs="Arial" w:eastAsia="Arial" w:hAnsi="Arial"/>
                <w:sz w:val="20"/>
                <w:szCs w:val="20"/>
                <w:i w:val="1"/>
                <w:iCs w:val="1"/>
                <w:color w:val="auto"/>
              </w:rPr>
              <w:t>Currency translation adjustments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0"/>
        </w:trPr>
        <w:tc>
          <w:tcPr>
            <w:tcW w:w="688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Net change arising during the period . . . . . . . . . . . . . . . . . . . . . . . . . . . . . .</w:t>
            </w:r>
          </w:p>
        </w:tc>
        <w:tc>
          <w:tcPr>
            <w:tcW w:w="18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(26)</w:t>
            </w:r>
          </w:p>
        </w:tc>
        <w:tc>
          <w:tcPr>
            <w:tcW w:w="20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9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83</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(239)</w:t>
            </w:r>
          </w:p>
        </w:tc>
      </w:tr>
      <w:tr>
        <w:trPr>
          <w:trHeight w:val="280"/>
        </w:trPr>
        <w:tc>
          <w:tcPr>
            <w:tcW w:w="6880" w:type="dxa"/>
            <w:vAlign w:val="bottom"/>
          </w:tcPr>
          <w:p>
            <w:pPr>
              <w:spacing w:after="0"/>
              <w:rPr>
                <w:sz w:val="20"/>
                <w:szCs w:val="20"/>
                <w:color w:val="auto"/>
              </w:rPr>
            </w:pPr>
            <w:r>
              <w:rPr>
                <w:rFonts w:ascii="Arial" w:cs="Arial" w:eastAsia="Arial" w:hAnsi="Arial"/>
                <w:sz w:val="20"/>
                <w:szCs w:val="20"/>
                <w:i w:val="1"/>
                <w:iCs w:val="1"/>
                <w:color w:val="auto"/>
              </w:rPr>
              <w:t>Cash flow hedges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0"/>
        </w:trPr>
        <w:tc>
          <w:tcPr>
            <w:tcW w:w="688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Net loss on cash flow hedges  . . . . . . . . . . . . . . . . . . . . . . . . . . . . . . . . . . .</w:t>
            </w:r>
          </w:p>
        </w:tc>
        <w:tc>
          <w:tcPr>
            <w:tcW w:w="18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(148)</w:t>
            </w:r>
          </w:p>
        </w:tc>
        <w:tc>
          <w:tcPr>
            <w:tcW w:w="20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(12)</w:t>
            </w:r>
          </w:p>
        </w:tc>
        <w:tc>
          <w:tcPr>
            <w:tcW w:w="200" w:type="dxa"/>
            <w:vAlign w:val="bottom"/>
            <w:shd w:val="clear" w:color="auto" w:fill="CCCCCC"/>
          </w:tcPr>
          <w:p>
            <w:pPr>
              <w:spacing w:after="0"/>
              <w:rPr>
                <w:sz w:val="24"/>
                <w:szCs w:val="24"/>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(90)</w:t>
            </w:r>
          </w:p>
        </w:tc>
      </w:tr>
      <w:tr>
        <w:trPr>
          <w:trHeight w:val="280"/>
        </w:trPr>
        <w:tc>
          <w:tcPr>
            <w:tcW w:w="6880" w:type="dxa"/>
            <w:vAlign w:val="bottom"/>
          </w:tcPr>
          <w:p>
            <w:pPr>
              <w:jc w:val="right"/>
              <w:ind w:right="100"/>
              <w:spacing w:after="0"/>
              <w:rPr>
                <w:sz w:val="20"/>
                <w:szCs w:val="20"/>
                <w:color w:val="auto"/>
              </w:rPr>
            </w:pPr>
            <w:r>
              <w:rPr>
                <w:rFonts w:ascii="Arial" w:cs="Arial" w:eastAsia="Arial" w:hAnsi="Arial"/>
                <w:sz w:val="20"/>
                <w:szCs w:val="20"/>
                <w:color w:val="auto"/>
              </w:rPr>
              <w:t>Reclassification to net income (loss) of net realized (income) loss . . . . . .</w:t>
            </w:r>
          </w:p>
        </w:tc>
        <w:tc>
          <w:tcPr>
            <w:tcW w:w="1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117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0"/>
        </w:trPr>
        <w:tc>
          <w:tcPr>
            <w:tcW w:w="688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Pension and other postretirement benefit plans</w:t>
            </w:r>
          </w:p>
        </w:tc>
        <w:tc>
          <w:tcPr>
            <w:tcW w:w="180" w:type="dxa"/>
            <w:vAlign w:val="bottom"/>
            <w:shd w:val="clear" w:color="auto" w:fill="CCCCCC"/>
          </w:tcPr>
          <w:p>
            <w:pPr>
              <w:spacing w:after="0"/>
              <w:rPr>
                <w:sz w:val="24"/>
                <w:szCs w:val="24"/>
                <w:color w:val="auto"/>
              </w:rPr>
            </w:pPr>
          </w:p>
        </w:tc>
        <w:tc>
          <w:tcPr>
            <w:tcW w:w="76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940" w:type="dxa"/>
            <w:vAlign w:val="bottom"/>
            <w:shd w:val="clear" w:color="auto" w:fill="CCCCCC"/>
          </w:tcPr>
          <w:p>
            <w:pPr>
              <w:spacing w:after="0"/>
              <w:rPr>
                <w:sz w:val="24"/>
                <w:szCs w:val="24"/>
                <w:color w:val="auto"/>
              </w:rPr>
            </w:pPr>
          </w:p>
        </w:tc>
      </w:tr>
      <w:tr>
        <w:trPr>
          <w:trHeight w:val="280"/>
        </w:trPr>
        <w:tc>
          <w:tcPr>
            <w:tcW w:w="6880" w:type="dxa"/>
            <w:vAlign w:val="bottom"/>
          </w:tcPr>
          <w:p>
            <w:pPr>
              <w:jc w:val="right"/>
              <w:ind w:right="100"/>
              <w:spacing w:after="0"/>
              <w:rPr>
                <w:sz w:val="20"/>
                <w:szCs w:val="20"/>
                <w:color w:val="auto"/>
              </w:rPr>
            </w:pPr>
            <w:r>
              <w:rPr>
                <w:rFonts w:ascii="Arial" w:cs="Arial" w:eastAsia="Arial" w:hAnsi="Arial"/>
                <w:sz w:val="20"/>
                <w:szCs w:val="20"/>
                <w:color w:val="auto"/>
              </w:rPr>
              <w:t>Actuarial gain (loss) arising during the period . . . . . . . . . . . .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(305)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auto"/>
              </w:rPr>
              <w:t>1,075</w:t>
            </w:r>
          </w:p>
        </w:tc>
        <w:tc>
          <w:tcPr>
            <w:tcW w:w="940" w:type="dxa"/>
            <w:vAlign w:val="bottom"/>
          </w:tcPr>
          <w:p>
            <w:pPr>
              <w:jc w:val="right"/>
              <w:spacing w:after="0"/>
              <w:rPr>
                <w:sz w:val="20"/>
                <w:szCs w:val="20"/>
                <w:color w:val="auto"/>
              </w:rPr>
            </w:pPr>
            <w:r>
              <w:rPr>
                <w:rFonts w:ascii="Arial" w:cs="Arial" w:eastAsia="Arial" w:hAnsi="Arial"/>
                <w:sz w:val="20"/>
                <w:szCs w:val="20"/>
                <w:color w:val="auto"/>
              </w:rPr>
              <w:t>(247)</w:t>
            </w:r>
          </w:p>
        </w:tc>
      </w:tr>
      <w:tr>
        <w:trPr>
          <w:trHeight w:val="280"/>
        </w:trPr>
        <w:tc>
          <w:tcPr>
            <w:tcW w:w="688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Amortization to net income (loss) of net actuarial loss . . . . . . . . . . . . . . . .</w:t>
            </w:r>
          </w:p>
        </w:tc>
        <w:tc>
          <w:tcPr>
            <w:tcW w:w="18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75</w:t>
            </w:r>
          </w:p>
        </w:tc>
        <w:tc>
          <w:tcPr>
            <w:tcW w:w="20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9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271</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200</w:t>
            </w:r>
          </w:p>
        </w:tc>
      </w:tr>
      <w:tr>
        <w:trPr>
          <w:trHeight w:val="280"/>
        </w:trPr>
        <w:tc>
          <w:tcPr>
            <w:tcW w:w="6880" w:type="dxa"/>
            <w:vAlign w:val="bottom"/>
          </w:tcPr>
          <w:p>
            <w:pPr>
              <w:jc w:val="right"/>
              <w:ind w:right="100"/>
              <w:spacing w:after="0"/>
              <w:rPr>
                <w:sz w:val="20"/>
                <w:szCs w:val="20"/>
                <w:color w:val="auto"/>
              </w:rPr>
            </w:pPr>
            <w:r>
              <w:rPr>
                <w:rFonts w:ascii="Arial" w:cs="Arial" w:eastAsia="Arial" w:hAnsi="Arial"/>
                <w:sz w:val="20"/>
                <w:szCs w:val="20"/>
                <w:color w:val="auto"/>
              </w:rPr>
              <w:t>Amortization to net income (loss) of net prior service credit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0"/>
        </w:trPr>
        <w:tc>
          <w:tcPr>
            <w:tcW w:w="688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Impact of curtailment  . . . . . . . . . . . . . . . . . . . . . . . . . . . . . . . . . . . . . . . . . .</w:t>
            </w:r>
          </w:p>
        </w:tc>
        <w:tc>
          <w:tcPr>
            <w:tcW w:w="18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(69)</w:t>
            </w:r>
          </w:p>
        </w:tc>
      </w:tr>
      <w:tr>
        <w:trPr>
          <w:trHeight w:val="280"/>
        </w:trPr>
        <w:tc>
          <w:tcPr>
            <w:tcW w:w="6880" w:type="dxa"/>
            <w:vAlign w:val="bottom"/>
          </w:tcPr>
          <w:p>
            <w:pPr>
              <w:jc w:val="right"/>
              <w:ind w:right="100"/>
              <w:spacing w:after="0"/>
              <w:rPr>
                <w:sz w:val="20"/>
                <w:szCs w:val="20"/>
                <w:color w:val="auto"/>
              </w:rPr>
            </w:pPr>
            <w:r>
              <w:rPr>
                <w:rFonts w:ascii="Arial" w:cs="Arial" w:eastAsia="Arial" w:hAnsi="Arial"/>
                <w:sz w:val="20"/>
                <w:szCs w:val="20"/>
                <w:color w:val="auto"/>
              </w:rPr>
              <w:t>Income taxes on pension and other postretirement benefit plans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(74)</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0"/>
        </w:trPr>
        <w:tc>
          <w:tcPr>
            <w:tcW w:w="688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Other . . . . . . . . . . . . . . . . . . . . . . . . . . . . . . . . . . . . . . . . . . . . . . . . . . . . . . .</w:t>
            </w:r>
          </w:p>
        </w:tc>
        <w:tc>
          <w:tcPr>
            <w:tcW w:w="18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w:t>
            </w:r>
          </w:p>
        </w:tc>
        <w:tc>
          <w:tcPr>
            <w:tcW w:w="20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w:t>
            </w:r>
          </w:p>
        </w:tc>
        <w:tc>
          <w:tcPr>
            <w:tcW w:w="200" w:type="dxa"/>
            <w:vAlign w:val="bottom"/>
            <w:shd w:val="clear" w:color="auto" w:fill="CCCCCC"/>
          </w:tcPr>
          <w:p>
            <w:pPr>
              <w:spacing w:after="0"/>
              <w:rPr>
                <w:sz w:val="24"/>
                <w:szCs w:val="24"/>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70"/>
        </w:trPr>
        <w:tc>
          <w:tcPr>
            <w:tcW w:w="68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70"/>
        </w:trPr>
        <w:tc>
          <w:tcPr>
            <w:tcW w:w="6880" w:type="dxa"/>
            <w:vAlign w:val="bottom"/>
          </w:tcPr>
          <w:p>
            <w:pPr>
              <w:jc w:val="right"/>
              <w:ind w:right="100"/>
              <w:spacing w:after="0"/>
              <w:rPr>
                <w:sz w:val="20"/>
                <w:szCs w:val="20"/>
                <w:color w:val="auto"/>
              </w:rPr>
            </w:pPr>
            <w:r>
              <w:rPr>
                <w:rFonts w:ascii="Arial" w:cs="Arial" w:eastAsia="Arial" w:hAnsi="Arial"/>
                <w:sz w:val="20"/>
                <w:szCs w:val="20"/>
                <w:i w:val="1"/>
                <w:iCs w:val="1"/>
                <w:color w:val="auto"/>
                <w:w w:val="96"/>
              </w:rPr>
              <w:t xml:space="preserve">Comprehensive income (loss) </w:t>
            </w:r>
            <w:r>
              <w:rPr>
                <w:rFonts w:ascii="Arial" w:cs="Arial" w:eastAsia="Arial" w:hAnsi="Arial"/>
                <w:sz w:val="20"/>
                <w:szCs w:val="20"/>
                <w:color w:val="auto"/>
                <w:w w:val="96"/>
              </w:rPr>
              <w:t>. . . . . . . . . . . . . . . . . . . . . . . . . . . . . . . . . . . . . .</w:t>
            </w: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3,207</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auto"/>
              </w:rPr>
              <w:t>3,242</w:t>
            </w:r>
          </w:p>
        </w:tc>
        <w:tc>
          <w:tcPr>
            <w:tcW w:w="940" w:type="dxa"/>
            <w:vAlign w:val="bottom"/>
          </w:tcPr>
          <w:p>
            <w:pPr>
              <w:jc w:val="right"/>
              <w:spacing w:after="0"/>
              <w:rPr>
                <w:sz w:val="20"/>
                <w:szCs w:val="20"/>
                <w:color w:val="auto"/>
              </w:rPr>
            </w:pPr>
            <w:r>
              <w:rPr>
                <w:rFonts w:ascii="Arial" w:cs="Arial" w:eastAsia="Arial" w:hAnsi="Arial"/>
                <w:sz w:val="20"/>
                <w:szCs w:val="20"/>
                <w:color w:val="auto"/>
              </w:rPr>
              <w:t>(10,932)</w:t>
            </w:r>
          </w:p>
        </w:tc>
      </w:tr>
      <w:tr>
        <w:trPr>
          <w:trHeight w:val="280"/>
        </w:trPr>
        <w:tc>
          <w:tcPr>
            <w:tcW w:w="688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Comprehensive income attributable to noncontrolling interests  . . . . . . . .</w:t>
            </w:r>
          </w:p>
        </w:tc>
        <w:tc>
          <w:tcPr>
            <w:tcW w:w="18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51</w:t>
            </w:r>
          </w:p>
        </w:tc>
        <w:tc>
          <w:tcPr>
            <w:tcW w:w="20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9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47</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32</w:t>
            </w:r>
          </w:p>
        </w:tc>
      </w:tr>
      <w:tr>
        <w:trPr>
          <w:trHeight w:val="70"/>
        </w:trPr>
        <w:tc>
          <w:tcPr>
            <w:tcW w:w="68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72"/>
        </w:trPr>
        <w:tc>
          <w:tcPr>
            <w:tcW w:w="6880" w:type="dxa"/>
            <w:vAlign w:val="bottom"/>
          </w:tcPr>
          <w:p>
            <w:pPr>
              <w:jc w:val="right"/>
              <w:ind w:right="100"/>
              <w:spacing w:after="0"/>
              <w:rPr>
                <w:sz w:val="20"/>
                <w:szCs w:val="20"/>
                <w:color w:val="auto"/>
              </w:rPr>
            </w:pPr>
            <w:r>
              <w:rPr>
                <w:rFonts w:ascii="Arial" w:cs="Arial" w:eastAsia="Arial" w:hAnsi="Arial"/>
                <w:sz w:val="20"/>
                <w:szCs w:val="20"/>
                <w:i w:val="1"/>
                <w:iCs w:val="1"/>
                <w:color w:val="auto"/>
                <w:w w:val="98"/>
              </w:rPr>
              <w:t xml:space="preserve">Comprehensive income (loss) attributable to SLB </w:t>
            </w:r>
            <w:r>
              <w:rPr>
                <w:rFonts w:ascii="Arial" w:cs="Arial" w:eastAsia="Arial" w:hAnsi="Arial"/>
                <w:sz w:val="20"/>
                <w:szCs w:val="20"/>
                <w:color w:val="auto"/>
                <w:w w:val="98"/>
              </w:rPr>
              <w:t>. . . . . . . . . . . . . . . . . . . . . .</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3,156</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auto"/>
              </w:rPr>
              <w:t>3,195</w:t>
            </w:r>
          </w:p>
        </w:tc>
        <w:tc>
          <w:tcPr>
            <w:tcW w:w="940" w:type="dxa"/>
            <w:vAlign w:val="bottom"/>
          </w:tcPr>
          <w:p>
            <w:pPr>
              <w:jc w:val="right"/>
              <w:spacing w:after="0"/>
              <w:rPr>
                <w:sz w:val="20"/>
                <w:szCs w:val="20"/>
                <w:color w:val="auto"/>
              </w:rPr>
            </w:pPr>
            <w:r>
              <w:rPr>
                <w:rFonts w:ascii="Arial" w:cs="Arial" w:eastAsia="Arial" w:hAnsi="Arial"/>
                <w:sz w:val="20"/>
                <w:szCs w:val="20"/>
                <w:color w:val="auto"/>
              </w:rPr>
              <w:t>$ (10,964)</w:t>
            </w:r>
          </w:p>
        </w:tc>
      </w:tr>
      <w:tr>
        <w:trPr>
          <w:trHeight w:val="28"/>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the Notes to Consolidated Financial Statements</w:t>
      </w:r>
    </w:p>
    <w:p>
      <w:pPr>
        <w:sectPr>
          <w:pgSz w:w="12240" w:h="15840" w:orient="portrait"/>
          <w:cols w:equalWidth="0" w:num="1">
            <w:col w:w="10080"/>
          </w:cols>
          <w:pgMar w:left="1080" w:top="1440" w:right="108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10080"/>
          </w:cols>
          <w:pgMar w:left="1080" w:top="1440" w:right="1080" w:bottom="836" w:gutter="0" w:footer="0" w:header="0"/>
          <w:type w:val="continuous"/>
        </w:sectPr>
      </w:pPr>
    </w:p>
    <w:bookmarkStart w:id="63" w:name="page64"/>
    <w:bookmarkEnd w:id="63"/>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LIMITED AND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7220" w:type="dxa"/>
            <w:vAlign w:val="bottom"/>
          </w:tcPr>
          <w:p>
            <w:pPr>
              <w:spacing w:after="0"/>
              <w:rPr>
                <w:sz w:val="20"/>
                <w:szCs w:val="20"/>
                <w:color w:val="auto"/>
              </w:rPr>
            </w:pPr>
            <w:r>
              <w:rPr>
                <w:rFonts w:ascii="Arial" w:cs="Arial" w:eastAsia="Arial" w:hAnsi="Arial"/>
                <w:sz w:val="20"/>
                <w:szCs w:val="20"/>
                <w:b w:val="1"/>
                <w:bCs w:val="1"/>
                <w:color w:val="auto"/>
              </w:rPr>
              <w:t>December 31,</w:t>
            </w:r>
          </w:p>
        </w:tc>
        <w:tc>
          <w:tcPr>
            <w:tcW w:w="180" w:type="dxa"/>
            <w:vAlign w:val="bottom"/>
          </w:tcPr>
          <w:p>
            <w:pPr>
              <w:spacing w:after="0"/>
              <w:rPr>
                <w:sz w:val="24"/>
                <w:szCs w:val="24"/>
                <w:color w:val="auto"/>
              </w:rPr>
            </w:pPr>
          </w:p>
        </w:tc>
        <w:tc>
          <w:tcPr>
            <w:tcW w:w="740" w:type="dxa"/>
            <w:vAlign w:val="bottom"/>
          </w:tcPr>
          <w:p>
            <w:pPr>
              <w:jc w:val="right"/>
              <w:ind w:right="141"/>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4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4"/>
                <w:szCs w:val="24"/>
                <w:color w:val="auto"/>
              </w:rPr>
            </w:pPr>
          </w:p>
        </w:tc>
      </w:tr>
      <w:tr>
        <w:trPr>
          <w:trHeight w:val="28"/>
        </w:trPr>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722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ASSETS</w:t>
            </w:r>
          </w:p>
        </w:tc>
        <w:tc>
          <w:tcPr>
            <w:tcW w:w="18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60" w:type="dxa"/>
            <w:vAlign w:val="bottom"/>
            <w:shd w:val="clear" w:color="auto" w:fill="CCCCCC"/>
          </w:tcPr>
          <w:p>
            <w:pPr>
              <w:spacing w:after="0"/>
              <w:rPr>
                <w:sz w:val="22"/>
                <w:szCs w:val="22"/>
                <w:color w:val="auto"/>
              </w:rPr>
            </w:pPr>
          </w:p>
        </w:tc>
        <w:tc>
          <w:tcPr>
            <w:tcW w:w="18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20"/>
                <w:szCs w:val="20"/>
                <w:i w:val="1"/>
                <w:iCs w:val="1"/>
                <w:color w:val="auto"/>
              </w:rPr>
              <w:t>Current Assets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Cash . . . . . . . . . . . . . . . . . . . . . . . . . . . . . . . . . . . . . . . . . . . . . . . . . . . . . . . . . . . .</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1,655</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1,757</w:t>
            </w:r>
          </w:p>
        </w:tc>
        <w:tc>
          <w:tcPr>
            <w:tcW w:w="60" w:type="dxa"/>
            <w:vAlign w:val="bottom"/>
          </w:tcPr>
          <w:p>
            <w:pPr>
              <w:spacing w:after="0"/>
              <w:rPr>
                <w:sz w:val="23"/>
                <w:szCs w:val="23"/>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color w:val="auto"/>
              </w:rPr>
              <w:t>Short-term investments . . . . . . . . . . . .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1,239</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1,382</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w w:val="99"/>
              </w:rPr>
              <w:t>Receivables less allowance for doubtful accounts (2022—$340; 2021—$319)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7,032</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5,315</w:t>
            </w:r>
          </w:p>
        </w:tc>
        <w:tc>
          <w:tcPr>
            <w:tcW w:w="60" w:type="dxa"/>
            <w:vAlign w:val="bottom"/>
          </w:tcPr>
          <w:p>
            <w:pPr>
              <w:spacing w:after="0"/>
              <w:rPr>
                <w:sz w:val="23"/>
                <w:szCs w:val="23"/>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color w:val="auto"/>
                <w:w w:val="99"/>
              </w:rPr>
              <w:t>Inventories  . . . . . . . . . . . . . . . . . . . . . .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3,999</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3,272</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Other current assets  . . . . . . . . . . . . . . . .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1,078</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928</w:t>
            </w:r>
          </w:p>
        </w:tc>
        <w:tc>
          <w:tcPr>
            <w:tcW w:w="60" w:type="dxa"/>
            <w:vAlign w:val="bottom"/>
          </w:tcPr>
          <w:p>
            <w:pPr>
              <w:spacing w:after="0"/>
              <w:rPr>
                <w:sz w:val="23"/>
                <w:szCs w:val="23"/>
                <w:color w:val="auto"/>
              </w:rPr>
            </w:pPr>
          </w:p>
        </w:tc>
      </w:tr>
      <w:tr>
        <w:trPr>
          <w:trHeight w:val="70"/>
        </w:trPr>
        <w:tc>
          <w:tcPr>
            <w:tcW w:w="7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60"/>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15,003</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12,654</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i w:val="1"/>
                <w:iCs w:val="1"/>
                <w:color w:val="auto"/>
                <w:w w:val="97"/>
              </w:rPr>
              <w:t xml:space="preserve">Investments in Affiliated Companies </w:t>
            </w:r>
            <w:r>
              <w:rPr>
                <w:rFonts w:ascii="Arial" w:cs="Arial" w:eastAsia="Arial" w:hAnsi="Arial"/>
                <w:sz w:val="20"/>
                <w:szCs w:val="20"/>
                <w:color w:val="auto"/>
                <w:w w:val="97"/>
              </w:rPr>
              <w:t>. . . . . .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1,581</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2,044</w:t>
            </w:r>
          </w:p>
        </w:tc>
        <w:tc>
          <w:tcPr>
            <w:tcW w:w="60" w:type="dxa"/>
            <w:vAlign w:val="bottom"/>
          </w:tcPr>
          <w:p>
            <w:pPr>
              <w:spacing w:after="0"/>
              <w:rPr>
                <w:sz w:val="23"/>
                <w:szCs w:val="23"/>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i w:val="1"/>
                <w:iCs w:val="1"/>
                <w:color w:val="auto"/>
                <w:w w:val="98"/>
              </w:rPr>
              <w:t xml:space="preserve">Fixed Assets less accumulated depreciation  </w:t>
            </w:r>
            <w:r>
              <w:rPr>
                <w:rFonts w:ascii="Arial" w:cs="Arial" w:eastAsia="Arial" w:hAnsi="Arial"/>
                <w:sz w:val="20"/>
                <w:szCs w:val="20"/>
                <w:color w:val="auto"/>
                <w:w w:val="98"/>
              </w:rPr>
              <w:t>.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6,607</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6,429</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i w:val="1"/>
                <w:iCs w:val="1"/>
                <w:color w:val="auto"/>
                <w:highlight w:val="lightGray"/>
                <w:w w:val="95"/>
              </w:rPr>
              <w:t xml:space="preserve">Goodwill </w:t>
            </w:r>
            <w:r>
              <w:rPr>
                <w:rFonts w:ascii="Arial" w:cs="Arial" w:eastAsia="Arial" w:hAnsi="Arial"/>
                <w:sz w:val="20"/>
                <w:szCs w:val="20"/>
                <w:color w:val="auto"/>
                <w:highlight w:val="lightGray"/>
                <w:w w:val="95"/>
              </w:rPr>
              <w:t>. . . . . . . . . . . . . . . . . . . . . . . . . . . . .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highlight w:val="lightGray"/>
              </w:rPr>
              <w:t>12,982</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12,990</w:t>
            </w:r>
          </w:p>
        </w:tc>
        <w:tc>
          <w:tcPr>
            <w:tcW w:w="60" w:type="dxa"/>
            <w:vAlign w:val="bottom"/>
          </w:tcPr>
          <w:p>
            <w:pPr>
              <w:spacing w:after="0"/>
              <w:rPr>
                <w:sz w:val="23"/>
                <w:szCs w:val="23"/>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i w:val="1"/>
                <w:iCs w:val="1"/>
                <w:color w:val="auto"/>
                <w:w w:val="96"/>
              </w:rPr>
              <w:t xml:space="preserve">Intangible Assets </w:t>
            </w:r>
            <w:r>
              <w:rPr>
                <w:rFonts w:ascii="Arial" w:cs="Arial" w:eastAsia="Arial" w:hAnsi="Arial"/>
                <w:sz w:val="20"/>
                <w:szCs w:val="20"/>
                <w:color w:val="auto"/>
                <w:w w:val="96"/>
              </w:rPr>
              <w:t>. . . . . . . . . . . . . . . . . . . .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2,992</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3,211</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i w:val="1"/>
                <w:iCs w:val="1"/>
                <w:color w:val="auto"/>
                <w:w w:val="96"/>
              </w:rPr>
              <w:t xml:space="preserve">Other Assets </w:t>
            </w:r>
            <w:r>
              <w:rPr>
                <w:rFonts w:ascii="Arial" w:cs="Arial" w:eastAsia="Arial" w:hAnsi="Arial"/>
                <w:sz w:val="20"/>
                <w:szCs w:val="20"/>
                <w:color w:val="auto"/>
                <w:w w:val="96"/>
              </w:rPr>
              <w:t>. . . . . . . . . . . . . . . . . . . . . . . . .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3,970</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4,183</w:t>
            </w:r>
          </w:p>
        </w:tc>
        <w:tc>
          <w:tcPr>
            <w:tcW w:w="60" w:type="dxa"/>
            <w:vAlign w:val="bottom"/>
          </w:tcPr>
          <w:p>
            <w:pPr>
              <w:spacing w:after="0"/>
              <w:rPr>
                <w:sz w:val="23"/>
                <w:szCs w:val="23"/>
                <w:color w:val="auto"/>
              </w:rPr>
            </w:pPr>
          </w:p>
        </w:tc>
      </w:tr>
      <w:tr>
        <w:trPr>
          <w:trHeight w:val="70"/>
        </w:trPr>
        <w:tc>
          <w:tcPr>
            <w:tcW w:w="7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62"/>
        </w:trPr>
        <w:tc>
          <w:tcPr>
            <w:tcW w:w="7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43,135</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41,511</w:t>
            </w:r>
          </w:p>
        </w:tc>
      </w:tr>
      <w:tr>
        <w:trPr>
          <w:trHeight w:val="28"/>
        </w:trPr>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722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LIABILITIES AND EQUITY</w:t>
            </w:r>
          </w:p>
        </w:tc>
        <w:tc>
          <w:tcPr>
            <w:tcW w:w="18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60" w:type="dxa"/>
            <w:vAlign w:val="bottom"/>
            <w:shd w:val="clear" w:color="auto" w:fill="CCCCCC"/>
          </w:tcPr>
          <w:p>
            <w:pPr>
              <w:spacing w:after="0"/>
              <w:rPr>
                <w:sz w:val="22"/>
                <w:szCs w:val="22"/>
                <w:color w:val="auto"/>
              </w:rPr>
            </w:pPr>
          </w:p>
        </w:tc>
        <w:tc>
          <w:tcPr>
            <w:tcW w:w="18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20"/>
                <w:szCs w:val="20"/>
                <w:i w:val="1"/>
                <w:iCs w:val="1"/>
                <w:color w:val="auto"/>
              </w:rPr>
              <w:t>Current Liabilities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Accounts payable and accrued liabilities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9,121</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8,382</w:t>
            </w:r>
          </w:p>
        </w:tc>
        <w:tc>
          <w:tcPr>
            <w:tcW w:w="60" w:type="dxa"/>
            <w:vAlign w:val="bottom"/>
          </w:tcPr>
          <w:p>
            <w:pPr>
              <w:spacing w:after="0"/>
              <w:rPr>
                <w:sz w:val="23"/>
                <w:szCs w:val="23"/>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color w:val="auto"/>
              </w:rPr>
              <w:t>Estimated liability for taxes on income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1,002</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879</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Short-term borrowings and current portion of long-term debt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1,632</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909</w:t>
            </w:r>
          </w:p>
        </w:tc>
        <w:tc>
          <w:tcPr>
            <w:tcW w:w="60" w:type="dxa"/>
            <w:vAlign w:val="bottom"/>
          </w:tcPr>
          <w:p>
            <w:pPr>
              <w:spacing w:after="0"/>
              <w:rPr>
                <w:sz w:val="23"/>
                <w:szCs w:val="23"/>
                <w:color w:val="auto"/>
              </w:rPr>
            </w:pPr>
          </w:p>
        </w:tc>
      </w:tr>
      <w:tr>
        <w:trPr>
          <w:trHeight w:val="272"/>
        </w:trPr>
        <w:tc>
          <w:tcPr>
            <w:tcW w:w="7220" w:type="dxa"/>
            <w:vAlign w:val="bottom"/>
          </w:tcPr>
          <w:p>
            <w:pPr>
              <w:jc w:val="right"/>
              <w:spacing w:after="0"/>
              <w:rPr>
                <w:sz w:val="20"/>
                <w:szCs w:val="20"/>
                <w:color w:val="auto"/>
              </w:rPr>
            </w:pPr>
            <w:r>
              <w:rPr>
                <w:rFonts w:ascii="Arial" w:cs="Arial" w:eastAsia="Arial" w:hAnsi="Arial"/>
                <w:sz w:val="20"/>
                <w:szCs w:val="20"/>
                <w:color w:val="auto"/>
              </w:rPr>
              <w:t>Dividends payable . . . . . . . . . . . . . . . .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263</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189</w:t>
            </w:r>
          </w:p>
        </w:tc>
      </w:tr>
      <w:tr>
        <w:trPr>
          <w:trHeight w:val="68"/>
        </w:trPr>
        <w:tc>
          <w:tcPr>
            <w:tcW w:w="7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60"/>
        </w:trPr>
        <w:tc>
          <w:tcPr>
            <w:tcW w:w="7220" w:type="dxa"/>
            <w:vAlign w:val="bottom"/>
            <w:shd w:val="clear" w:color="auto" w:fill="CCCCCC"/>
          </w:tcPr>
          <w:p>
            <w:pPr>
              <w:spacing w:after="0"/>
              <w:rPr>
                <w:sz w:val="22"/>
                <w:szCs w:val="22"/>
                <w:color w:val="auto"/>
              </w:rPr>
            </w:pPr>
          </w:p>
        </w:tc>
        <w:tc>
          <w:tcPr>
            <w:tcW w:w="180" w:type="dxa"/>
            <w:vAlign w:val="bottom"/>
            <w:shd w:val="clear" w:color="auto" w:fill="CCCCCC"/>
          </w:tcPr>
          <w:p>
            <w:pPr>
              <w:spacing w:after="0"/>
              <w:rPr>
                <w:sz w:val="22"/>
                <w:szCs w:val="22"/>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12,018</w:t>
            </w:r>
          </w:p>
        </w:tc>
        <w:tc>
          <w:tcPr>
            <w:tcW w:w="180" w:type="dxa"/>
            <w:vAlign w:val="bottom"/>
            <w:shd w:val="clear" w:color="auto" w:fill="CCCCCC"/>
          </w:tcPr>
          <w:p>
            <w:pPr>
              <w:spacing w:after="0"/>
              <w:rPr>
                <w:sz w:val="22"/>
                <w:szCs w:val="22"/>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10,359</w:t>
            </w:r>
          </w:p>
        </w:tc>
        <w:tc>
          <w:tcPr>
            <w:tcW w:w="60" w:type="dxa"/>
            <w:vAlign w:val="bottom"/>
          </w:tcPr>
          <w:p>
            <w:pPr>
              <w:spacing w:after="0"/>
              <w:rPr>
                <w:sz w:val="22"/>
                <w:szCs w:val="22"/>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20"/>
                <w:szCs w:val="20"/>
                <w:i w:val="1"/>
                <w:iCs w:val="1"/>
                <w:color w:val="auto"/>
              </w:rPr>
              <w:t>Long-term Debt</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10,594</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13,286</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i w:val="1"/>
                <w:iCs w:val="1"/>
                <w:color w:val="auto"/>
                <w:w w:val="96"/>
              </w:rPr>
              <w:t xml:space="preserve">Postretirement Benefits  </w:t>
            </w:r>
            <w:r>
              <w:rPr>
                <w:rFonts w:ascii="Arial" w:cs="Arial" w:eastAsia="Arial" w:hAnsi="Arial"/>
                <w:sz w:val="20"/>
                <w:szCs w:val="20"/>
                <w:color w:val="auto"/>
                <w:w w:val="96"/>
              </w:rPr>
              <w:t>. . . . . . . . . . . . . . . .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165</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231</w:t>
            </w:r>
          </w:p>
        </w:tc>
        <w:tc>
          <w:tcPr>
            <w:tcW w:w="60" w:type="dxa"/>
            <w:vAlign w:val="bottom"/>
          </w:tcPr>
          <w:p>
            <w:pPr>
              <w:spacing w:after="0"/>
              <w:rPr>
                <w:sz w:val="23"/>
                <w:szCs w:val="23"/>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i w:val="1"/>
                <w:iCs w:val="1"/>
                <w:color w:val="auto"/>
                <w:w w:val="96"/>
              </w:rPr>
              <w:t xml:space="preserve">Deferred Taxes </w:t>
            </w:r>
            <w:r>
              <w:rPr>
                <w:rFonts w:ascii="Arial" w:cs="Arial" w:eastAsia="Arial" w:hAnsi="Arial"/>
                <w:sz w:val="20"/>
                <w:szCs w:val="20"/>
                <w:color w:val="auto"/>
                <w:w w:val="96"/>
              </w:rPr>
              <w:t>. . . . . . . . . . . . . . . . . . . . .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61</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94</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i w:val="1"/>
                <w:iCs w:val="1"/>
                <w:color w:val="auto"/>
                <w:w w:val="96"/>
              </w:rPr>
              <w:t xml:space="preserve">Other Liabilities </w:t>
            </w:r>
            <w:r>
              <w:rPr>
                <w:rFonts w:ascii="Arial" w:cs="Arial" w:eastAsia="Arial" w:hAnsi="Arial"/>
                <w:sz w:val="20"/>
                <w:szCs w:val="20"/>
                <w:color w:val="auto"/>
                <w:w w:val="96"/>
              </w:rPr>
              <w:t>. . . . . . . . . . . . . . . . . . . . . . .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2,308</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2,255</w:t>
            </w:r>
          </w:p>
        </w:tc>
        <w:tc>
          <w:tcPr>
            <w:tcW w:w="60" w:type="dxa"/>
            <w:vAlign w:val="bottom"/>
          </w:tcPr>
          <w:p>
            <w:pPr>
              <w:spacing w:after="0"/>
              <w:rPr>
                <w:sz w:val="23"/>
                <w:szCs w:val="23"/>
                <w:color w:val="auto"/>
              </w:rPr>
            </w:pPr>
          </w:p>
        </w:tc>
      </w:tr>
      <w:tr>
        <w:trPr>
          <w:trHeight w:val="70"/>
        </w:trPr>
        <w:tc>
          <w:tcPr>
            <w:tcW w:w="7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62"/>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25,146</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26,225</w:t>
            </w:r>
          </w:p>
        </w:tc>
      </w:tr>
      <w:tr>
        <w:trPr>
          <w:trHeight w:val="28"/>
        </w:trPr>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722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Equity</w:t>
            </w:r>
          </w:p>
        </w:tc>
        <w:tc>
          <w:tcPr>
            <w:tcW w:w="18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60" w:type="dxa"/>
            <w:vAlign w:val="bottom"/>
            <w:shd w:val="clear" w:color="auto" w:fill="CCCCCC"/>
          </w:tcPr>
          <w:p>
            <w:pPr>
              <w:spacing w:after="0"/>
              <w:rPr>
                <w:sz w:val="22"/>
                <w:szCs w:val="22"/>
                <w:color w:val="auto"/>
              </w:rPr>
            </w:pPr>
          </w:p>
        </w:tc>
        <w:tc>
          <w:tcPr>
            <w:tcW w:w="18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color w:val="auto"/>
              </w:rPr>
              <w:t>Common stock . . . . . . . . . . . . . . . . . . .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11,837</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12,608</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Treasury stock . . . . . . . . . . . . . . . . . . . . . . . . . . . . . . . . . . . . . . . . . . . . . . . . . . . .</w:t>
            </w:r>
          </w:p>
        </w:tc>
        <w:tc>
          <w:tcPr>
            <w:tcW w:w="180" w:type="dxa"/>
            <w:vAlign w:val="bottom"/>
            <w:shd w:val="clear" w:color="auto" w:fill="CCCCCC"/>
          </w:tcPr>
          <w:p>
            <w:pPr>
              <w:spacing w:after="0"/>
              <w:rPr>
                <w:sz w:val="23"/>
                <w:szCs w:val="23"/>
                <w:color w:val="auto"/>
              </w:rPr>
            </w:pPr>
          </w:p>
        </w:tc>
        <w:tc>
          <w:tcPr>
            <w:tcW w:w="980" w:type="dxa"/>
            <w:vAlign w:val="bottom"/>
            <w:gridSpan w:val="3"/>
            <w:shd w:val="clear" w:color="auto" w:fill="CCCCCC"/>
          </w:tcPr>
          <w:p>
            <w:pPr>
              <w:jc w:val="right"/>
              <w:ind w:right="80"/>
              <w:spacing w:after="0"/>
              <w:rPr>
                <w:sz w:val="20"/>
                <w:szCs w:val="20"/>
                <w:color w:val="auto"/>
              </w:rPr>
            </w:pPr>
            <w:r>
              <w:rPr>
                <w:rFonts w:ascii="Arial" w:cs="Arial" w:eastAsia="Arial" w:hAnsi="Arial"/>
                <w:sz w:val="20"/>
                <w:szCs w:val="20"/>
                <w:b w:val="1"/>
                <w:bCs w:val="1"/>
                <w:color w:val="auto"/>
              </w:rPr>
              <w:t>(1,016)</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(2,233)</w:t>
            </w:r>
          </w:p>
        </w:tc>
        <w:tc>
          <w:tcPr>
            <w:tcW w:w="60" w:type="dxa"/>
            <w:vAlign w:val="bottom"/>
          </w:tcPr>
          <w:p>
            <w:pPr>
              <w:spacing w:after="0"/>
              <w:rPr>
                <w:sz w:val="23"/>
                <w:szCs w:val="23"/>
                <w:color w:val="auto"/>
              </w:rPr>
            </w:pPr>
          </w:p>
        </w:tc>
      </w:tr>
      <w:tr>
        <w:trPr>
          <w:trHeight w:val="270"/>
        </w:trPr>
        <w:tc>
          <w:tcPr>
            <w:tcW w:w="7220" w:type="dxa"/>
            <w:vAlign w:val="bottom"/>
          </w:tcPr>
          <w:p>
            <w:pPr>
              <w:jc w:val="right"/>
              <w:spacing w:after="0"/>
              <w:rPr>
                <w:sz w:val="20"/>
                <w:szCs w:val="20"/>
                <w:color w:val="auto"/>
              </w:rPr>
            </w:pPr>
            <w:r>
              <w:rPr>
                <w:rFonts w:ascii="Arial" w:cs="Arial" w:eastAsia="Arial" w:hAnsi="Arial"/>
                <w:sz w:val="20"/>
                <w:szCs w:val="20"/>
                <w:color w:val="auto"/>
              </w:rPr>
              <w:t>Retained earnings . . . . . . . . . . . . . . . . . . . . . . . . . . . . . . . . . . . . . . . . . . . . . . . . .</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10,719</w:t>
            </w: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8,199</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Accumulated other comprehensive loss . . . . . . . . . . . . . . . . . . . . . . . . . . . . . . . .</w:t>
            </w:r>
          </w:p>
        </w:tc>
        <w:tc>
          <w:tcPr>
            <w:tcW w:w="180" w:type="dxa"/>
            <w:vAlign w:val="bottom"/>
            <w:shd w:val="clear" w:color="auto" w:fill="CCCCCC"/>
          </w:tcPr>
          <w:p>
            <w:pPr>
              <w:spacing w:after="0"/>
              <w:rPr>
                <w:sz w:val="23"/>
                <w:szCs w:val="23"/>
                <w:color w:val="auto"/>
              </w:rPr>
            </w:pPr>
          </w:p>
        </w:tc>
        <w:tc>
          <w:tcPr>
            <w:tcW w:w="980" w:type="dxa"/>
            <w:vAlign w:val="bottom"/>
            <w:gridSpan w:val="3"/>
            <w:shd w:val="clear" w:color="auto" w:fill="CCCCCC"/>
          </w:tcPr>
          <w:p>
            <w:pPr>
              <w:jc w:val="right"/>
              <w:ind w:right="80"/>
              <w:spacing w:after="0"/>
              <w:rPr>
                <w:sz w:val="20"/>
                <w:szCs w:val="20"/>
                <w:color w:val="auto"/>
              </w:rPr>
            </w:pPr>
            <w:r>
              <w:rPr>
                <w:rFonts w:ascii="Arial" w:cs="Arial" w:eastAsia="Arial" w:hAnsi="Arial"/>
                <w:sz w:val="20"/>
                <w:szCs w:val="20"/>
                <w:b w:val="1"/>
                <w:bCs w:val="1"/>
                <w:color w:val="auto"/>
              </w:rPr>
              <w:t>(3,855)</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(3,570)</w:t>
            </w:r>
          </w:p>
        </w:tc>
        <w:tc>
          <w:tcPr>
            <w:tcW w:w="60" w:type="dxa"/>
            <w:vAlign w:val="bottom"/>
          </w:tcPr>
          <w:p>
            <w:pPr>
              <w:spacing w:after="0"/>
              <w:rPr>
                <w:sz w:val="23"/>
                <w:szCs w:val="23"/>
                <w:color w:val="auto"/>
              </w:rPr>
            </w:pPr>
          </w:p>
        </w:tc>
      </w:tr>
      <w:tr>
        <w:trPr>
          <w:trHeight w:val="70"/>
        </w:trPr>
        <w:tc>
          <w:tcPr>
            <w:tcW w:w="7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60"/>
        </w:trPr>
        <w:tc>
          <w:tcPr>
            <w:tcW w:w="7220" w:type="dxa"/>
            <w:vAlign w:val="bottom"/>
          </w:tcPr>
          <w:p>
            <w:pPr>
              <w:jc w:val="right"/>
              <w:spacing w:after="0"/>
              <w:rPr>
                <w:sz w:val="20"/>
                <w:szCs w:val="20"/>
                <w:color w:val="auto"/>
              </w:rPr>
            </w:pPr>
            <w:r>
              <w:rPr>
                <w:rFonts w:ascii="Arial" w:cs="Arial" w:eastAsia="Arial" w:hAnsi="Arial"/>
                <w:sz w:val="20"/>
                <w:szCs w:val="20"/>
                <w:color w:val="auto"/>
              </w:rPr>
              <w:t>SLB stockholders’ equity . . . . . . . . . . . . . . . . . . . . . . . . . . . . . . . . . . . . . . . . . . . .</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17,685</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15,004</w:t>
            </w:r>
          </w:p>
        </w:tc>
      </w:tr>
      <w:tr>
        <w:trPr>
          <w:trHeight w:val="270"/>
        </w:trPr>
        <w:tc>
          <w:tcPr>
            <w:tcW w:w="7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Noncontrolling interests . . . . . . . . . . . . . . . . . . . . . . . . . . . . . . . . . . . . . . . . . . . . .</w:t>
            </w:r>
          </w:p>
        </w:tc>
        <w:tc>
          <w:tcPr>
            <w:tcW w:w="180" w:type="dxa"/>
            <w:vAlign w:val="bottom"/>
            <w:shd w:val="clear" w:color="auto" w:fill="CCCCCC"/>
          </w:tcPr>
          <w:p>
            <w:pPr>
              <w:spacing w:after="0"/>
              <w:rPr>
                <w:sz w:val="23"/>
                <w:szCs w:val="23"/>
                <w:color w:val="auto"/>
              </w:rPr>
            </w:pP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304</w:t>
            </w: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282</w:t>
            </w:r>
          </w:p>
        </w:tc>
        <w:tc>
          <w:tcPr>
            <w:tcW w:w="60" w:type="dxa"/>
            <w:vAlign w:val="bottom"/>
          </w:tcPr>
          <w:p>
            <w:pPr>
              <w:spacing w:after="0"/>
              <w:rPr>
                <w:sz w:val="23"/>
                <w:szCs w:val="23"/>
                <w:color w:val="auto"/>
              </w:rPr>
            </w:pPr>
          </w:p>
        </w:tc>
      </w:tr>
      <w:tr>
        <w:trPr>
          <w:trHeight w:val="70"/>
        </w:trPr>
        <w:tc>
          <w:tcPr>
            <w:tcW w:w="7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62"/>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17,989</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15,286</w:t>
            </w:r>
          </w:p>
        </w:tc>
      </w:tr>
      <w:tr>
        <w:trPr>
          <w:trHeight w:val="28"/>
        </w:trPr>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7220" w:type="dxa"/>
            <w:vAlign w:val="bottom"/>
            <w:shd w:val="clear" w:color="auto" w:fill="CCCCCC"/>
          </w:tcPr>
          <w:p>
            <w:pPr>
              <w:spacing w:after="0"/>
              <w:rPr>
                <w:sz w:val="22"/>
                <w:szCs w:val="22"/>
                <w:color w:val="auto"/>
              </w:rPr>
            </w:pP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43,135</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41,511</w:t>
            </w:r>
          </w:p>
        </w:tc>
        <w:tc>
          <w:tcPr>
            <w:tcW w:w="60" w:type="dxa"/>
            <w:vAlign w:val="bottom"/>
          </w:tcPr>
          <w:p>
            <w:pPr>
              <w:spacing w:after="0"/>
              <w:rPr>
                <w:sz w:val="22"/>
                <w:szCs w:val="22"/>
                <w:color w:val="auto"/>
              </w:rPr>
            </w:pPr>
          </w:p>
        </w:tc>
      </w:tr>
      <w:tr>
        <w:trPr>
          <w:trHeight w:val="70"/>
        </w:trPr>
        <w:tc>
          <w:tcPr>
            <w:tcW w:w="7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See the Notes to Consolidated Financial Statements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9360"/>
          </w:cols>
          <w:pgMar w:left="1440" w:top="1440" w:right="1440" w:bottom="836" w:gutter="0" w:footer="0" w:header="0"/>
          <w:type w:val="continuous"/>
        </w:sectPr>
      </w:pPr>
    </w:p>
    <w:bookmarkStart w:id="64" w:name="page65"/>
    <w:bookmarkEnd w:id="64"/>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LIMITED AND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CASH FLOWS</w:t>
      </w:r>
    </w:p>
    <w:p>
      <w:pPr>
        <w:spacing w:after="0" w:line="233" w:lineRule="exact"/>
        <w:rPr>
          <w:sz w:val="20"/>
          <w:szCs w:val="20"/>
          <w:color w:val="auto"/>
        </w:rPr>
      </w:pPr>
    </w:p>
    <w:p>
      <w:pPr>
        <w:ind w:left="8760"/>
        <w:spacing w:after="0"/>
        <w:rPr>
          <w:sz w:val="20"/>
          <w:szCs w:val="20"/>
          <w:color w:val="auto"/>
        </w:rPr>
      </w:pPr>
      <w:r>
        <w:rPr>
          <w:rFonts w:ascii="Arial" w:cs="Arial" w:eastAsia="Arial" w:hAnsi="Arial"/>
          <w:sz w:val="16"/>
          <w:szCs w:val="16"/>
          <w:i w:val="1"/>
          <w:iCs w:val="1"/>
          <w:color w:val="auto"/>
        </w:rPr>
        <w:t>(Stated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40" w:type="dxa"/>
            <w:vAlign w:val="bottom"/>
          </w:tcPr>
          <w:p>
            <w:pPr>
              <w:spacing w:after="0"/>
              <w:rPr>
                <w:sz w:val="20"/>
                <w:szCs w:val="20"/>
                <w:color w:val="auto"/>
              </w:rPr>
            </w:pPr>
            <w:r>
              <w:rPr>
                <w:rFonts w:ascii="Arial" w:cs="Arial" w:eastAsia="Arial" w:hAnsi="Arial"/>
                <w:sz w:val="15"/>
                <w:szCs w:val="15"/>
                <w:b w:val="1"/>
                <w:bCs w:val="1"/>
                <w:color w:val="auto"/>
              </w:rPr>
              <w:t>Year Ended December 31,</w:t>
            </w:r>
          </w:p>
        </w:tc>
        <w:tc>
          <w:tcPr>
            <w:tcW w:w="160" w:type="dxa"/>
            <w:vAlign w:val="bottom"/>
          </w:tcPr>
          <w:p>
            <w:pPr>
              <w:spacing w:after="0"/>
              <w:rPr>
                <w:sz w:val="14"/>
                <w:szCs w:val="14"/>
                <w:color w:val="auto"/>
              </w:rPr>
            </w:pPr>
          </w:p>
        </w:tc>
        <w:tc>
          <w:tcPr>
            <w:tcW w:w="620" w:type="dxa"/>
            <w:vAlign w:val="bottom"/>
          </w:tcPr>
          <w:p>
            <w:pPr>
              <w:jc w:val="right"/>
              <w:ind w:right="130"/>
              <w:spacing w:after="0"/>
              <w:rPr>
                <w:sz w:val="20"/>
                <w:szCs w:val="20"/>
                <w:color w:val="auto"/>
              </w:rPr>
            </w:pPr>
            <w:r>
              <w:rPr>
                <w:rFonts w:ascii="Arial" w:cs="Arial" w:eastAsia="Arial" w:hAnsi="Arial"/>
                <w:sz w:val="15"/>
                <w:szCs w:val="15"/>
                <w:b w:val="1"/>
                <w:bCs w:val="1"/>
                <w:color w:val="auto"/>
              </w:rPr>
              <w:t>2022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0"/>
              <w:spacing w:after="0"/>
              <w:rPr>
                <w:sz w:val="20"/>
                <w:szCs w:val="20"/>
                <w:color w:val="auto"/>
              </w:rPr>
            </w:pPr>
            <w:r>
              <w:rPr>
                <w:rFonts w:ascii="Arial" w:cs="Arial" w:eastAsia="Arial" w:hAnsi="Arial"/>
                <w:sz w:val="15"/>
                <w:szCs w:val="15"/>
                <w:color w:val="auto"/>
              </w:rPr>
              <w:t>2021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30"/>
              <w:spacing w:after="0"/>
              <w:rPr>
                <w:sz w:val="20"/>
                <w:szCs w:val="20"/>
                <w:color w:val="auto"/>
              </w:rPr>
            </w:pPr>
            <w:r>
              <w:rPr>
                <w:rFonts w:ascii="Arial" w:cs="Arial" w:eastAsia="Arial" w:hAnsi="Arial"/>
                <w:sz w:val="15"/>
                <w:szCs w:val="15"/>
                <w:color w:val="auto"/>
              </w:rPr>
              <w:t>2020</w:t>
            </w:r>
          </w:p>
        </w:tc>
        <w:tc>
          <w:tcPr>
            <w:tcW w:w="20" w:type="dxa"/>
            <w:vAlign w:val="bottom"/>
          </w:tcPr>
          <w:p>
            <w:pPr>
              <w:spacing w:after="0"/>
              <w:rPr>
                <w:sz w:val="14"/>
                <w:szCs w:val="14"/>
                <w:color w:val="auto"/>
              </w:rPr>
            </w:pPr>
          </w:p>
        </w:tc>
      </w:tr>
      <w:tr>
        <w:trPr>
          <w:trHeight w:val="40"/>
        </w:trPr>
        <w:tc>
          <w:tcPr>
            <w:tcW w:w="73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7340" w:type="dxa"/>
            <w:vAlign w:val="bottom"/>
            <w:shd w:val="clear" w:color="auto" w:fill="CCCCCC"/>
          </w:tcPr>
          <w:p>
            <w:pPr>
              <w:spacing w:after="0" w:line="185"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Net income (loss) . . . . . . . . . . . . . . . . . . . . . . . . . . . . . . . . . . . . . . . . . . . . . . . . . . . . . . . . .</w:t>
            </w:r>
          </w:p>
        </w:tc>
        <w:tc>
          <w:tcPr>
            <w:tcW w:w="1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3,492</w:t>
            </w:r>
          </w:p>
        </w:tc>
        <w:tc>
          <w:tcPr>
            <w:tcW w:w="20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1,928</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w w:val="98"/>
              </w:rPr>
              <w:t>(10,486)</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ind w:left="300"/>
              <w:spacing w:after="0" w:line="195" w:lineRule="exact"/>
              <w:rPr>
                <w:sz w:val="20"/>
                <w:szCs w:val="20"/>
                <w:color w:val="auto"/>
              </w:rPr>
            </w:pPr>
            <w:r>
              <w:rPr>
                <w:rFonts w:ascii="Arial" w:cs="Arial" w:eastAsia="Arial" w:hAnsi="Arial"/>
                <w:sz w:val="18"/>
                <w:szCs w:val="18"/>
                <w:color w:val="auto"/>
              </w:rPr>
              <w:t>Adjustments to reconcile net income (loss) to cash provided by operating activities:</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Impairments and other charges and credits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(347)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12,515</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2,147</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95" w:lineRule="exact"/>
              <w:rPr>
                <w:sz w:val="20"/>
                <w:szCs w:val="20"/>
                <w:color w:val="auto"/>
              </w:rPr>
            </w:pPr>
            <w:r>
              <w:rPr>
                <w:rFonts w:ascii="Arial" w:cs="Arial" w:eastAsia="Arial" w:hAnsi="Arial"/>
                <w:sz w:val="18"/>
                <w:szCs w:val="18"/>
                <w:color w:val="auto"/>
              </w:rPr>
              <w:t>2,120</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2,566</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Deferred taxes . . . . . . . . . . . . . . . .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(1,248)</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Stock-based compensation expense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313</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95" w:lineRule="exact"/>
              <w:rPr>
                <w:sz w:val="20"/>
                <w:szCs w:val="20"/>
                <w:color w:val="auto"/>
              </w:rPr>
            </w:pPr>
            <w:r>
              <w:rPr>
                <w:rFonts w:ascii="Arial" w:cs="Arial" w:eastAsia="Arial" w:hAnsi="Arial"/>
                <w:sz w:val="18"/>
                <w:szCs w:val="18"/>
                <w:color w:val="auto"/>
              </w:rPr>
              <w:t>324</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397</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Earnings of equity method investments, less dividends received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(96)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ind w:left="300"/>
              <w:spacing w:after="0" w:line="195" w:lineRule="exact"/>
              <w:rPr>
                <w:sz w:val="20"/>
                <w:szCs w:val="20"/>
                <w:color w:val="auto"/>
              </w:rPr>
            </w:pPr>
            <w:r>
              <w:rPr>
                <w:rFonts w:ascii="Arial" w:cs="Arial" w:eastAsia="Arial" w:hAnsi="Arial"/>
                <w:sz w:val="17"/>
                <w:szCs w:val="17"/>
                <w:color w:val="auto"/>
              </w:rPr>
              <w:t xml:space="preserve">Change in assets and liabilities: </w:t>
            </w:r>
            <w:r>
              <w:rPr>
                <w:rFonts w:ascii="Arial" w:cs="Arial" w:eastAsia="Arial" w:hAnsi="Arial"/>
                <w:sz w:val="22"/>
                <w:szCs w:val="22"/>
                <w:color w:val="auto"/>
                <w:vertAlign w:val="superscript"/>
              </w:rPr>
              <w:t>(2)</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(Increase) decrease in receivables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(1,728)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2,345</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(Increase) decrease in inventories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(737)</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95" w:lineRule="exact"/>
              <w:rPr>
                <w:sz w:val="20"/>
                <w:szCs w:val="20"/>
                <w:color w:val="auto"/>
              </w:rPr>
            </w:pPr>
            <w:r>
              <w:rPr>
                <w:rFonts w:ascii="Arial" w:cs="Arial" w:eastAsia="Arial" w:hAnsi="Arial"/>
                <w:sz w:val="18"/>
                <w:szCs w:val="18"/>
                <w:color w:val="auto"/>
              </w:rPr>
              <w:t>75</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(Increase) decrease in other current assets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267</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Increase in other assets . . . . . . .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(2)</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Increase (decrease) in accounts payable and accrued liabilities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704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160</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(3,330)</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Increase (decrease) in estimated liability for taxes on income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96</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95" w:lineRule="exact"/>
              <w:rPr>
                <w:sz w:val="20"/>
                <w:szCs w:val="20"/>
                <w:color w:val="auto"/>
              </w:rPr>
            </w:pPr>
            <w:r>
              <w:rPr>
                <w:rFonts w:ascii="Arial" w:cs="Arial" w:eastAsia="Arial" w:hAnsi="Arial"/>
                <w:sz w:val="18"/>
                <w:szCs w:val="18"/>
                <w:color w:val="auto"/>
              </w:rPr>
              <w:t>(154)</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Increase (decrease) in other liabilities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Other  . . . . . . . . . . . . . . . . . . . . . .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(19)</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(39)</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6"/>
                <w:szCs w:val="16"/>
                <w:color w:val="auto"/>
              </w:rPr>
            </w:pPr>
          </w:p>
        </w:tc>
      </w:tr>
      <w:tr>
        <w:trPr>
          <w:trHeight w:val="70"/>
        </w:trPr>
        <w:tc>
          <w:tcPr>
            <w:tcW w:w="73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1"/>
        </w:trPr>
        <w:tc>
          <w:tcPr>
            <w:tcW w:w="7340" w:type="dxa"/>
            <w:vAlign w:val="bottom"/>
          </w:tcPr>
          <w:p>
            <w:pPr>
              <w:jc w:val="right"/>
              <w:ind w:right="110"/>
              <w:spacing w:after="0"/>
              <w:rPr>
                <w:sz w:val="20"/>
                <w:szCs w:val="20"/>
                <w:color w:val="auto"/>
              </w:rPr>
            </w:pPr>
            <w:r>
              <w:rPr>
                <w:rFonts w:ascii="Arial" w:cs="Arial" w:eastAsia="Arial" w:hAnsi="Arial"/>
                <w:sz w:val="18"/>
                <w:szCs w:val="18"/>
                <w:color w:val="auto"/>
                <w:w w:val="98"/>
              </w:rPr>
              <w:t>NET CASH PROVIDED BY OPERATING ACTIVITIES . . . . . . . . . . . . . . . . . . . . . . . . . . . .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2,944</w:t>
            </w:r>
          </w:p>
        </w:tc>
      </w:tr>
      <w:tr>
        <w:trPr>
          <w:trHeight w:val="34"/>
        </w:trPr>
        <w:tc>
          <w:tcPr>
            <w:tcW w:w="7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7340" w:type="dxa"/>
            <w:vAlign w:val="bottom"/>
            <w:shd w:val="clear" w:color="auto" w:fill="CCCCCC"/>
          </w:tcPr>
          <w:p>
            <w:pPr>
              <w:spacing w:after="0" w:line="185"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Capital expenditures . . . . . . . . . . . . . .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(1,618)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(1,141)</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(1,116)</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APS investments . . . . . . . . . . . . . . . .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(587)</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(474)</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Exploration data capitalized . . . . . . . .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(97)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Net proceeds from divestitures . . . . . . . . . . . . . . . . . . . . . . . . . . . . . . . . . . . . . . . . . . . . .</w:t>
            </w: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ind w:left="360"/>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434</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Proceeds from sale of Liberty shares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732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Proceeds from sale of ADC shares .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223</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Proceeds from sale of real estate  . . .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Business acquisitions and investments, net of cash acquired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(58)</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(103)</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Sale (purchase) of short-term investments, net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138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787</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(1,141)</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Purchases of Blue Chip Swap securities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(259)</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Proceeds from sales of Blue Chip Swap securities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Other . . . . . . . . . . . . . . . . . . . . . . . . . .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(93)</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(58)</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6"/>
                <w:szCs w:val="16"/>
                <w:color w:val="auto"/>
              </w:rPr>
            </w:pPr>
          </w:p>
        </w:tc>
      </w:tr>
      <w:tr>
        <w:trPr>
          <w:trHeight w:val="70"/>
        </w:trPr>
        <w:tc>
          <w:tcPr>
            <w:tcW w:w="73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1"/>
        </w:trPr>
        <w:tc>
          <w:tcPr>
            <w:tcW w:w="7340" w:type="dxa"/>
            <w:vAlign w:val="bottom"/>
          </w:tcPr>
          <w:p>
            <w:pPr>
              <w:jc w:val="right"/>
              <w:ind w:right="110"/>
              <w:spacing w:after="0"/>
              <w:rPr>
                <w:sz w:val="20"/>
                <w:szCs w:val="20"/>
                <w:color w:val="auto"/>
              </w:rPr>
            </w:pPr>
            <w:r>
              <w:rPr>
                <w:rFonts w:ascii="Arial" w:cs="Arial" w:eastAsia="Arial" w:hAnsi="Arial"/>
                <w:sz w:val="18"/>
                <w:szCs w:val="18"/>
                <w:color w:val="auto"/>
                <w:w w:val="97"/>
              </w:rPr>
              <w:t>NET CASH USED IN INVESTING ACTIVITIES  . . . . . . . . . . . . . . . . . . . . . . . . . . . . . . . . . .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(2,353)</w:t>
            </w:r>
          </w:p>
        </w:tc>
      </w:tr>
      <w:tr>
        <w:trPr>
          <w:trHeight w:val="34"/>
        </w:trPr>
        <w:tc>
          <w:tcPr>
            <w:tcW w:w="7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7340" w:type="dxa"/>
            <w:vAlign w:val="bottom"/>
            <w:shd w:val="clear" w:color="auto" w:fill="CCCCCC"/>
          </w:tcPr>
          <w:p>
            <w:pPr>
              <w:spacing w:after="0" w:line="185"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Dividends paid . . . . . . . . . . . . . . . . . . .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(848)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(699)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(1,734)</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Proceeds from employee stock purchase plan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142</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95"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Proceeds from exercise of stock options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81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Taxes paid on net-settled stock-based compensation awards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(93)</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(24)</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Stock repurchase program . . . . . . . . . . . . . . . . . . . . . . . . . . . . . . . . . . . . . . . . . . . . . . . .</w:t>
            </w:r>
          </w:p>
        </w:tc>
        <w:tc>
          <w:tcPr>
            <w:tcW w:w="160" w:type="dxa"/>
            <w:vAlign w:val="bottom"/>
          </w:tcPr>
          <w:p>
            <w:pPr>
              <w:spacing w:after="0"/>
              <w:rPr>
                <w:sz w:val="16"/>
                <w:szCs w:val="16"/>
                <w:color w:val="auto"/>
              </w:rPr>
            </w:pPr>
          </w:p>
        </w:tc>
        <w:tc>
          <w:tcPr>
            <w:tcW w:w="820" w:type="dxa"/>
            <w:vAlign w:val="bottom"/>
            <w:gridSpan w:val="2"/>
          </w:tcPr>
          <w:p>
            <w:pPr>
              <w:ind w:left="360"/>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Proceeds from issuance of long-term debt . . . . . . . . . . . . . . . . . . . . . . . . . . . . . . . . . . .</w:t>
            </w: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ind w:left="360"/>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95" w:lineRule="exact"/>
              <w:rPr>
                <w:sz w:val="20"/>
                <w:szCs w:val="20"/>
                <w:color w:val="auto"/>
              </w:rPr>
            </w:pPr>
            <w:r>
              <w:rPr>
                <w:rFonts w:ascii="Arial" w:cs="Arial" w:eastAsia="Arial" w:hAnsi="Arial"/>
                <w:sz w:val="18"/>
                <w:szCs w:val="18"/>
                <w:color w:val="auto"/>
              </w:rPr>
              <w:t>34</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5,837</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Repayment of long-term debt . . . . . . .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(1,650)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(2,076)</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(4,975)</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Net increase (decrease) in short-term borrowings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37</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(105)</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Repayment of finance lease-related obligations . . . . . . . . . . . . . . . . . . . . . . . . . . . . . . .</w:t>
            </w:r>
          </w:p>
        </w:tc>
        <w:tc>
          <w:tcPr>
            <w:tcW w:w="160" w:type="dxa"/>
            <w:vAlign w:val="bottom"/>
          </w:tcPr>
          <w:p>
            <w:pPr>
              <w:spacing w:after="0"/>
              <w:rPr>
                <w:sz w:val="16"/>
                <w:szCs w:val="16"/>
                <w:color w:val="auto"/>
              </w:rPr>
            </w:pPr>
          </w:p>
        </w:tc>
        <w:tc>
          <w:tcPr>
            <w:tcW w:w="820" w:type="dxa"/>
            <w:vAlign w:val="bottom"/>
            <w:gridSpan w:val="2"/>
          </w:tcPr>
          <w:p>
            <w:pPr>
              <w:ind w:left="360"/>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(188)</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rPr>
              <w:t>Other . . . . . . . . . . . . . . . . . . . . . . . . . .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(51)</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(91)</w:t>
            </w:r>
          </w:p>
        </w:tc>
        <w:tc>
          <w:tcPr>
            <w:tcW w:w="2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6"/>
                <w:szCs w:val="16"/>
                <w:color w:val="auto"/>
              </w:rPr>
            </w:pPr>
          </w:p>
        </w:tc>
      </w:tr>
      <w:tr>
        <w:trPr>
          <w:trHeight w:val="70"/>
        </w:trPr>
        <w:tc>
          <w:tcPr>
            <w:tcW w:w="73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1"/>
        </w:trPr>
        <w:tc>
          <w:tcPr>
            <w:tcW w:w="7340" w:type="dxa"/>
            <w:vAlign w:val="bottom"/>
          </w:tcPr>
          <w:p>
            <w:pPr>
              <w:jc w:val="right"/>
              <w:ind w:right="110"/>
              <w:spacing w:after="0"/>
              <w:rPr>
                <w:sz w:val="20"/>
                <w:szCs w:val="20"/>
                <w:color w:val="auto"/>
              </w:rPr>
            </w:pPr>
            <w:r>
              <w:rPr>
                <w:rFonts w:ascii="Arial" w:cs="Arial" w:eastAsia="Arial" w:hAnsi="Arial"/>
                <w:sz w:val="18"/>
                <w:szCs w:val="18"/>
                <w:color w:val="auto"/>
                <w:w w:val="98"/>
              </w:rPr>
              <w:t>NET CASH USED IN FINANCING ACTIVITIES . . . . . . . . . . . . . . . . . . . . . . . . . . . . . . . . . .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9"/>
                <w:szCs w:val="19"/>
                <w:color w:val="auto"/>
              </w:rPr>
            </w:pPr>
          </w:p>
        </w:tc>
      </w:tr>
      <w:tr>
        <w:trPr>
          <w:trHeight w:val="34"/>
        </w:trPr>
        <w:tc>
          <w:tcPr>
            <w:tcW w:w="7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7340" w:type="dxa"/>
            <w:vAlign w:val="bottom"/>
            <w:shd w:val="clear" w:color="auto" w:fill="CCCCCC"/>
          </w:tcPr>
          <w:p>
            <w:pPr>
              <w:jc w:val="right"/>
              <w:ind w:right="110"/>
              <w:spacing w:after="0" w:line="185" w:lineRule="exact"/>
              <w:rPr>
                <w:sz w:val="20"/>
                <w:szCs w:val="20"/>
                <w:color w:val="auto"/>
              </w:rPr>
            </w:pPr>
            <w:r>
              <w:rPr>
                <w:rFonts w:ascii="Arial" w:cs="Arial" w:eastAsia="Arial" w:hAnsi="Arial"/>
                <w:sz w:val="18"/>
                <w:szCs w:val="18"/>
                <w:color w:val="auto"/>
                <w:w w:val="97"/>
              </w:rPr>
              <w:t>Net increase (decrease) in cash before translation effect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85" w:lineRule="exact"/>
              <w:rPr>
                <w:sz w:val="20"/>
                <w:szCs w:val="20"/>
                <w:color w:val="auto"/>
              </w:rPr>
            </w:pPr>
            <w:r>
              <w:rPr>
                <w:rFonts w:ascii="Arial" w:cs="Arial" w:eastAsia="Arial" w:hAnsi="Arial"/>
                <w:sz w:val="18"/>
                <w:szCs w:val="18"/>
                <w:b w:val="1"/>
                <w:bCs w:val="1"/>
                <w:color w:val="auto"/>
              </w:rPr>
              <w:t>(50)</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85" w:lineRule="exact"/>
              <w:rPr>
                <w:sz w:val="20"/>
                <w:szCs w:val="20"/>
                <w:color w:val="auto"/>
              </w:rPr>
            </w:pPr>
            <w:r>
              <w:rPr>
                <w:rFonts w:ascii="Arial" w:cs="Arial" w:eastAsia="Arial" w:hAnsi="Arial"/>
                <w:sz w:val="18"/>
                <w:szCs w:val="18"/>
                <w:color w:val="auto"/>
              </w:rPr>
              <w:t>908</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85" w:lineRule="exact"/>
              <w:rPr>
                <w:sz w:val="20"/>
                <w:szCs w:val="20"/>
                <w:color w:val="auto"/>
              </w:rPr>
            </w:pPr>
            <w:r>
              <w:rPr>
                <w:rFonts w:ascii="Arial" w:cs="Arial" w:eastAsia="Arial" w:hAnsi="Arial"/>
                <w:sz w:val="18"/>
                <w:szCs w:val="18"/>
                <w:color w:val="auto"/>
              </w:rPr>
              <w:t>(282)</w:t>
            </w:r>
          </w:p>
        </w:tc>
        <w:tc>
          <w:tcPr>
            <w:tcW w:w="20" w:type="dxa"/>
            <w:vAlign w:val="bottom"/>
          </w:tcPr>
          <w:p>
            <w:pPr>
              <w:spacing w:after="0"/>
              <w:rPr>
                <w:sz w:val="16"/>
                <w:szCs w:val="16"/>
                <w:color w:val="auto"/>
              </w:rPr>
            </w:pPr>
          </w:p>
        </w:tc>
      </w:tr>
      <w:tr>
        <w:trPr>
          <w:trHeight w:val="195"/>
        </w:trPr>
        <w:tc>
          <w:tcPr>
            <w:tcW w:w="734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6"/>
              </w:rPr>
              <w:t>Translation effect on cash . . . . . . . . . . . . . . . . . . . . . . . . . . . . . . . . . . . . . . . . . . . . . . . . . . . . .</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(52)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6"/>
                <w:szCs w:val="16"/>
                <w:color w:val="auto"/>
              </w:rPr>
            </w:pPr>
          </w:p>
        </w:tc>
      </w:tr>
      <w:tr>
        <w:trPr>
          <w:trHeight w:val="195"/>
        </w:trPr>
        <w:tc>
          <w:tcPr>
            <w:tcW w:w="7340" w:type="dxa"/>
            <w:vAlign w:val="bottom"/>
            <w:shd w:val="clear" w:color="auto" w:fill="CCCCCC"/>
          </w:tcPr>
          <w:p>
            <w:pPr>
              <w:jc w:val="right"/>
              <w:ind w:right="110"/>
              <w:spacing w:after="0" w:line="195" w:lineRule="exact"/>
              <w:rPr>
                <w:sz w:val="20"/>
                <w:szCs w:val="20"/>
                <w:color w:val="auto"/>
              </w:rPr>
            </w:pPr>
            <w:r>
              <w:rPr>
                <w:rFonts w:ascii="Arial" w:cs="Arial" w:eastAsia="Arial" w:hAnsi="Arial"/>
                <w:sz w:val="18"/>
                <w:szCs w:val="18"/>
                <w:color w:val="auto"/>
                <w:w w:val="96"/>
              </w:rPr>
              <w:t>Cash, beginning of period . . . . . . . . . . . . . . . . . . . . . . . . . . . . . . . . . . . . . . . . . . . . . . . . . . . . .</w:t>
            </w:r>
          </w:p>
        </w:tc>
        <w:tc>
          <w:tcPr>
            <w:tcW w:w="160" w:type="dxa"/>
            <w:vAlign w:val="bottom"/>
            <w:shd w:val="clear" w:color="auto" w:fill="CCCCCC"/>
          </w:tcPr>
          <w:p>
            <w:pPr>
              <w:spacing w:after="0"/>
              <w:rPr>
                <w:sz w:val="16"/>
                <w:szCs w:val="16"/>
                <w:color w:val="auto"/>
              </w:rPr>
            </w:pPr>
          </w:p>
        </w:tc>
        <w:tc>
          <w:tcPr>
            <w:tcW w:w="62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b w:val="1"/>
                <w:bCs w:val="1"/>
                <w:color w:val="auto"/>
              </w:rPr>
              <w:t>1,757</w:t>
            </w:r>
          </w:p>
        </w:tc>
        <w:tc>
          <w:tcPr>
            <w:tcW w:w="20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820" w:type="dxa"/>
            <w:vAlign w:val="bottom"/>
            <w:gridSpan w:val="2"/>
            <w:shd w:val="clear" w:color="auto" w:fill="CCCCCC"/>
          </w:tcPr>
          <w:p>
            <w:pPr>
              <w:jc w:val="right"/>
              <w:ind w:right="200"/>
              <w:spacing w:after="0" w:line="195" w:lineRule="exact"/>
              <w:rPr>
                <w:sz w:val="20"/>
                <w:szCs w:val="20"/>
                <w:color w:val="auto"/>
              </w:rPr>
            </w:pPr>
            <w:r>
              <w:rPr>
                <w:rFonts w:ascii="Arial" w:cs="Arial" w:eastAsia="Arial" w:hAnsi="Arial"/>
                <w:sz w:val="18"/>
                <w:szCs w:val="18"/>
                <w:color w:val="auto"/>
              </w:rPr>
              <w:t>844</w:t>
            </w:r>
          </w:p>
        </w:tc>
        <w:tc>
          <w:tcPr>
            <w:tcW w:w="100" w:type="dxa"/>
            <w:vAlign w:val="bottom"/>
            <w:shd w:val="clear" w:color="auto" w:fill="CCCCCC"/>
          </w:tcPr>
          <w:p>
            <w:pPr>
              <w:spacing w:after="0"/>
              <w:rPr>
                <w:sz w:val="16"/>
                <w:szCs w:val="16"/>
                <w:color w:val="auto"/>
              </w:rPr>
            </w:pPr>
          </w:p>
        </w:tc>
        <w:tc>
          <w:tcPr>
            <w:tcW w:w="680" w:type="dxa"/>
            <w:vAlign w:val="bottom"/>
            <w:shd w:val="clear" w:color="auto" w:fill="CCCCCC"/>
          </w:tcPr>
          <w:p>
            <w:pPr>
              <w:jc w:val="right"/>
              <w:spacing w:after="0" w:line="195" w:lineRule="exact"/>
              <w:rPr>
                <w:sz w:val="20"/>
                <w:szCs w:val="20"/>
                <w:color w:val="auto"/>
              </w:rPr>
            </w:pPr>
            <w:r>
              <w:rPr>
                <w:rFonts w:ascii="Arial" w:cs="Arial" w:eastAsia="Arial" w:hAnsi="Arial"/>
                <w:sz w:val="18"/>
                <w:szCs w:val="18"/>
                <w:color w:val="auto"/>
              </w:rPr>
              <w:t>1,137</w:t>
            </w:r>
          </w:p>
        </w:tc>
        <w:tc>
          <w:tcPr>
            <w:tcW w:w="20" w:type="dxa"/>
            <w:vAlign w:val="bottom"/>
          </w:tcPr>
          <w:p>
            <w:pPr>
              <w:spacing w:after="0"/>
              <w:rPr>
                <w:sz w:val="16"/>
                <w:szCs w:val="16"/>
                <w:color w:val="auto"/>
              </w:rPr>
            </w:pPr>
          </w:p>
        </w:tc>
      </w:tr>
      <w:tr>
        <w:trPr>
          <w:trHeight w:val="70"/>
        </w:trPr>
        <w:tc>
          <w:tcPr>
            <w:tcW w:w="73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21"/>
        </w:trPr>
        <w:tc>
          <w:tcPr>
            <w:tcW w:w="7340" w:type="dxa"/>
            <w:vAlign w:val="bottom"/>
          </w:tcPr>
          <w:p>
            <w:pPr>
              <w:jc w:val="right"/>
              <w:ind w:right="110"/>
              <w:spacing w:after="0"/>
              <w:rPr>
                <w:sz w:val="20"/>
                <w:szCs w:val="20"/>
                <w:color w:val="auto"/>
              </w:rPr>
            </w:pPr>
            <w:r>
              <w:rPr>
                <w:rFonts w:ascii="Arial" w:cs="Arial" w:eastAsia="Arial" w:hAnsi="Arial"/>
                <w:sz w:val="18"/>
                <w:szCs w:val="18"/>
                <w:color w:val="auto"/>
                <w:w w:val="96"/>
              </w:rPr>
              <w:t>Cash, end of period . . . . . . . . . . . . . . . . . . . . . . . . . . . . . . . . . . . . . . . . . . . . . . . . . . . . . . . . .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1,655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r>
      <w:tr>
        <w:trPr>
          <w:trHeight w:val="34"/>
        </w:trPr>
        <w:tc>
          <w:tcPr>
            <w:tcW w:w="7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ind w:left="480" w:hanging="480"/>
        <w:spacing w:after="0" w:line="196" w:lineRule="auto"/>
        <w:tabs>
          <w:tab w:leader="none" w:pos="480"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Includes depreciation of property, plant and equipment and amortization of intangible assets, exploration data costs and APS investments.</w:t>
      </w:r>
    </w:p>
    <w:p>
      <w:pPr>
        <w:spacing w:after="0" w:line="1" w:lineRule="exact"/>
        <w:rPr>
          <w:rFonts w:ascii="Arial" w:cs="Arial" w:eastAsia="Arial" w:hAnsi="Arial"/>
          <w:sz w:val="21"/>
          <w:szCs w:val="21"/>
          <w:color w:val="auto"/>
          <w:vertAlign w:val="superscript"/>
        </w:rPr>
      </w:pPr>
    </w:p>
    <w:p>
      <w:pPr>
        <w:ind w:left="480" w:hanging="480"/>
        <w:spacing w:after="0" w:line="186" w:lineRule="auto"/>
        <w:tabs>
          <w:tab w:leader="none" w:pos="48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 and divestitures.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the Notes to Consolidated Financial Statements</w:t>
      </w:r>
    </w:p>
    <w:p>
      <w:pPr>
        <w:sectPr>
          <w:pgSz w:w="12240" w:h="15840" w:orient="portrait"/>
          <w:cols w:equalWidth="0" w:num="1">
            <w:col w:w="10080"/>
          </w:cols>
          <w:pgMar w:left="1080" w:top="1440" w:right="1080" w:bottom="83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10080"/>
          </w:cols>
          <w:pgMar w:left="1080" w:top="1440" w:right="1080" w:bottom="836" w:gutter="0" w:footer="0" w:header="0"/>
          <w:type w:val="continuous"/>
        </w:sectPr>
      </w:pPr>
    </w:p>
    <w:bookmarkStart w:id="65" w:name="page66"/>
    <w:bookmarkEnd w:id="65"/>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LIMITED AND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STOCKHOLDERS’ EQUITY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419"/>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vMerge w:val="restart"/>
          </w:tcPr>
          <w:p>
            <w:pPr>
              <w:jc w:val="right"/>
              <w:ind w:right="4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60"/>
              <w:spacing w:after="0" w:line="180" w:lineRule="exact"/>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right"/>
              <w:ind w:right="180"/>
              <w:spacing w:after="0" w:line="129" w:lineRule="exact"/>
              <w:rPr>
                <w:sz w:val="20"/>
                <w:szCs w:val="20"/>
                <w:color w:val="auto"/>
              </w:rPr>
            </w:pPr>
            <w:r>
              <w:rPr>
                <w:rFonts w:ascii="Arial" w:cs="Arial" w:eastAsia="Arial" w:hAnsi="Arial"/>
                <w:sz w:val="14"/>
                <w:szCs w:val="14"/>
                <w:b w:val="1"/>
                <w:bCs w:val="1"/>
                <w:color w:val="auto"/>
              </w:rPr>
              <w:t>Retained</w:t>
            </w:r>
          </w:p>
        </w:tc>
        <w:tc>
          <w:tcPr>
            <w:tcW w:w="2460" w:type="dxa"/>
            <w:vAlign w:val="bottom"/>
            <w:gridSpan w:val="6"/>
            <w:vMerge w:val="restart"/>
          </w:tcPr>
          <w:p>
            <w:pPr>
              <w:spacing w:after="0" w:line="129" w:lineRule="exact"/>
              <w:rPr>
                <w:sz w:val="20"/>
                <w:szCs w:val="20"/>
                <w:color w:val="auto"/>
              </w:rPr>
            </w:pPr>
            <w:r>
              <w:rPr>
                <w:rFonts w:ascii="Arial" w:cs="Arial" w:eastAsia="Arial" w:hAnsi="Arial"/>
                <w:sz w:val="14"/>
                <w:szCs w:val="14"/>
                <w:b w:val="1"/>
                <w:bCs w:val="1"/>
                <w:color w:val="auto"/>
              </w:rPr>
              <w:t>Comprehensive Noncontrolling</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46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Issued</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In Treasury</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Earnings</w:t>
            </w: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Loss</w:t>
            </w:r>
          </w:p>
        </w:tc>
        <w:tc>
          <w:tcPr>
            <w:tcW w:w="16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Interests</w:t>
            </w:r>
          </w:p>
        </w:tc>
        <w:tc>
          <w:tcPr>
            <w:tcW w:w="180" w:type="dxa"/>
            <w:vAlign w:val="bottom"/>
          </w:tcPr>
          <w:p>
            <w:pPr>
              <w:spacing w:after="0"/>
              <w:rPr>
                <w:sz w:val="17"/>
                <w:szCs w:val="17"/>
                <w:color w:val="auto"/>
              </w:rPr>
            </w:pPr>
          </w:p>
        </w:tc>
        <w:tc>
          <w:tcPr>
            <w:tcW w:w="740" w:type="dxa"/>
            <w:vAlign w:val="bottom"/>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w w:val="96"/>
              </w:rPr>
              <w:t>Balance, January 1, 2020 . . . . . . . . . . . . . . . . . . . . . . . . . . . .</w:t>
            </w:r>
          </w:p>
        </w:tc>
        <w:tc>
          <w:tcPr>
            <w:tcW w:w="140" w:type="dxa"/>
            <w:vAlign w:val="bottom"/>
            <w:shd w:val="clear" w:color="auto" w:fill="CCCCC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13,078</w:t>
            </w:r>
          </w:p>
        </w:tc>
        <w:tc>
          <w:tcPr>
            <w:tcW w:w="60" w:type="dxa"/>
            <w:vAlign w:val="bottom"/>
            <w:shd w:val="clear" w:color="auto" w:fill="CCCCCC"/>
          </w:tcPr>
          <w:p>
            <w:pPr>
              <w:spacing w:after="0"/>
              <w:rPr>
                <w:sz w:val="17"/>
                <w:szCs w:val="17"/>
                <w:color w:val="auto"/>
              </w:rPr>
            </w:pPr>
          </w:p>
        </w:tc>
        <w:tc>
          <w:tcPr>
            <w:tcW w:w="260" w:type="dxa"/>
            <w:vAlign w:val="bottom"/>
            <w:shd w:val="clear" w:color="auto" w:fill="CCCCCC"/>
          </w:tcPr>
          <w:p>
            <w:pPr>
              <w:jc w:val="right"/>
              <w:ind w:right="8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(3,631)</w:t>
            </w:r>
          </w:p>
        </w:tc>
        <w:tc>
          <w:tcPr>
            <w:tcW w:w="100" w:type="dxa"/>
            <w:vAlign w:val="bottom"/>
            <w:shd w:val="clear" w:color="auto" w:fill="CCCCC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18,751</w:t>
            </w:r>
          </w:p>
        </w:tc>
        <w:tc>
          <w:tcPr>
            <w:tcW w:w="100" w:type="dxa"/>
            <w:vAlign w:val="bottom"/>
            <w:shd w:val="clear" w:color="auto" w:fill="CCCCCC"/>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(4,438)</w:t>
            </w:r>
          </w:p>
        </w:tc>
        <w:tc>
          <w:tcPr>
            <w:tcW w:w="160" w:type="dxa"/>
            <w:vAlign w:val="bottom"/>
            <w:shd w:val="clear" w:color="auto" w:fill="CCCC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416</w:t>
            </w:r>
          </w:p>
        </w:tc>
        <w:tc>
          <w:tcPr>
            <w:tcW w:w="60" w:type="dxa"/>
            <w:vAlign w:val="bottom"/>
            <w:shd w:val="clear" w:color="auto" w:fill="CCCCCC"/>
          </w:tcPr>
          <w:p>
            <w:pPr>
              <w:spacing w:after="0"/>
              <w:rPr>
                <w:sz w:val="17"/>
                <w:szCs w:val="17"/>
                <w:color w:val="auto"/>
              </w:rPr>
            </w:pPr>
          </w:p>
        </w:tc>
        <w:tc>
          <w:tcPr>
            <w:tcW w:w="180" w:type="dxa"/>
            <w:vAlign w:val="bottom"/>
            <w:shd w:val="clear" w:color="auto" w:fill="CCCCC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24,176</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Net loss  . . . . . . . . . . . . . . . . . . . . . . . . . . . .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(10,518)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(10,486)</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Currency translation adjustments  . . . . . . .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(239)</w:t>
            </w: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Changes in fair value of cash flow hedges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Pension and other postretirement benefit plans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Vesting of restricted stock, net of taxes withheld . . . . . .</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(201)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Employee stock purchase plan . . . . . . . . . . . . . . . . . . . .</w:t>
            </w:r>
          </w:p>
        </w:tc>
        <w:tc>
          <w:tcPr>
            <w:tcW w:w="140" w:type="dxa"/>
            <w:vAlign w:val="bottom"/>
            <w:shd w:val="clear" w:color="auto" w:fill="CCCCCC"/>
          </w:tcPr>
          <w:p>
            <w:pPr>
              <w:spacing w:after="0"/>
              <w:rPr>
                <w:sz w:val="18"/>
                <w:szCs w:val="18"/>
                <w:color w:val="auto"/>
              </w:rPr>
            </w:pPr>
          </w:p>
        </w:tc>
        <w:tc>
          <w:tcPr>
            <w:tcW w:w="8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444</w:t>
            </w: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Stock repurchase program . . . . . . . . . . . . .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Stock-based compensation expense  . . . .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397</w:t>
            </w: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Dividends declared ($0.875 per share) . . .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Other  . . . . . . . . . . . . . . . . . . . . . . . . . . . . . . . . . . . . . . . . .</w:t>
            </w:r>
          </w:p>
        </w:tc>
        <w:tc>
          <w:tcPr>
            <w:tcW w:w="140" w:type="dxa"/>
            <w:vAlign w:val="bottom"/>
            <w:shd w:val="clear" w:color="auto" w:fill="CCCCCC"/>
          </w:tcPr>
          <w:p>
            <w:pPr>
              <w:spacing w:after="0"/>
              <w:rPr>
                <w:sz w:val="18"/>
                <w:szCs w:val="18"/>
                <w:color w:val="auto"/>
              </w:rPr>
            </w:pPr>
          </w:p>
        </w:tc>
        <w:tc>
          <w:tcPr>
            <w:tcW w:w="8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(6)</w:t>
            </w: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70"/>
        </w:trPr>
        <w:tc>
          <w:tcPr>
            <w:tcW w:w="42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240" w:type="dxa"/>
            <w:vAlign w:val="bottom"/>
          </w:tcPr>
          <w:p>
            <w:pPr>
              <w:jc w:val="right"/>
              <w:spacing w:after="0" w:line="150" w:lineRule="exact"/>
              <w:rPr>
                <w:sz w:val="20"/>
                <w:szCs w:val="20"/>
                <w:color w:val="auto"/>
              </w:rPr>
            </w:pPr>
            <w:r>
              <w:rPr>
                <w:rFonts w:ascii="Arial" w:cs="Arial" w:eastAsia="Arial" w:hAnsi="Arial"/>
                <w:sz w:val="16"/>
                <w:szCs w:val="16"/>
                <w:color w:val="auto"/>
                <w:w w:val="96"/>
              </w:rPr>
              <w:t>Balance, December 31, 2020 . . . . . . . . . . . . . . . . . . . . . . . . .</w:t>
            </w:r>
          </w:p>
        </w:tc>
        <w:tc>
          <w:tcPr>
            <w:tcW w:w="140" w:type="dxa"/>
            <w:vAlign w:val="bottom"/>
          </w:tcPr>
          <w:p>
            <w:pPr>
              <w:spacing w:after="0"/>
              <w:rPr>
                <w:sz w:val="13"/>
                <w:szCs w:val="13"/>
                <w:color w:val="auto"/>
              </w:rPr>
            </w:pPr>
          </w:p>
        </w:tc>
        <w:tc>
          <w:tcPr>
            <w:tcW w:w="780" w:type="dxa"/>
            <w:vAlign w:val="bottom"/>
          </w:tcPr>
          <w:p>
            <w:pPr>
              <w:jc w:val="right"/>
              <w:spacing w:after="0" w:line="150" w:lineRule="exact"/>
              <w:rPr>
                <w:sz w:val="20"/>
                <w:szCs w:val="20"/>
                <w:color w:val="auto"/>
              </w:rPr>
            </w:pPr>
            <w:r>
              <w:rPr>
                <w:rFonts w:ascii="Arial" w:cs="Arial" w:eastAsia="Arial" w:hAnsi="Arial"/>
                <w:sz w:val="16"/>
                <w:szCs w:val="16"/>
                <w:color w:val="auto"/>
              </w:rPr>
              <w:t>12,970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60"/>
              <w:spacing w:after="0" w:line="150" w:lineRule="exact"/>
              <w:rPr>
                <w:sz w:val="20"/>
                <w:szCs w:val="20"/>
                <w:color w:val="auto"/>
              </w:rPr>
            </w:pPr>
            <w:r>
              <w:rPr>
                <w:rFonts w:ascii="Arial" w:cs="Arial" w:eastAsia="Arial" w:hAnsi="Arial"/>
                <w:sz w:val="16"/>
                <w:szCs w:val="16"/>
                <w:color w:val="auto"/>
              </w:rPr>
              <w:t>(3,033)</w:t>
            </w:r>
          </w:p>
        </w:tc>
        <w:tc>
          <w:tcPr>
            <w:tcW w:w="100" w:type="dxa"/>
            <w:vAlign w:val="bottom"/>
          </w:tcPr>
          <w:p>
            <w:pPr>
              <w:spacing w:after="0"/>
              <w:rPr>
                <w:sz w:val="13"/>
                <w:szCs w:val="13"/>
                <w:color w:val="auto"/>
              </w:rPr>
            </w:pPr>
          </w:p>
        </w:tc>
        <w:tc>
          <w:tcPr>
            <w:tcW w:w="880" w:type="dxa"/>
            <w:vAlign w:val="bottom"/>
            <w:gridSpan w:val="2"/>
          </w:tcPr>
          <w:p>
            <w:pPr>
              <w:jc w:val="right"/>
              <w:ind w:right="60"/>
              <w:spacing w:after="0" w:line="150" w:lineRule="exact"/>
              <w:rPr>
                <w:sz w:val="20"/>
                <w:szCs w:val="20"/>
                <w:color w:val="auto"/>
              </w:rPr>
            </w:pPr>
            <w:r>
              <w:rPr>
                <w:rFonts w:ascii="Arial" w:cs="Arial" w:eastAsia="Arial" w:hAnsi="Arial"/>
                <w:sz w:val="16"/>
                <w:szCs w:val="16"/>
                <w:color w:val="auto"/>
              </w:rPr>
              <w:t>7,018</w:t>
            </w:r>
          </w:p>
        </w:tc>
        <w:tc>
          <w:tcPr>
            <w:tcW w:w="100" w:type="dxa"/>
            <w:vAlign w:val="bottom"/>
          </w:tcPr>
          <w:p>
            <w:pPr>
              <w:spacing w:after="0"/>
              <w:rPr>
                <w:sz w:val="13"/>
                <w:szCs w:val="13"/>
                <w:color w:val="auto"/>
              </w:rPr>
            </w:pPr>
          </w:p>
        </w:tc>
        <w:tc>
          <w:tcPr>
            <w:tcW w:w="1160" w:type="dxa"/>
            <w:vAlign w:val="bottom"/>
            <w:gridSpan w:val="2"/>
          </w:tcPr>
          <w:p>
            <w:pPr>
              <w:jc w:val="right"/>
              <w:ind w:right="60"/>
              <w:spacing w:after="0" w:line="150" w:lineRule="exact"/>
              <w:rPr>
                <w:sz w:val="20"/>
                <w:szCs w:val="20"/>
                <w:color w:val="auto"/>
              </w:rPr>
            </w:pPr>
            <w:r>
              <w:rPr>
                <w:rFonts w:ascii="Arial" w:cs="Arial" w:eastAsia="Arial" w:hAnsi="Arial"/>
                <w:sz w:val="16"/>
                <w:szCs w:val="16"/>
                <w:color w:val="auto"/>
              </w:rPr>
              <w:t>(4,884)</w:t>
            </w:r>
          </w:p>
        </w:tc>
        <w:tc>
          <w:tcPr>
            <w:tcW w:w="160" w:type="dxa"/>
            <w:vAlign w:val="bottom"/>
          </w:tcPr>
          <w:p>
            <w:pPr>
              <w:spacing w:after="0"/>
              <w:rPr>
                <w:sz w:val="13"/>
                <w:szCs w:val="13"/>
                <w:color w:val="auto"/>
              </w:rPr>
            </w:pPr>
          </w:p>
        </w:tc>
        <w:tc>
          <w:tcPr>
            <w:tcW w:w="980" w:type="dxa"/>
            <w:vAlign w:val="bottom"/>
          </w:tcPr>
          <w:p>
            <w:pPr>
              <w:jc w:val="right"/>
              <w:spacing w:after="0" w:line="150" w:lineRule="exact"/>
              <w:rPr>
                <w:sz w:val="20"/>
                <w:szCs w:val="20"/>
                <w:color w:val="auto"/>
              </w:rPr>
            </w:pPr>
            <w:r>
              <w:rPr>
                <w:rFonts w:ascii="Arial" w:cs="Arial" w:eastAsia="Arial" w:hAnsi="Arial"/>
                <w:sz w:val="16"/>
                <w:szCs w:val="16"/>
                <w:color w:val="auto"/>
              </w:rPr>
              <w:t>418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0" w:lineRule="exact"/>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10"/>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Net income . . . . . . . . . . . . . . . . . . . . . . . . . .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47</w:t>
            </w: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Currency translation adjustments  . . . . . . .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Changes in fair value of cash flow hedges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Pension and other postretirement benefit plans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1,249</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Vesting of restricted stock, net of taxes withheld . . . . . .</w:t>
            </w:r>
          </w:p>
        </w:tc>
        <w:tc>
          <w:tcPr>
            <w:tcW w:w="140" w:type="dxa"/>
            <w:vAlign w:val="bottom"/>
            <w:shd w:val="clear" w:color="auto" w:fill="CCCCCC"/>
          </w:tcPr>
          <w:p>
            <w:pPr>
              <w:spacing w:after="0"/>
              <w:rPr>
                <w:sz w:val="18"/>
                <w:szCs w:val="18"/>
                <w:color w:val="auto"/>
              </w:rPr>
            </w:pPr>
          </w:p>
        </w:tc>
        <w:tc>
          <w:tcPr>
            <w:tcW w:w="8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(305)</w:t>
            </w: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281</w:t>
            </w: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Employee stock purchase plan . . . . . . . . . . . . . . . . . . . .</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(377)</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Stock-based compensation expense  . . . .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324</w:t>
            </w: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Dividends declared ($0.50 per share) . . . .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Deconsolidation of subsidiary  . . . . . . . . . .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2"/>
        </w:trPr>
        <w:tc>
          <w:tcPr>
            <w:tcW w:w="4240" w:type="dxa"/>
            <w:vAlign w:val="bottom"/>
          </w:tcPr>
          <w:p>
            <w:pPr>
              <w:jc w:val="right"/>
              <w:spacing w:after="0"/>
              <w:rPr>
                <w:sz w:val="20"/>
                <w:szCs w:val="20"/>
                <w:color w:val="auto"/>
              </w:rPr>
            </w:pPr>
            <w:r>
              <w:rPr>
                <w:rFonts w:ascii="Arial" w:cs="Arial" w:eastAsia="Arial" w:hAnsi="Arial"/>
                <w:sz w:val="16"/>
                <w:szCs w:val="16"/>
                <w:color w:val="auto"/>
              </w:rPr>
              <w:t>Other  . . . . . . . . . . . . . . . . . . . . . . . . . . . . . . . . . . . . . . . . .</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78"/>
        </w:trPr>
        <w:tc>
          <w:tcPr>
            <w:tcW w:w="42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w w:val="96"/>
              </w:rPr>
              <w:t>Balance, December 31, 2021 . . . . . . . . . . . . . . . . . . . . . . . . .</w:t>
            </w:r>
          </w:p>
        </w:tc>
        <w:tc>
          <w:tcPr>
            <w:tcW w:w="140" w:type="dxa"/>
            <w:vAlign w:val="bottom"/>
            <w:shd w:val="clear" w:color="auto" w:fill="CCCCCC"/>
          </w:tcPr>
          <w:p>
            <w:pPr>
              <w:spacing w:after="0"/>
              <w:rPr>
                <w:sz w:val="17"/>
                <w:szCs w:val="17"/>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12,608</w:t>
            </w:r>
          </w:p>
        </w:tc>
        <w:tc>
          <w:tcPr>
            <w:tcW w:w="60" w:type="dxa"/>
            <w:vAlign w:val="bottom"/>
            <w:shd w:val="clear" w:color="auto" w:fill="CCCCCC"/>
          </w:tcPr>
          <w:p>
            <w:pPr>
              <w:spacing w:after="0"/>
              <w:rPr>
                <w:sz w:val="17"/>
                <w:szCs w:val="17"/>
                <w:color w:val="auto"/>
              </w:rPr>
            </w:pPr>
          </w:p>
        </w:tc>
        <w:tc>
          <w:tcPr>
            <w:tcW w:w="260" w:type="dxa"/>
            <w:vAlign w:val="bottom"/>
            <w:shd w:val="clear" w:color="auto" w:fill="CCCCCC"/>
          </w:tcPr>
          <w:p>
            <w:pPr>
              <w:spacing w:after="0"/>
              <w:rPr>
                <w:sz w:val="17"/>
                <w:szCs w:val="17"/>
                <w:color w:val="auto"/>
              </w:rPr>
            </w:pPr>
          </w:p>
        </w:tc>
        <w:tc>
          <w:tcPr>
            <w:tcW w:w="72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(2,233)</w:t>
            </w:r>
          </w:p>
        </w:tc>
        <w:tc>
          <w:tcPr>
            <w:tcW w:w="100" w:type="dxa"/>
            <w:vAlign w:val="bottom"/>
            <w:shd w:val="clear" w:color="auto" w:fill="CCCCCC"/>
          </w:tcPr>
          <w:p>
            <w:pPr>
              <w:spacing w:after="0"/>
              <w:rPr>
                <w:sz w:val="17"/>
                <w:szCs w:val="17"/>
                <w:color w:val="auto"/>
              </w:rPr>
            </w:pP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8,199</w:t>
            </w:r>
          </w:p>
        </w:tc>
        <w:tc>
          <w:tcPr>
            <w:tcW w:w="100" w:type="dxa"/>
            <w:vAlign w:val="bottom"/>
            <w:shd w:val="clear" w:color="auto" w:fill="CCCCCC"/>
          </w:tcPr>
          <w:p>
            <w:pPr>
              <w:spacing w:after="0"/>
              <w:rPr>
                <w:sz w:val="17"/>
                <w:szCs w:val="17"/>
                <w:color w:val="auto"/>
              </w:rPr>
            </w:pPr>
          </w:p>
        </w:tc>
        <w:tc>
          <w:tcPr>
            <w:tcW w:w="11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(3,570)</w:t>
            </w:r>
          </w:p>
        </w:tc>
        <w:tc>
          <w:tcPr>
            <w:tcW w:w="160" w:type="dxa"/>
            <w:vAlign w:val="bottom"/>
            <w:shd w:val="clear" w:color="auto" w:fill="CCCCCC"/>
          </w:tcPr>
          <w:p>
            <w:pPr>
              <w:spacing w:after="0"/>
              <w:rPr>
                <w:sz w:val="17"/>
                <w:szCs w:val="17"/>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282</w:t>
            </w:r>
          </w:p>
        </w:tc>
        <w:tc>
          <w:tcPr>
            <w:tcW w:w="60" w:type="dxa"/>
            <w:vAlign w:val="bottom"/>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15,286</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Net income . . . . . . . . . . . . . . . . . . . . . . . . . .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3,492</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Currency translation adjustments  . . . . . . .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Changes in fair value of cash flow hedges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Pension and other postretirement benefit plans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(229)</w:t>
            </w: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Vesting of restricted stock, net of taxes withheld . . . . . .</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(795)</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Employee stock purchase plan . . . . . . . . . . . . . . . . . . . .</w:t>
            </w:r>
          </w:p>
        </w:tc>
        <w:tc>
          <w:tcPr>
            <w:tcW w:w="140" w:type="dxa"/>
            <w:vAlign w:val="bottom"/>
            <w:shd w:val="clear" w:color="auto" w:fill="CCCCCC"/>
          </w:tcPr>
          <w:p>
            <w:pPr>
              <w:spacing w:after="0"/>
              <w:rPr>
                <w:sz w:val="18"/>
                <w:szCs w:val="18"/>
                <w:color w:val="auto"/>
              </w:rPr>
            </w:pPr>
          </w:p>
        </w:tc>
        <w:tc>
          <w:tcPr>
            <w:tcW w:w="8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(222)</w:t>
            </w: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364</w:t>
            </w: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Stock-based compensation expense  . . . . . . . . . . . . . .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Shares sold to optionees, less shares exchanged . . . . .</w:t>
            </w:r>
          </w:p>
        </w:tc>
        <w:tc>
          <w:tcPr>
            <w:tcW w:w="140" w:type="dxa"/>
            <w:vAlign w:val="bottom"/>
            <w:shd w:val="clear" w:color="auto" w:fill="CCCCCC"/>
          </w:tcPr>
          <w:p>
            <w:pPr>
              <w:spacing w:after="0"/>
              <w:rPr>
                <w:sz w:val="18"/>
                <w:szCs w:val="18"/>
                <w:color w:val="auto"/>
              </w:rPr>
            </w:pPr>
          </w:p>
        </w:tc>
        <w:tc>
          <w:tcPr>
            <w:tcW w:w="8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(67)</w:t>
            </w: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148</w:t>
            </w: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6"/>
        </w:trPr>
        <w:tc>
          <w:tcPr>
            <w:tcW w:w="4240" w:type="dxa"/>
            <w:vAlign w:val="bottom"/>
          </w:tcPr>
          <w:p>
            <w:pPr>
              <w:jc w:val="right"/>
              <w:spacing w:after="0"/>
              <w:rPr>
                <w:sz w:val="20"/>
                <w:szCs w:val="20"/>
                <w:color w:val="auto"/>
              </w:rPr>
            </w:pPr>
            <w:r>
              <w:rPr>
                <w:rFonts w:ascii="Arial" w:cs="Arial" w:eastAsia="Arial" w:hAnsi="Arial"/>
                <w:sz w:val="16"/>
                <w:szCs w:val="16"/>
                <w:color w:val="auto"/>
              </w:rPr>
              <w:t>Dividends declared ($0.65 per share) . . . . . . . . . . . . . .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4"/>
        </w:trPr>
        <w:tc>
          <w:tcPr>
            <w:tcW w:w="42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Other  . . . . . . . . . . . . . . . . . . . . . . . . . . . . . . . . . . . . . . . . .</w:t>
            </w:r>
          </w:p>
        </w:tc>
        <w:tc>
          <w:tcPr>
            <w:tcW w:w="14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CCCC"/>
          </w:tcPr>
          <w:p>
            <w:pPr>
              <w:spacing w:after="0"/>
              <w:rPr>
                <w:sz w:val="18"/>
                <w:szCs w:val="18"/>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70"/>
        </w:trPr>
        <w:tc>
          <w:tcPr>
            <w:tcW w:w="42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jc w:val="right"/>
              <w:spacing w:after="0"/>
              <w:rPr>
                <w:sz w:val="20"/>
                <w:szCs w:val="20"/>
                <w:color w:val="auto"/>
              </w:rPr>
            </w:pPr>
            <w:r>
              <w:rPr>
                <w:rFonts w:ascii="Arial" w:cs="Arial" w:eastAsia="Arial" w:hAnsi="Arial"/>
                <w:sz w:val="16"/>
                <w:szCs w:val="16"/>
                <w:color w:val="auto"/>
                <w:w w:val="96"/>
              </w:rPr>
              <w:t>Balance, December 31, 2022 . . . . . . . . . . . . . . . . . . . . . . . .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11,837</w:t>
            </w:r>
          </w:p>
        </w:tc>
        <w:tc>
          <w:tcPr>
            <w:tcW w:w="60" w:type="dxa"/>
            <w:vAlign w:val="bottom"/>
          </w:tcPr>
          <w:p>
            <w:pPr>
              <w:spacing w:after="0"/>
              <w:rPr>
                <w:sz w:val="16"/>
                <w:szCs w:val="16"/>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(1,016)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(3,855)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304</w:t>
            </w:r>
          </w:p>
        </w:tc>
        <w:tc>
          <w:tcPr>
            <w:tcW w:w="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17,989</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the Notes to Consolidated Financial Statements</w:t>
      </w:r>
    </w:p>
    <w:p>
      <w:pPr>
        <w:sectPr>
          <w:pgSz w:w="12240" w:h="15840" w:orient="portrait"/>
          <w:cols w:equalWidth="0" w:num="1">
            <w:col w:w="10560"/>
          </w:cols>
          <w:pgMar w:left="840" w:top="1440" w:right="8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10560"/>
          </w:cols>
          <w:pgMar w:left="840" w:top="1440" w:right="840" w:bottom="836" w:gutter="0" w:footer="0" w:header="0"/>
          <w:type w:val="continuous"/>
        </w:sectPr>
      </w:pPr>
    </w:p>
    <w:bookmarkStart w:id="66" w:name="page67"/>
    <w:bookmarkEnd w:id="66"/>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LIMITED AND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SHARES OF COMMON STOCK</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60"/>
        </w:trPr>
        <w:tc>
          <w:tcPr>
            <w:tcW w:w="5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80"/>
              <w:spacing w:after="0"/>
              <w:rPr>
                <w:sz w:val="20"/>
                <w:szCs w:val="20"/>
                <w:color w:val="auto"/>
              </w:rPr>
            </w:pPr>
            <w:r>
              <w:rPr>
                <w:rFonts w:ascii="Arial" w:cs="Arial" w:eastAsia="Arial" w:hAnsi="Arial"/>
                <w:sz w:val="20"/>
                <w:szCs w:val="20"/>
                <w:b w:val="1"/>
                <w:bCs w:val="1"/>
                <w:color w:val="auto"/>
              </w:rPr>
              <w:t>Shares</w:t>
            </w:r>
          </w:p>
        </w:tc>
      </w:tr>
      <w:tr>
        <w:trPr>
          <w:trHeight w:val="230"/>
        </w:trPr>
        <w:tc>
          <w:tcPr>
            <w:tcW w:w="53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20"/>
                <w:szCs w:val="20"/>
                <w:b w:val="1"/>
                <w:bCs w:val="1"/>
                <w:color w:val="auto"/>
              </w:rPr>
              <w:t>Issued</w:t>
            </w:r>
          </w:p>
        </w:tc>
        <w:tc>
          <w:tcPr>
            <w:tcW w:w="114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w w:val="98"/>
              </w:rPr>
              <w:t>In Treasury</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b w:val="1"/>
                <w:bCs w:val="1"/>
                <w:color w:val="auto"/>
              </w:rPr>
              <w:t>Outstanding</w:t>
            </w:r>
          </w:p>
        </w:tc>
      </w:tr>
      <w:tr>
        <w:trPr>
          <w:trHeight w:val="28"/>
        </w:trPr>
        <w:tc>
          <w:tcPr>
            <w:tcW w:w="5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3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7"/>
              </w:rPr>
              <w:t>Balance, January 1, 2020  . . . . . . . . . . . . . . . . . . . . . . . . . .</w:t>
            </w:r>
          </w:p>
        </w:tc>
        <w:tc>
          <w:tcPr>
            <w:tcW w:w="1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1,434</w:t>
            </w:r>
          </w:p>
        </w:tc>
        <w:tc>
          <w:tcPr>
            <w:tcW w:w="200" w:type="dxa"/>
            <w:vAlign w:val="bottom"/>
            <w:shd w:val="clear" w:color="auto" w:fill="CCCCCC"/>
          </w:tcPr>
          <w:p>
            <w:pPr>
              <w:spacing w:after="0"/>
              <w:rPr>
                <w:sz w:val="23"/>
                <w:szCs w:val="23"/>
                <w:color w:val="auto"/>
              </w:rPr>
            </w:pP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(49)</w:t>
            </w:r>
          </w:p>
        </w:tc>
        <w:tc>
          <w:tcPr>
            <w:tcW w:w="60" w:type="dxa"/>
            <w:vAlign w:val="bottom"/>
            <w:shd w:val="clear" w:color="auto" w:fill="CCCCCC"/>
          </w:tcPr>
          <w:p>
            <w:pPr>
              <w:spacing w:after="0"/>
              <w:rPr>
                <w:sz w:val="23"/>
                <w:szCs w:val="23"/>
                <w:color w:val="auto"/>
              </w:rPr>
            </w:pPr>
          </w:p>
        </w:tc>
        <w:tc>
          <w:tcPr>
            <w:tcW w:w="138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rPr>
              <w:t>1,385</w:t>
            </w:r>
          </w:p>
        </w:tc>
      </w:tr>
      <w:tr>
        <w:trPr>
          <w:trHeight w:val="280"/>
        </w:trPr>
        <w:tc>
          <w:tcPr>
            <w:tcW w:w="5300" w:type="dxa"/>
            <w:vAlign w:val="bottom"/>
          </w:tcPr>
          <w:p>
            <w:pPr>
              <w:jc w:val="right"/>
              <w:ind w:right="100"/>
              <w:spacing w:after="0"/>
              <w:rPr>
                <w:sz w:val="20"/>
                <w:szCs w:val="20"/>
                <w:color w:val="auto"/>
              </w:rPr>
            </w:pPr>
            <w:r>
              <w:rPr>
                <w:rFonts w:ascii="Arial" w:cs="Arial" w:eastAsia="Arial" w:hAnsi="Arial"/>
                <w:sz w:val="20"/>
                <w:szCs w:val="20"/>
                <w:color w:val="auto"/>
              </w:rPr>
              <w:t>Employee stock purchase plan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20"/>
                <w:szCs w:val="20"/>
                <w:color w:val="auto"/>
              </w:rPr>
              <w:t>6</w:t>
            </w: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6</w:t>
            </w:r>
          </w:p>
        </w:tc>
      </w:tr>
      <w:tr>
        <w:trPr>
          <w:trHeight w:val="280"/>
        </w:trPr>
        <w:tc>
          <w:tcPr>
            <w:tcW w:w="53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Vesting of restricted stock . . . . . . . . . . . . . . . . . . . . . . . .</w:t>
            </w:r>
          </w:p>
        </w:tc>
        <w:tc>
          <w:tcPr>
            <w:tcW w:w="1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1140" w:type="dxa"/>
            <w:vAlign w:val="bottom"/>
            <w:gridSpan w:val="3"/>
            <w:shd w:val="clear" w:color="auto" w:fill="CCCCCC"/>
          </w:tcPr>
          <w:p>
            <w:pPr>
              <w:jc w:val="right"/>
              <w:ind w:right="60"/>
              <w:spacing w:after="0"/>
              <w:rPr>
                <w:sz w:val="20"/>
                <w:szCs w:val="20"/>
                <w:color w:val="auto"/>
              </w:rPr>
            </w:pPr>
            <w:r>
              <w:rPr>
                <w:rFonts w:ascii="Arial" w:cs="Arial" w:eastAsia="Arial" w:hAnsi="Arial"/>
                <w:sz w:val="20"/>
                <w:szCs w:val="20"/>
                <w:color w:val="auto"/>
              </w:rPr>
              <w:t>2</w:t>
            </w:r>
          </w:p>
        </w:tc>
        <w:tc>
          <w:tcPr>
            <w:tcW w:w="138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rPr>
              <w:t>2</w:t>
            </w:r>
          </w:p>
        </w:tc>
      </w:tr>
      <w:tr>
        <w:trPr>
          <w:trHeight w:val="282"/>
        </w:trPr>
        <w:tc>
          <w:tcPr>
            <w:tcW w:w="5300" w:type="dxa"/>
            <w:vAlign w:val="bottom"/>
          </w:tcPr>
          <w:p>
            <w:pPr>
              <w:jc w:val="right"/>
              <w:ind w:right="100"/>
              <w:spacing w:after="0"/>
              <w:rPr>
                <w:sz w:val="20"/>
                <w:szCs w:val="20"/>
                <w:color w:val="auto"/>
              </w:rPr>
            </w:pPr>
            <w:r>
              <w:rPr>
                <w:rFonts w:ascii="Arial" w:cs="Arial" w:eastAsia="Arial" w:hAnsi="Arial"/>
                <w:sz w:val="20"/>
                <w:szCs w:val="20"/>
                <w:color w:val="auto"/>
              </w:rPr>
              <w:t>Stock repurchase program . . . .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(1)</w:t>
            </w:r>
          </w:p>
        </w:tc>
      </w:tr>
      <w:tr>
        <w:trPr>
          <w:trHeight w:val="68"/>
        </w:trPr>
        <w:tc>
          <w:tcPr>
            <w:tcW w:w="530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0"/>
        </w:trPr>
        <w:tc>
          <w:tcPr>
            <w:tcW w:w="53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w w:val="98"/>
              </w:rPr>
              <w:t>Balance, December 31, 2020 . . . . . . . . . . . . . . . . . . . . . . .</w:t>
            </w:r>
          </w:p>
        </w:tc>
        <w:tc>
          <w:tcPr>
            <w:tcW w:w="1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1,434</w:t>
            </w:r>
          </w:p>
        </w:tc>
        <w:tc>
          <w:tcPr>
            <w:tcW w:w="200" w:type="dxa"/>
            <w:vAlign w:val="bottom"/>
            <w:shd w:val="clear" w:color="auto" w:fill="CCCCCC"/>
          </w:tcPr>
          <w:p>
            <w:pPr>
              <w:spacing w:after="0"/>
              <w:rPr>
                <w:sz w:val="23"/>
                <w:szCs w:val="23"/>
                <w:color w:val="auto"/>
              </w:rPr>
            </w:pP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(42)</w:t>
            </w:r>
          </w:p>
        </w:tc>
        <w:tc>
          <w:tcPr>
            <w:tcW w:w="60" w:type="dxa"/>
            <w:vAlign w:val="bottom"/>
            <w:shd w:val="clear" w:color="auto" w:fill="CCCCCC"/>
          </w:tcPr>
          <w:p>
            <w:pPr>
              <w:spacing w:after="0"/>
              <w:rPr>
                <w:sz w:val="23"/>
                <w:szCs w:val="23"/>
                <w:color w:val="auto"/>
              </w:rPr>
            </w:pPr>
          </w:p>
        </w:tc>
        <w:tc>
          <w:tcPr>
            <w:tcW w:w="138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rPr>
              <w:t>1,392</w:t>
            </w:r>
          </w:p>
        </w:tc>
      </w:tr>
      <w:tr>
        <w:trPr>
          <w:trHeight w:val="280"/>
        </w:trPr>
        <w:tc>
          <w:tcPr>
            <w:tcW w:w="5300" w:type="dxa"/>
            <w:vAlign w:val="bottom"/>
          </w:tcPr>
          <w:p>
            <w:pPr>
              <w:jc w:val="right"/>
              <w:ind w:right="100"/>
              <w:spacing w:after="0"/>
              <w:rPr>
                <w:sz w:val="20"/>
                <w:szCs w:val="20"/>
                <w:color w:val="auto"/>
              </w:rPr>
            </w:pPr>
            <w:r>
              <w:rPr>
                <w:rFonts w:ascii="Arial" w:cs="Arial" w:eastAsia="Arial" w:hAnsi="Arial"/>
                <w:sz w:val="20"/>
                <w:szCs w:val="20"/>
                <w:color w:val="auto"/>
              </w:rPr>
              <w:t>Employee stock purchase plan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20"/>
                <w:szCs w:val="20"/>
                <w:color w:val="auto"/>
              </w:rPr>
              <w:t>7</w:t>
            </w: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7</w:t>
            </w:r>
          </w:p>
        </w:tc>
      </w:tr>
      <w:tr>
        <w:trPr>
          <w:trHeight w:val="280"/>
        </w:trPr>
        <w:tc>
          <w:tcPr>
            <w:tcW w:w="53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Vesting of restricted stock . . . . . . . . . . . . . . . . . . . . . . . .</w:t>
            </w:r>
          </w:p>
        </w:tc>
        <w:tc>
          <w:tcPr>
            <w:tcW w:w="1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1140" w:type="dxa"/>
            <w:vAlign w:val="bottom"/>
            <w:gridSpan w:val="3"/>
            <w:shd w:val="clear" w:color="auto" w:fill="CCCCCC"/>
          </w:tcPr>
          <w:p>
            <w:pPr>
              <w:jc w:val="right"/>
              <w:ind w:right="60"/>
              <w:spacing w:after="0"/>
              <w:rPr>
                <w:sz w:val="20"/>
                <w:szCs w:val="20"/>
                <w:color w:val="auto"/>
              </w:rPr>
            </w:pPr>
            <w:r>
              <w:rPr>
                <w:rFonts w:ascii="Arial" w:cs="Arial" w:eastAsia="Arial" w:hAnsi="Arial"/>
                <w:sz w:val="20"/>
                <w:szCs w:val="20"/>
                <w:color w:val="auto"/>
              </w:rPr>
              <w:t>4</w:t>
            </w:r>
          </w:p>
        </w:tc>
        <w:tc>
          <w:tcPr>
            <w:tcW w:w="138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rPr>
              <w:t>4</w:t>
            </w:r>
          </w:p>
        </w:tc>
      </w:tr>
      <w:tr>
        <w:trPr>
          <w:trHeight w:val="70"/>
        </w:trPr>
        <w:tc>
          <w:tcPr>
            <w:tcW w:w="530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gridSpan w:val="2"/>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70"/>
        </w:trPr>
        <w:tc>
          <w:tcPr>
            <w:tcW w:w="5300" w:type="dxa"/>
            <w:vAlign w:val="bottom"/>
          </w:tcPr>
          <w:p>
            <w:pPr>
              <w:jc w:val="right"/>
              <w:ind w:right="100"/>
              <w:spacing w:after="0"/>
              <w:rPr>
                <w:sz w:val="20"/>
                <w:szCs w:val="20"/>
                <w:color w:val="auto"/>
              </w:rPr>
            </w:pPr>
            <w:r>
              <w:rPr>
                <w:rFonts w:ascii="Arial" w:cs="Arial" w:eastAsia="Arial" w:hAnsi="Arial"/>
                <w:sz w:val="20"/>
                <w:szCs w:val="20"/>
                <w:color w:val="auto"/>
                <w:w w:val="98"/>
              </w:rPr>
              <w:t>Balance, December 31, 2021 . . . .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1,434</w:t>
            </w:r>
          </w:p>
        </w:tc>
        <w:tc>
          <w:tcPr>
            <w:tcW w:w="2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1,403</w:t>
            </w:r>
          </w:p>
        </w:tc>
      </w:tr>
      <w:tr>
        <w:trPr>
          <w:trHeight w:val="280"/>
        </w:trPr>
        <w:tc>
          <w:tcPr>
            <w:tcW w:w="53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Employee stock purchase plan  . . . . . . . . . . . . . . . . . . .</w:t>
            </w:r>
          </w:p>
        </w:tc>
        <w:tc>
          <w:tcPr>
            <w:tcW w:w="1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1140" w:type="dxa"/>
            <w:vAlign w:val="bottom"/>
            <w:gridSpan w:val="3"/>
            <w:shd w:val="clear" w:color="auto" w:fill="CCCCCC"/>
          </w:tcPr>
          <w:p>
            <w:pPr>
              <w:jc w:val="right"/>
              <w:ind w:right="60"/>
              <w:spacing w:after="0"/>
              <w:rPr>
                <w:sz w:val="20"/>
                <w:szCs w:val="20"/>
                <w:color w:val="auto"/>
              </w:rPr>
            </w:pPr>
            <w:r>
              <w:rPr>
                <w:rFonts w:ascii="Arial" w:cs="Arial" w:eastAsia="Arial" w:hAnsi="Arial"/>
                <w:sz w:val="20"/>
                <w:szCs w:val="20"/>
                <w:color w:val="auto"/>
              </w:rPr>
              <w:t>5</w:t>
            </w:r>
          </w:p>
        </w:tc>
        <w:tc>
          <w:tcPr>
            <w:tcW w:w="138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rPr>
              <w:t>5</w:t>
            </w:r>
          </w:p>
        </w:tc>
      </w:tr>
      <w:tr>
        <w:trPr>
          <w:trHeight w:val="280"/>
        </w:trPr>
        <w:tc>
          <w:tcPr>
            <w:tcW w:w="5300" w:type="dxa"/>
            <w:vAlign w:val="bottom"/>
          </w:tcPr>
          <w:p>
            <w:pPr>
              <w:jc w:val="right"/>
              <w:ind w:right="100"/>
              <w:spacing w:after="0"/>
              <w:rPr>
                <w:sz w:val="20"/>
                <w:szCs w:val="20"/>
                <w:color w:val="auto"/>
              </w:rPr>
            </w:pPr>
            <w:r>
              <w:rPr>
                <w:rFonts w:ascii="Arial" w:cs="Arial" w:eastAsia="Arial" w:hAnsi="Arial"/>
                <w:sz w:val="20"/>
                <w:szCs w:val="20"/>
                <w:color w:val="auto"/>
              </w:rPr>
              <w:t>Vesting of restricted stock . . . . .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20"/>
                <w:szCs w:val="20"/>
                <w:color w:val="auto"/>
              </w:rPr>
              <w:t>10</w:t>
            </w: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10</w:t>
            </w:r>
          </w:p>
        </w:tc>
      </w:tr>
      <w:tr>
        <w:trPr>
          <w:trHeight w:val="280"/>
        </w:trPr>
        <w:tc>
          <w:tcPr>
            <w:tcW w:w="5300" w:type="dxa"/>
            <w:vAlign w:val="bottom"/>
            <w:shd w:val="clear" w:color="auto" w:fill="CCCCCC"/>
          </w:tcPr>
          <w:p>
            <w:pPr>
              <w:jc w:val="right"/>
              <w:ind w:right="100"/>
              <w:spacing w:after="0"/>
              <w:rPr>
                <w:sz w:val="20"/>
                <w:szCs w:val="20"/>
                <w:color w:val="auto"/>
              </w:rPr>
            </w:pPr>
            <w:r>
              <w:rPr>
                <w:rFonts w:ascii="Arial" w:cs="Arial" w:eastAsia="Arial" w:hAnsi="Arial"/>
                <w:sz w:val="20"/>
                <w:szCs w:val="20"/>
                <w:color w:val="auto"/>
              </w:rPr>
              <w:t>Shares sold to optionees, less shares exchanged . . . .</w:t>
            </w:r>
          </w:p>
        </w:tc>
        <w:tc>
          <w:tcPr>
            <w:tcW w:w="11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1140" w:type="dxa"/>
            <w:vAlign w:val="bottom"/>
            <w:gridSpan w:val="3"/>
            <w:shd w:val="clear" w:color="auto" w:fill="CCCCCC"/>
          </w:tcPr>
          <w:p>
            <w:pPr>
              <w:jc w:val="right"/>
              <w:ind w:right="60"/>
              <w:spacing w:after="0"/>
              <w:rPr>
                <w:sz w:val="20"/>
                <w:szCs w:val="20"/>
                <w:color w:val="auto"/>
              </w:rPr>
            </w:pPr>
            <w:r>
              <w:rPr>
                <w:rFonts w:ascii="Arial" w:cs="Arial" w:eastAsia="Arial" w:hAnsi="Arial"/>
                <w:sz w:val="20"/>
                <w:szCs w:val="20"/>
                <w:color w:val="auto"/>
              </w:rPr>
              <w:t>2</w:t>
            </w:r>
          </w:p>
        </w:tc>
        <w:tc>
          <w:tcPr>
            <w:tcW w:w="1380" w:type="dxa"/>
            <w:vAlign w:val="bottom"/>
            <w:gridSpan w:val="3"/>
            <w:shd w:val="clear" w:color="auto" w:fill="CCCCCC"/>
          </w:tcPr>
          <w:p>
            <w:pPr>
              <w:jc w:val="right"/>
              <w:spacing w:after="0"/>
              <w:rPr>
                <w:sz w:val="20"/>
                <w:szCs w:val="20"/>
                <w:color w:val="auto"/>
              </w:rPr>
            </w:pPr>
            <w:r>
              <w:rPr>
                <w:rFonts w:ascii="Arial" w:cs="Arial" w:eastAsia="Arial" w:hAnsi="Arial"/>
                <w:sz w:val="20"/>
                <w:szCs w:val="20"/>
                <w:color w:val="auto"/>
              </w:rPr>
              <w:t>2</w:t>
            </w:r>
          </w:p>
        </w:tc>
      </w:tr>
      <w:tr>
        <w:trPr>
          <w:trHeight w:val="70"/>
        </w:trPr>
        <w:tc>
          <w:tcPr>
            <w:tcW w:w="530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gridSpan w:val="2"/>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72"/>
        </w:trPr>
        <w:tc>
          <w:tcPr>
            <w:tcW w:w="5300" w:type="dxa"/>
            <w:vAlign w:val="bottom"/>
          </w:tcPr>
          <w:p>
            <w:pPr>
              <w:jc w:val="right"/>
              <w:ind w:right="100"/>
              <w:spacing w:after="0"/>
              <w:rPr>
                <w:sz w:val="20"/>
                <w:szCs w:val="20"/>
                <w:color w:val="auto"/>
              </w:rPr>
            </w:pPr>
            <w:r>
              <w:rPr>
                <w:rFonts w:ascii="Arial" w:cs="Arial" w:eastAsia="Arial" w:hAnsi="Arial"/>
                <w:sz w:val="20"/>
                <w:szCs w:val="20"/>
                <w:color w:val="auto"/>
                <w:w w:val="98"/>
              </w:rPr>
              <w:t>Balance, December 31, 2022 . . . . . . . . . . . . . . . . . . . . . . .</w:t>
            </w:r>
          </w:p>
        </w:tc>
        <w:tc>
          <w:tcPr>
            <w:tcW w:w="1100" w:type="dxa"/>
            <w:vAlign w:val="bottom"/>
          </w:tcPr>
          <w:p>
            <w:pPr>
              <w:jc w:val="right"/>
              <w:spacing w:after="0"/>
              <w:rPr>
                <w:sz w:val="20"/>
                <w:szCs w:val="20"/>
                <w:color w:val="auto"/>
              </w:rPr>
            </w:pPr>
            <w:r>
              <w:rPr>
                <w:rFonts w:ascii="Arial" w:cs="Arial" w:eastAsia="Arial" w:hAnsi="Arial"/>
                <w:sz w:val="20"/>
                <w:szCs w:val="20"/>
                <w:color w:val="auto"/>
              </w:rPr>
              <w:t>1,434</w:t>
            </w:r>
          </w:p>
        </w:tc>
        <w:tc>
          <w:tcPr>
            <w:tcW w:w="2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1,420</w:t>
            </w:r>
          </w:p>
        </w:tc>
      </w:tr>
      <w:tr>
        <w:trPr>
          <w:trHeight w:val="28"/>
        </w:trPr>
        <w:tc>
          <w:tcPr>
            <w:tcW w:w="5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See the Notes to Consolidated Financial Statements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9360"/>
          </w:cols>
          <w:pgMar w:left="1440" w:top="1440" w:right="1440" w:bottom="836" w:gutter="0" w:footer="0" w:header="0"/>
          <w:type w:val="continuous"/>
        </w:sectPr>
      </w:pPr>
    </w:p>
    <w:bookmarkStart w:id="67" w:name="page68"/>
    <w:bookmarkEnd w:id="67"/>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Notes to Consolidated Financial Statements</w:t>
      </w:r>
    </w:p>
    <w:p>
      <w:pPr>
        <w:spacing w:after="0" w:line="210" w:lineRule="exact"/>
        <w:rPr>
          <w:sz w:val="20"/>
          <w:szCs w:val="20"/>
          <w:color w:val="auto"/>
        </w:rPr>
      </w:pPr>
    </w:p>
    <w:p>
      <w:pPr>
        <w:ind w:left="360" w:hanging="240"/>
        <w:spacing w:after="0"/>
        <w:tabs>
          <w:tab w:leader="none" w:pos="36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Business Description</w:t>
      </w:r>
    </w:p>
    <w:p>
      <w:pPr>
        <w:spacing w:after="0" w:line="11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Schlumberger Limited (Schlumberger N.V., incorporated in Curaçao) and its consolidated subsidiaries (collectively, “SLB”) form a global technology company that drives energy innovation for a balanced planet. With a global footprint in more than 100 countries and employees representing almost twice as many nationalities, SLB works each day on innovating oil and gas, delivering digital at scale, decarbonizing industries, and developing and scaling new energy systems that accelerate the energy transition.</w:t>
      </w:r>
    </w:p>
    <w:p>
      <w:pPr>
        <w:spacing w:after="0" w:line="307" w:lineRule="exact"/>
        <w:rPr>
          <w:sz w:val="20"/>
          <w:szCs w:val="20"/>
          <w:color w:val="auto"/>
        </w:rPr>
      </w:pPr>
    </w:p>
    <w:p>
      <w:pPr>
        <w:ind w:left="360" w:hanging="240"/>
        <w:spacing w:after="0"/>
        <w:tabs>
          <w:tab w:leader="none" w:pos="36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Summary of Accounting Policies</w:t>
      </w:r>
    </w:p>
    <w:p>
      <w:pPr>
        <w:spacing w:after="0" w:line="113"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 xml:space="preserve"> of SLB have been prepared in accordance with accounting principles generally accepted in the United States of America.</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16"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SLB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exploration data; contingencies and actuarial assumptions for employee benefit plans. SLB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1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recognizes revenue upon the transfer of control of promised products or services to customers at an amount that reflects the consideration it expects to receive in exchange for these products or services. The vast majority of SLB’s services and product offerings are short-term in nature. The time between invoicing and when payment is due under these arrangements is generally between 30 to 60 days.</w:t>
      </w:r>
    </w:p>
    <w:p>
      <w:pPr>
        <w:spacing w:after="0" w:line="20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21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Due to the nature of its businesses, SLB does not have significant backlog. Total backlog was $3.0 billion at December 31, 2022, of which approximately 60% is expected to be recognized as revenue during 2023.</w:t>
      </w:r>
    </w:p>
    <w:p>
      <w:pPr>
        <w:sectPr>
          <w:pgSz w:w="12240" w:h="15840" w:orient="portrait"/>
          <w:cols w:equalWidth="0" w:num="1">
            <w:col w:w="9360"/>
          </w:cols>
          <w:pgMar w:left="1440" w:top="1440" w:right="1440" w:bottom="836"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9360"/>
          </w:cols>
          <w:pgMar w:left="1440" w:top="1440" w:right="1440" w:bottom="836" w:gutter="0" w:footer="0" w:header="0"/>
          <w:type w:val="continuous"/>
        </w:sectPr>
      </w:pPr>
    </w:p>
    <w:bookmarkStart w:id="68" w:name="page69"/>
    <w:bookmarkEnd w:id="68"/>
    <w:p>
      <w:pPr>
        <w:spacing w:after="0" w:line="5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Short-term Investments</w:t>
      </w:r>
    </w:p>
    <w:p>
      <w:pPr>
        <w:spacing w:after="0" w:line="11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i w:val="1"/>
          <w:iCs w:val="1"/>
          <w:color w:val="auto"/>
        </w:rPr>
        <w:t xml:space="preserve">Short-term investments </w:t>
      </w:r>
      <w:r>
        <w:rPr>
          <w:rFonts w:ascii="Arial" w:cs="Arial" w:eastAsia="Arial" w:hAnsi="Arial"/>
          <w:sz w:val="20"/>
          <w:szCs w:val="20"/>
          <w:color w:val="auto"/>
        </w:rPr>
        <w:t>are comprised primarily of money market funds, time deposits, certificates of</w:t>
      </w:r>
      <w:r>
        <w:rPr>
          <w:rFonts w:ascii="Arial" w:cs="Arial" w:eastAsia="Arial" w:hAnsi="Arial"/>
          <w:sz w:val="20"/>
          <w:szCs w:val="20"/>
          <w:i w:val="1"/>
          <w:iCs w:val="1"/>
          <w:color w:val="auto"/>
        </w:rPr>
        <w:t xml:space="preserve"> </w:t>
      </w:r>
      <w:r>
        <w:rPr>
          <w:rFonts w:ascii="Arial" w:cs="Arial" w:eastAsia="Arial" w:hAnsi="Arial"/>
          <w:sz w:val="20"/>
          <w:szCs w:val="20"/>
          <w:color w:val="auto"/>
        </w:rPr>
        <w:t>deposit, commercial paper, bonds, and notes, substantially all of which are denominated in US dollars and are stated at cost plus accrued interest, which approximates fair value.</w:t>
      </w:r>
    </w:p>
    <w:p>
      <w:pPr>
        <w:spacing w:after="0" w:line="215"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 xml:space="preserve">For purposes of the </w:t>
      </w:r>
      <w:r>
        <w:rPr>
          <w:rFonts w:ascii="Arial" w:cs="Arial" w:eastAsia="Arial" w:hAnsi="Arial"/>
          <w:sz w:val="20"/>
          <w:szCs w:val="20"/>
          <w:i w:val="1"/>
          <w:iCs w:val="1"/>
          <w:color w:val="auto"/>
        </w:rPr>
        <w:t>Consolidated Statement of Cash Flows</w:t>
      </w:r>
      <w:r>
        <w:rPr>
          <w:rFonts w:ascii="Arial" w:cs="Arial" w:eastAsia="Arial" w:hAnsi="Arial"/>
          <w:sz w:val="20"/>
          <w:szCs w:val="20"/>
          <w:color w:val="auto"/>
        </w:rPr>
        <w:t xml:space="preserve">, SLB does not consider </w:t>
      </w:r>
      <w:r>
        <w:rPr>
          <w:rFonts w:ascii="Arial" w:cs="Arial" w:eastAsia="Arial" w:hAnsi="Arial"/>
          <w:sz w:val="20"/>
          <w:szCs w:val="20"/>
          <w:i w:val="1"/>
          <w:iCs w:val="1"/>
          <w:color w:val="auto"/>
        </w:rPr>
        <w:t>Short-term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investments </w:t>
      </w:r>
      <w:r>
        <w:rPr>
          <w:rFonts w:ascii="Arial" w:cs="Arial" w:eastAsia="Arial" w:hAnsi="Arial"/>
          <w:sz w:val="20"/>
          <w:szCs w:val="20"/>
          <w:color w:val="auto"/>
        </w:rPr>
        <w:t>to be cash equivalents.</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Investments in Affiliated Companies</w:t>
      </w:r>
    </w:p>
    <w:p>
      <w:pPr>
        <w:spacing w:after="0" w:line="11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Investments in companies in which SLB does not have a controlling financial interest, but over which it has significant influence, are accounted for using the equity method. SLB’s share of the after-tax earnings of equity method investees is included in </w:t>
      </w:r>
      <w:r>
        <w:rPr>
          <w:rFonts w:ascii="Arial" w:cs="Arial" w:eastAsia="Arial" w:hAnsi="Arial"/>
          <w:sz w:val="20"/>
          <w:szCs w:val="20"/>
          <w:i w:val="1"/>
          <w:iCs w:val="1"/>
          <w:color w:val="auto"/>
        </w:rPr>
        <w:t>Interest &amp; other income</w:t>
      </w:r>
      <w:r>
        <w:rPr>
          <w:rFonts w:ascii="Arial" w:cs="Arial" w:eastAsia="Arial" w:hAnsi="Arial"/>
          <w:sz w:val="20"/>
          <w:szCs w:val="20"/>
          <w:color w:val="auto"/>
        </w:rPr>
        <w:t xml:space="preserve">. Investments in privately held companies in which SLB does not have the ability to exercise significant influence are accounted for using the cost method. Investments in publicly traded companies in which SLB does not have the ability to exercise significant influence are reported at fair value, with unrealized gains and losses reported as a component of </w:t>
      </w:r>
      <w:r>
        <w:rPr>
          <w:rFonts w:ascii="Arial" w:cs="Arial" w:eastAsia="Arial" w:hAnsi="Arial"/>
          <w:sz w:val="20"/>
          <w:szCs w:val="20"/>
          <w:i w:val="1"/>
          <w:iCs w:val="1"/>
          <w:color w:val="auto"/>
        </w:rPr>
        <w:t>Interest &amp; other income</w:t>
      </w:r>
      <w:r>
        <w:rPr>
          <w:rFonts w:ascii="Arial" w:cs="Arial" w:eastAsia="Arial" w:hAnsi="Arial"/>
          <w:sz w:val="20"/>
          <w:szCs w:val="20"/>
          <w:color w:val="auto"/>
        </w:rPr>
        <w:t>.</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Exploration Data</w:t>
      </w:r>
    </w:p>
    <w:p>
      <w:pPr>
        <w:spacing w:after="0" w:line="11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SLB’s exploration data library consists of completed and in-process seismic surveys that are licensed on a nonexclusive basis. SLB capitalizes costs directly incurred in acquiring and processing the exploration data. Such costs are charged to </w:t>
      </w:r>
      <w:r>
        <w:rPr>
          <w:rFonts w:ascii="Arial" w:cs="Arial" w:eastAsia="Arial" w:hAnsi="Arial"/>
          <w:sz w:val="20"/>
          <w:szCs w:val="20"/>
          <w:i w:val="1"/>
          <w:iCs w:val="1"/>
          <w:color w:val="auto"/>
        </w:rPr>
        <w:t>Cost of services</w:t>
      </w:r>
      <w:r>
        <w:rPr>
          <w:rFonts w:ascii="Arial" w:cs="Arial" w:eastAsia="Arial" w:hAnsi="Arial"/>
          <w:sz w:val="20"/>
          <w:szCs w:val="20"/>
          <w:color w:val="auto"/>
        </w:rPr>
        <w:t xml:space="preserve"> based on the percentage of the total costs to the estimated total revenue that SLB expects to receive from the sales of such data. However, an individual survey generally will not carry a net book value greater than a 4-year, straight-line amortized value.</w:t>
      </w:r>
    </w:p>
    <w:p>
      <w:pPr>
        <w:spacing w:after="0" w:line="21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carrying value of the exploration data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SLB, would not be sufficient to recover the carrying value of the surveys. Significant adverse changes in SLB’s estimated future cash flows could result in impairment charges in a future period.</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Asset Performance Solutions</w:t>
      </w:r>
    </w:p>
    <w:p>
      <w:pPr>
        <w:spacing w:after="0" w:line="11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Asset Performance Solutions (“APS”) projects are generally focused on developing and co-managing production of customers’ assets under long-term agreements. SLB invests its own services and products into the field development activities and operations and is compensated on a fee-per-barrel basis or based on cash flow generated. This includes certain arrangements whereby SLB is only compensated based on incremental production that it helps deliver above a mutually agreed baseline.</w:t>
      </w:r>
    </w:p>
    <w:p>
      <w:pPr>
        <w:spacing w:after="0" w:line="220"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SLB capitalizes its investments in a project including the direct costs associated with providing its services or products. These capitalized investments are amortized to the </w:t>
      </w:r>
      <w:r>
        <w:rPr>
          <w:rFonts w:ascii="Arial" w:cs="Arial" w:eastAsia="Arial" w:hAnsi="Arial"/>
          <w:sz w:val="20"/>
          <w:szCs w:val="20"/>
          <w:i w:val="1"/>
          <w:iCs w:val="1"/>
          <w:color w:val="auto"/>
        </w:rPr>
        <w:t>Consolidated Statement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Income (Loss) </w:t>
      </w:r>
      <w:r>
        <w:rPr>
          <w:rFonts w:ascii="Arial" w:cs="Arial" w:eastAsia="Arial" w:hAnsi="Arial"/>
          <w:sz w:val="20"/>
          <w:szCs w:val="20"/>
          <w:color w:val="auto"/>
        </w:rPr>
        <w:t>as the related production is achieved based on the units of production method, whereby</w:t>
      </w:r>
      <w:r>
        <w:rPr>
          <w:rFonts w:ascii="Arial" w:cs="Arial" w:eastAsia="Arial" w:hAnsi="Arial"/>
          <w:sz w:val="20"/>
          <w:szCs w:val="20"/>
          <w:i w:val="1"/>
          <w:iCs w:val="1"/>
          <w:color w:val="auto"/>
        </w:rPr>
        <w:t xml:space="preserve"> </w:t>
      </w:r>
      <w:r>
        <w:rPr>
          <w:rFonts w:ascii="Arial" w:cs="Arial" w:eastAsia="Arial" w:hAnsi="Arial"/>
          <w:sz w:val="20"/>
          <w:szCs w:val="20"/>
          <w:color w:val="auto"/>
        </w:rPr>
        <w:t>each unit produced is assigned a pro-rata portion of the unamortized costs based on estimated total production, resulting in a matching of revenue with the applicable costs.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19"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SLB’s assets that are exposed to concentrations of credit risk consist primarily of cash, short-term investments, receivables from clients and derivative financial instruments. SLB places its cash and short-term investments with financial institutions and corporations and limits the amount of credit</w:t>
      </w:r>
    </w:p>
    <w:p>
      <w:pPr>
        <w:sectPr>
          <w:pgSz w:w="12240" w:h="15840" w:orient="portrait"/>
          <w:cols w:equalWidth="0" w:num="1">
            <w:col w:w="9360"/>
          </w:cols>
          <w:pgMar w:left="1440" w:top="1440" w:right="1440" w:bottom="836"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9360"/>
          </w:cols>
          <w:pgMar w:left="1440" w:top="1440" w:right="1440" w:bottom="836" w:gutter="0" w:footer="0" w:header="0"/>
          <w:type w:val="continuous"/>
        </w:sectPr>
      </w:pPr>
    </w:p>
    <w:bookmarkStart w:id="69" w:name="page70"/>
    <w:bookmarkEnd w:id="69"/>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exposure with any one of them. SLB regularly evaluates the creditworthiness of the issuers in which it invests. By using derivative financial instruments to hedge certain exposures, SLB exposes itself to some credit risk. SLB minimizes this credit risk by entering into transactions with high-quality counterparties, limiting the exposure to each counterparty and monitoring the financial condition of its counterparties.</w:t>
      </w:r>
    </w:p>
    <w:p>
      <w:pPr>
        <w:spacing w:after="0" w:line="24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As a large multinational company, SLB’s accounts receivable are spread over many countries and customers. The United States and Mexico represented 13% and 14%, respectively, of SLB’s net accounts receivable balance at December 31, 2022. No other countries accounted for greater than 10% of SLB’s accounts receivable balance. SLB maintains an allowance for uncollectible accounts receivable based on expected collectability and performs ongoing credit evaluations of its customers’ financial condition. If the financial condition of SLB’s customers were to deteriorate resulting in an impairment of their ability to make payments, adjustments to the allowance may be required.</w:t>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Earnings per Share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is a reconciliation from basic to diluted earnings (loss) per share of SLB:</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7"/>
          </w:tcPr>
          <w:p>
            <w:pPr>
              <w:jc w:val="right"/>
              <w:ind w:right="60"/>
              <w:spacing w:after="0"/>
              <w:rPr>
                <w:sz w:val="20"/>
                <w:szCs w:val="20"/>
                <w:color w:val="auto"/>
              </w:rPr>
            </w:pPr>
            <w:r>
              <w:rPr>
                <w:rFonts w:ascii="Arial" w:cs="Arial" w:eastAsia="Arial" w:hAnsi="Arial"/>
                <w:sz w:val="16"/>
                <w:szCs w:val="16"/>
                <w:i w:val="1"/>
                <w:iCs w:val="1"/>
                <w:color w:val="auto"/>
              </w:rPr>
              <w:t>(Stated in millions, except per share amounts)</w:t>
            </w:r>
          </w:p>
        </w:tc>
      </w:tr>
      <w:tr>
        <w:trPr>
          <w:trHeight w:val="403"/>
        </w:trPr>
        <w:tc>
          <w:tcPr>
            <w:tcW w:w="504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Net Income</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80"/>
              <w:spacing w:after="0" w:line="180" w:lineRule="exact"/>
              <w:rPr>
                <w:sz w:val="20"/>
                <w:szCs w:val="20"/>
                <w:color w:val="auto"/>
              </w:rPr>
            </w:pPr>
            <w:r>
              <w:rPr>
                <w:rFonts w:ascii="Arial" w:cs="Arial" w:eastAsia="Arial" w:hAnsi="Arial"/>
                <w:sz w:val="18"/>
                <w:szCs w:val="18"/>
                <w:color w:val="auto"/>
                <w:w w:val="99"/>
              </w:rPr>
              <w:t>(Loss)</w:t>
            </w:r>
          </w:p>
        </w:tc>
        <w:tc>
          <w:tcPr>
            <w:tcW w:w="1300" w:type="dxa"/>
            <w:vAlign w:val="bottom"/>
            <w:gridSpan w:val="2"/>
          </w:tcPr>
          <w:p>
            <w:pPr>
              <w:jc w:val="center"/>
              <w:ind w:right="160"/>
              <w:spacing w:after="0" w:line="180" w:lineRule="exact"/>
              <w:rPr>
                <w:sz w:val="20"/>
                <w:szCs w:val="20"/>
                <w:color w:val="auto"/>
              </w:rPr>
            </w:pPr>
            <w:r>
              <w:rPr>
                <w:rFonts w:ascii="Arial" w:cs="Arial" w:eastAsia="Arial" w:hAnsi="Arial"/>
                <w:sz w:val="18"/>
                <w:szCs w:val="18"/>
                <w:color w:val="auto"/>
                <w:w w:val="98"/>
              </w:rPr>
              <w:t>Average</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5040" w:type="dxa"/>
            <w:vAlign w:val="bottom"/>
          </w:tcPr>
          <w:p>
            <w:pPr>
              <w:spacing w:after="0"/>
              <w:rPr>
                <w:sz w:val="15"/>
                <w:szCs w:val="15"/>
                <w:color w:val="auto"/>
              </w:rPr>
            </w:pPr>
          </w:p>
        </w:tc>
        <w:tc>
          <w:tcPr>
            <w:tcW w:w="1280" w:type="dxa"/>
            <w:vAlign w:val="bottom"/>
            <w:gridSpan w:val="3"/>
          </w:tcPr>
          <w:p>
            <w:pPr>
              <w:spacing w:after="0" w:line="180" w:lineRule="exact"/>
              <w:rPr>
                <w:sz w:val="20"/>
                <w:szCs w:val="20"/>
                <w:color w:val="auto"/>
              </w:rPr>
            </w:pPr>
            <w:r>
              <w:rPr>
                <w:rFonts w:ascii="Arial" w:cs="Arial" w:eastAsia="Arial" w:hAnsi="Arial"/>
                <w:sz w:val="18"/>
                <w:szCs w:val="18"/>
                <w:color w:val="auto"/>
              </w:rPr>
              <w:t>Attributable to</w:t>
            </w:r>
          </w:p>
        </w:tc>
        <w:tc>
          <w:tcPr>
            <w:tcW w:w="1300" w:type="dxa"/>
            <w:vAlign w:val="bottom"/>
            <w:gridSpan w:val="2"/>
          </w:tcPr>
          <w:p>
            <w:pPr>
              <w:jc w:val="center"/>
              <w:ind w:right="160"/>
              <w:spacing w:after="0" w:line="180" w:lineRule="exact"/>
              <w:rPr>
                <w:sz w:val="20"/>
                <w:szCs w:val="20"/>
                <w:color w:val="auto"/>
              </w:rPr>
            </w:pPr>
            <w:r>
              <w:rPr>
                <w:rFonts w:ascii="Arial" w:cs="Arial" w:eastAsia="Arial" w:hAnsi="Arial"/>
                <w:sz w:val="18"/>
                <w:szCs w:val="18"/>
                <w:color w:val="auto"/>
              </w:rPr>
              <w:t>Shares</w:t>
            </w:r>
          </w:p>
        </w:tc>
        <w:tc>
          <w:tcPr>
            <w:tcW w:w="1500" w:type="dxa"/>
            <w:vAlign w:val="bottom"/>
            <w:gridSpan w:val="3"/>
          </w:tcPr>
          <w:p>
            <w:pPr>
              <w:jc w:val="right"/>
              <w:ind w:right="140"/>
              <w:spacing w:after="0" w:line="180" w:lineRule="exact"/>
              <w:rPr>
                <w:sz w:val="20"/>
                <w:szCs w:val="20"/>
                <w:color w:val="auto"/>
              </w:rPr>
            </w:pPr>
            <w:r>
              <w:rPr>
                <w:rFonts w:ascii="Arial" w:cs="Arial" w:eastAsia="Arial" w:hAnsi="Arial"/>
                <w:sz w:val="18"/>
                <w:szCs w:val="18"/>
                <w:color w:val="auto"/>
              </w:rPr>
              <w:t>Earnings (Loss)</w:t>
            </w:r>
          </w:p>
        </w:tc>
      </w:tr>
      <w:tr>
        <w:trPr>
          <w:trHeight w:val="201"/>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9"/>
              </w:rPr>
              <w:t>SLB</w:t>
            </w:r>
          </w:p>
        </w:tc>
        <w:tc>
          <w:tcPr>
            <w:tcW w:w="13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7"/>
                <w:szCs w:val="17"/>
                <w:color w:val="auto"/>
              </w:rPr>
            </w:pPr>
          </w:p>
        </w:tc>
        <w:tc>
          <w:tcPr>
            <w:tcW w:w="128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per Share</w:t>
            </w:r>
          </w:p>
        </w:tc>
      </w:tr>
      <w:tr>
        <w:trPr>
          <w:trHeight w:val="34"/>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0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2022:</w:t>
            </w:r>
          </w:p>
        </w:tc>
        <w:tc>
          <w:tcPr>
            <w:tcW w:w="200" w:type="dxa"/>
            <w:vAlign w:val="bottom"/>
            <w:shd w:val="clear" w:color="auto" w:fill="CCCCCC"/>
          </w:tcPr>
          <w:p>
            <w:pPr>
              <w:spacing w:after="0"/>
              <w:rPr>
                <w:sz w:val="21"/>
                <w:szCs w:val="21"/>
                <w:color w:val="auto"/>
              </w:rPr>
            </w:pPr>
          </w:p>
        </w:tc>
        <w:tc>
          <w:tcPr>
            <w:tcW w:w="920" w:type="dxa"/>
            <w:vAlign w:val="bottom"/>
            <w:shd w:val="clear" w:color="auto" w:fill="CCCCCC"/>
          </w:tcPr>
          <w:p>
            <w:pPr>
              <w:spacing w:after="0"/>
              <w:rPr>
                <w:sz w:val="21"/>
                <w:szCs w:val="21"/>
                <w:color w:val="auto"/>
              </w:rPr>
            </w:pPr>
          </w:p>
        </w:tc>
        <w:tc>
          <w:tcPr>
            <w:tcW w:w="160" w:type="dxa"/>
            <w:vAlign w:val="bottom"/>
            <w:shd w:val="clear" w:color="auto" w:fill="CCCCCC"/>
          </w:tcPr>
          <w:p>
            <w:pPr>
              <w:spacing w:after="0"/>
              <w:rPr>
                <w:sz w:val="21"/>
                <w:szCs w:val="21"/>
                <w:color w:val="auto"/>
              </w:rPr>
            </w:pPr>
          </w:p>
        </w:tc>
        <w:tc>
          <w:tcPr>
            <w:tcW w:w="1140" w:type="dxa"/>
            <w:vAlign w:val="bottom"/>
            <w:shd w:val="clear" w:color="auto" w:fill="CCCCCC"/>
          </w:tcPr>
          <w:p>
            <w:pPr>
              <w:spacing w:after="0"/>
              <w:rPr>
                <w:sz w:val="21"/>
                <w:szCs w:val="21"/>
                <w:color w:val="auto"/>
              </w:rPr>
            </w:pPr>
          </w:p>
        </w:tc>
        <w:tc>
          <w:tcPr>
            <w:tcW w:w="1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r>
      <w:tr>
        <w:trPr>
          <w:trHeight w:val="256"/>
        </w:trPr>
        <w:tc>
          <w:tcPr>
            <w:tcW w:w="5040" w:type="dxa"/>
            <w:vAlign w:val="bottom"/>
          </w:tcPr>
          <w:p>
            <w:pPr>
              <w:spacing w:after="0"/>
              <w:rPr>
                <w:sz w:val="20"/>
                <w:szCs w:val="20"/>
                <w:color w:val="auto"/>
              </w:rPr>
            </w:pPr>
            <w:r>
              <w:rPr>
                <w:rFonts w:ascii="Arial" w:cs="Arial" w:eastAsia="Arial" w:hAnsi="Arial"/>
                <w:sz w:val="18"/>
                <w:szCs w:val="18"/>
                <w:b w:val="1"/>
                <w:bCs w:val="1"/>
                <w:color w:val="auto"/>
                <w:w w:val="98"/>
              </w:rPr>
              <w:t xml:space="preserve">Basic </w:t>
            </w:r>
            <w:r>
              <w:rPr>
                <w:rFonts w:ascii="Arial" w:cs="Arial" w:eastAsia="Arial" w:hAnsi="Arial"/>
                <w:sz w:val="18"/>
                <w:szCs w:val="18"/>
                <w:color w:val="auto"/>
                <w:w w:val="98"/>
              </w:rPr>
              <w:t>.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1,416</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2.43</w:t>
            </w:r>
          </w:p>
        </w:tc>
      </w:tr>
      <w:tr>
        <w:trPr>
          <w:trHeight w:val="34"/>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 xml:space="preserve">Dilutive impact of stock options and restricted stock </w:t>
            </w:r>
            <w:r>
              <w:rPr>
                <w:rFonts w:ascii="Arial" w:cs="Arial" w:eastAsia="Arial" w:hAnsi="Arial"/>
                <w:sz w:val="18"/>
                <w:szCs w:val="18"/>
                <w:color w:val="auto"/>
              </w:rPr>
              <w:t>. . . .</w:t>
            </w:r>
          </w:p>
        </w:tc>
        <w:tc>
          <w:tcPr>
            <w:tcW w:w="200" w:type="dxa"/>
            <w:vAlign w:val="bottom"/>
            <w:shd w:val="clear" w:color="auto" w:fill="CCCCCC"/>
          </w:tcPr>
          <w:p>
            <w:pPr>
              <w:spacing w:after="0"/>
              <w:rPr>
                <w:sz w:val="21"/>
                <w:szCs w:val="21"/>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CCCC"/>
          </w:tcPr>
          <w:p>
            <w:pPr>
              <w:spacing w:after="0"/>
              <w:rPr>
                <w:sz w:val="21"/>
                <w:szCs w:val="21"/>
                <w:color w:val="auto"/>
              </w:rPr>
            </w:pPr>
          </w:p>
        </w:tc>
        <w:tc>
          <w:tcPr>
            <w:tcW w:w="130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r>
      <w:tr>
        <w:trPr>
          <w:trHeight w:val="70"/>
        </w:trPr>
        <w:tc>
          <w:tcPr>
            <w:tcW w:w="50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r>
      <w:tr>
        <w:trPr>
          <w:trHeight w:val="246"/>
        </w:trPr>
        <w:tc>
          <w:tcPr>
            <w:tcW w:w="5040" w:type="dxa"/>
            <w:vAlign w:val="bottom"/>
          </w:tcPr>
          <w:p>
            <w:pPr>
              <w:spacing w:after="0"/>
              <w:rPr>
                <w:sz w:val="20"/>
                <w:szCs w:val="20"/>
                <w:color w:val="auto"/>
              </w:rPr>
            </w:pPr>
            <w:r>
              <w:rPr>
                <w:rFonts w:ascii="Arial" w:cs="Arial" w:eastAsia="Arial" w:hAnsi="Arial"/>
                <w:sz w:val="18"/>
                <w:szCs w:val="18"/>
                <w:b w:val="1"/>
                <w:bCs w:val="1"/>
                <w:color w:val="auto"/>
                <w:w w:val="99"/>
              </w:rPr>
              <w:t xml:space="preserve">Diluted  </w:t>
            </w:r>
            <w:r>
              <w:rPr>
                <w:rFonts w:ascii="Arial" w:cs="Arial" w:eastAsia="Arial" w:hAnsi="Arial"/>
                <w:sz w:val="18"/>
                <w:szCs w:val="18"/>
                <w:color w:val="auto"/>
                <w:w w:val="99"/>
              </w:rPr>
              <w:t>.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1,437</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2.39</w:t>
            </w:r>
          </w:p>
        </w:tc>
      </w:tr>
      <w:tr>
        <w:trPr>
          <w:trHeight w:val="34"/>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CCC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CCCC"/>
          </w:tcPr>
          <w:p>
            <w:pPr>
              <w:spacing w:after="0"/>
              <w:rPr>
                <w:sz w:val="21"/>
                <w:szCs w:val="21"/>
                <w:color w:val="auto"/>
              </w:rPr>
            </w:pPr>
          </w:p>
        </w:tc>
        <w:tc>
          <w:tcPr>
            <w:tcW w:w="920" w:type="dxa"/>
            <w:vAlign w:val="bottom"/>
            <w:shd w:val="clear" w:color="auto" w:fill="CCCCCC"/>
          </w:tcPr>
          <w:p>
            <w:pPr>
              <w:spacing w:after="0"/>
              <w:rPr>
                <w:sz w:val="21"/>
                <w:szCs w:val="21"/>
                <w:color w:val="auto"/>
              </w:rPr>
            </w:pPr>
          </w:p>
        </w:tc>
        <w:tc>
          <w:tcPr>
            <w:tcW w:w="160" w:type="dxa"/>
            <w:vAlign w:val="bottom"/>
            <w:shd w:val="clear" w:color="auto" w:fill="CCCCCC"/>
          </w:tcPr>
          <w:p>
            <w:pPr>
              <w:spacing w:after="0"/>
              <w:rPr>
                <w:sz w:val="21"/>
                <w:szCs w:val="21"/>
                <w:color w:val="auto"/>
              </w:rPr>
            </w:pPr>
          </w:p>
        </w:tc>
        <w:tc>
          <w:tcPr>
            <w:tcW w:w="1140" w:type="dxa"/>
            <w:vAlign w:val="bottom"/>
            <w:shd w:val="clear" w:color="auto" w:fill="CCCCCC"/>
          </w:tcPr>
          <w:p>
            <w:pPr>
              <w:spacing w:after="0"/>
              <w:rPr>
                <w:sz w:val="21"/>
                <w:szCs w:val="21"/>
                <w:color w:val="auto"/>
              </w:rPr>
            </w:pPr>
          </w:p>
        </w:tc>
        <w:tc>
          <w:tcPr>
            <w:tcW w:w="1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r>
      <w:tr>
        <w:trPr>
          <w:trHeight w:val="256"/>
        </w:trPr>
        <w:tc>
          <w:tcPr>
            <w:tcW w:w="5040" w:type="dxa"/>
            <w:vAlign w:val="bottom"/>
          </w:tcPr>
          <w:p>
            <w:pPr>
              <w:spacing w:after="0"/>
              <w:rPr>
                <w:sz w:val="20"/>
                <w:szCs w:val="20"/>
                <w:color w:val="auto"/>
              </w:rPr>
            </w:pPr>
            <w:r>
              <w:rPr>
                <w:rFonts w:ascii="Arial" w:cs="Arial" w:eastAsia="Arial" w:hAnsi="Arial"/>
                <w:sz w:val="18"/>
                <w:szCs w:val="18"/>
                <w:color w:val="auto"/>
                <w:w w:val="99"/>
              </w:rPr>
              <w:t>Basic .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r>
      <w:tr>
        <w:trPr>
          <w:trHeight w:val="34"/>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CCCC"/>
          </w:tcPr>
          <w:p>
            <w:pPr>
              <w:spacing w:after="0"/>
              <w:rPr>
                <w:sz w:val="20"/>
                <w:szCs w:val="20"/>
                <w:color w:val="auto"/>
              </w:rPr>
            </w:pPr>
            <w:r>
              <w:rPr>
                <w:rFonts w:ascii="Arial" w:cs="Arial" w:eastAsia="Arial" w:hAnsi="Arial"/>
                <w:sz w:val="18"/>
                <w:szCs w:val="18"/>
                <w:color w:val="auto"/>
              </w:rPr>
              <w:t>Dilutive impact of stock options and restricted stock . . . . . . . .</w:t>
            </w:r>
          </w:p>
        </w:tc>
        <w:tc>
          <w:tcPr>
            <w:tcW w:w="200" w:type="dxa"/>
            <w:vAlign w:val="bottom"/>
            <w:shd w:val="clear" w:color="auto" w:fill="CCCCCC"/>
          </w:tcPr>
          <w:p>
            <w:pPr>
              <w:spacing w:after="0"/>
              <w:rPr>
                <w:sz w:val="21"/>
                <w:szCs w:val="21"/>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CCCC"/>
          </w:tcPr>
          <w:p>
            <w:pPr>
              <w:spacing w:after="0"/>
              <w:rPr>
                <w:sz w:val="21"/>
                <w:szCs w:val="21"/>
                <w:color w:val="auto"/>
              </w:rPr>
            </w:pPr>
          </w:p>
        </w:tc>
        <w:tc>
          <w:tcPr>
            <w:tcW w:w="130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r>
      <w:tr>
        <w:trPr>
          <w:trHeight w:val="70"/>
        </w:trPr>
        <w:tc>
          <w:tcPr>
            <w:tcW w:w="50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r>
      <w:tr>
        <w:trPr>
          <w:trHeight w:val="246"/>
        </w:trPr>
        <w:tc>
          <w:tcPr>
            <w:tcW w:w="5040" w:type="dxa"/>
            <w:vAlign w:val="bottom"/>
          </w:tcPr>
          <w:p>
            <w:pPr>
              <w:spacing w:after="0"/>
              <w:rPr>
                <w:sz w:val="20"/>
                <w:szCs w:val="20"/>
                <w:color w:val="auto"/>
              </w:rPr>
            </w:pPr>
            <w:r>
              <w:rPr>
                <w:rFonts w:ascii="Arial" w:cs="Arial" w:eastAsia="Arial" w:hAnsi="Arial"/>
                <w:sz w:val="18"/>
                <w:szCs w:val="18"/>
                <w:color w:val="auto"/>
                <w:w w:val="99"/>
              </w:rPr>
              <w:t>Diluted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34"/>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CCCC"/>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CCCC"/>
          </w:tcPr>
          <w:p>
            <w:pPr>
              <w:spacing w:after="0"/>
              <w:rPr>
                <w:sz w:val="21"/>
                <w:szCs w:val="21"/>
                <w:color w:val="auto"/>
              </w:rPr>
            </w:pPr>
          </w:p>
        </w:tc>
        <w:tc>
          <w:tcPr>
            <w:tcW w:w="920" w:type="dxa"/>
            <w:vAlign w:val="bottom"/>
            <w:shd w:val="clear" w:color="auto" w:fill="CCCCCC"/>
          </w:tcPr>
          <w:p>
            <w:pPr>
              <w:spacing w:after="0"/>
              <w:rPr>
                <w:sz w:val="21"/>
                <w:szCs w:val="21"/>
                <w:color w:val="auto"/>
              </w:rPr>
            </w:pPr>
          </w:p>
        </w:tc>
        <w:tc>
          <w:tcPr>
            <w:tcW w:w="160" w:type="dxa"/>
            <w:vAlign w:val="bottom"/>
            <w:shd w:val="clear" w:color="auto" w:fill="CCCCCC"/>
          </w:tcPr>
          <w:p>
            <w:pPr>
              <w:spacing w:after="0"/>
              <w:rPr>
                <w:sz w:val="21"/>
                <w:szCs w:val="21"/>
                <w:color w:val="auto"/>
              </w:rPr>
            </w:pPr>
          </w:p>
        </w:tc>
        <w:tc>
          <w:tcPr>
            <w:tcW w:w="1140" w:type="dxa"/>
            <w:vAlign w:val="bottom"/>
            <w:shd w:val="clear" w:color="auto" w:fill="CCCCCC"/>
          </w:tcPr>
          <w:p>
            <w:pPr>
              <w:spacing w:after="0"/>
              <w:rPr>
                <w:sz w:val="21"/>
                <w:szCs w:val="21"/>
                <w:color w:val="auto"/>
              </w:rPr>
            </w:pPr>
          </w:p>
        </w:tc>
        <w:tc>
          <w:tcPr>
            <w:tcW w:w="1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r>
      <w:tr>
        <w:trPr>
          <w:trHeight w:val="256"/>
        </w:trPr>
        <w:tc>
          <w:tcPr>
            <w:tcW w:w="5040" w:type="dxa"/>
            <w:vAlign w:val="bottom"/>
          </w:tcPr>
          <w:p>
            <w:pPr>
              <w:spacing w:after="0"/>
              <w:rPr>
                <w:sz w:val="20"/>
                <w:szCs w:val="20"/>
                <w:color w:val="auto"/>
              </w:rPr>
            </w:pPr>
            <w:r>
              <w:rPr>
                <w:rFonts w:ascii="Arial" w:cs="Arial" w:eastAsia="Arial" w:hAnsi="Arial"/>
                <w:sz w:val="18"/>
                <w:szCs w:val="18"/>
                <w:color w:val="auto"/>
                <w:w w:val="99"/>
              </w:rPr>
              <w:t>Basic .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(7.57)</w:t>
            </w:r>
          </w:p>
        </w:tc>
      </w:tr>
      <w:tr>
        <w:trPr>
          <w:trHeight w:val="34"/>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CCCC"/>
          </w:tcPr>
          <w:p>
            <w:pPr>
              <w:spacing w:after="0"/>
              <w:rPr>
                <w:sz w:val="20"/>
                <w:szCs w:val="20"/>
                <w:color w:val="auto"/>
              </w:rPr>
            </w:pPr>
            <w:r>
              <w:rPr>
                <w:rFonts w:ascii="Arial" w:cs="Arial" w:eastAsia="Arial" w:hAnsi="Arial"/>
                <w:sz w:val="18"/>
                <w:szCs w:val="18"/>
                <w:color w:val="auto"/>
              </w:rPr>
              <w:t>Dilutive impact of stock options and restricted stock . . . . . . . .</w:t>
            </w:r>
          </w:p>
        </w:tc>
        <w:tc>
          <w:tcPr>
            <w:tcW w:w="200" w:type="dxa"/>
            <w:vAlign w:val="bottom"/>
            <w:shd w:val="clear" w:color="auto" w:fill="CCCCCC"/>
          </w:tcPr>
          <w:p>
            <w:pPr>
              <w:spacing w:after="0"/>
              <w:rPr>
                <w:sz w:val="21"/>
                <w:szCs w:val="21"/>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CCCC"/>
          </w:tcPr>
          <w:p>
            <w:pPr>
              <w:spacing w:after="0"/>
              <w:rPr>
                <w:sz w:val="21"/>
                <w:szCs w:val="21"/>
                <w:color w:val="auto"/>
              </w:rPr>
            </w:pPr>
          </w:p>
        </w:tc>
        <w:tc>
          <w:tcPr>
            <w:tcW w:w="1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220" w:type="dxa"/>
            <w:vAlign w:val="bottom"/>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r>
      <w:tr>
        <w:trPr>
          <w:trHeight w:val="70"/>
        </w:trPr>
        <w:tc>
          <w:tcPr>
            <w:tcW w:w="50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r>
      <w:tr>
        <w:trPr>
          <w:trHeight w:val="246"/>
        </w:trPr>
        <w:tc>
          <w:tcPr>
            <w:tcW w:w="5040" w:type="dxa"/>
            <w:vAlign w:val="bottom"/>
          </w:tcPr>
          <w:p>
            <w:pPr>
              <w:spacing w:after="0"/>
              <w:rPr>
                <w:sz w:val="20"/>
                <w:szCs w:val="20"/>
                <w:color w:val="auto"/>
              </w:rPr>
            </w:pPr>
            <w:r>
              <w:rPr>
                <w:rFonts w:ascii="Arial" w:cs="Arial" w:eastAsia="Arial" w:hAnsi="Arial"/>
                <w:sz w:val="18"/>
                <w:szCs w:val="18"/>
                <w:color w:val="auto"/>
                <w:w w:val="99"/>
              </w:rPr>
              <w:t>Diluted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(7.57)</w:t>
            </w:r>
          </w:p>
        </w:tc>
      </w:tr>
      <w:tr>
        <w:trPr>
          <w:trHeight w:val="34"/>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number of outstanding employee stock options to purchase shares of SLB common stock and unvested restricted stock units that were not included in the computation of diluted earnings/loss per share, because to do so would have had an anti-dilutive effect, were as follows: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64"/>
        </w:trPr>
        <w:tc>
          <w:tcPr>
            <w:tcW w:w="6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63"/>
              <w:spacing w:after="0"/>
              <w:rPr>
                <w:sz w:val="20"/>
                <w:szCs w:val="20"/>
                <w:color w:val="auto"/>
              </w:rPr>
            </w:pPr>
            <w:r>
              <w:rPr>
                <w:rFonts w:ascii="Arial" w:cs="Arial" w:eastAsia="Arial" w:hAnsi="Arial"/>
                <w:sz w:val="18"/>
                <w:szCs w:val="18"/>
                <w:b w:val="1"/>
                <w:bCs w:val="1"/>
                <w:color w:val="auto"/>
              </w:rPr>
              <w:t>2020</w:t>
            </w:r>
          </w:p>
        </w:tc>
      </w:tr>
      <w:tr>
        <w:trPr>
          <w:trHeight w:val="34"/>
        </w:trPr>
        <w:tc>
          <w:tcPr>
            <w:tcW w:w="5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6600" w:type="dxa"/>
            <w:vAlign w:val="bottom"/>
            <w:gridSpan w:val="2"/>
            <w:shd w:val="clear" w:color="auto" w:fill="CCCCCC"/>
          </w:tcPr>
          <w:p>
            <w:pPr>
              <w:spacing w:after="0"/>
              <w:rPr>
                <w:sz w:val="20"/>
                <w:szCs w:val="20"/>
                <w:color w:val="auto"/>
              </w:rPr>
            </w:pPr>
            <w:r>
              <w:rPr>
                <w:rFonts w:ascii="Arial" w:cs="Arial" w:eastAsia="Arial" w:hAnsi="Arial"/>
                <w:sz w:val="20"/>
                <w:szCs w:val="20"/>
                <w:color w:val="auto"/>
              </w:rPr>
              <w:t>Employee stock options  . . . . . . . . . . . . . . . . . . . . . . . . . . . . . . . . .</w:t>
            </w:r>
          </w:p>
        </w:tc>
        <w:tc>
          <w:tcPr>
            <w:tcW w:w="4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w w:val="98"/>
              </w:rPr>
              <w:t>25</w:t>
            </w:r>
          </w:p>
        </w:tc>
        <w:tc>
          <w:tcPr>
            <w:tcW w:w="700" w:type="dxa"/>
            <w:vAlign w:val="bottom"/>
            <w:shd w:val="clear" w:color="auto" w:fill="CCCCCC"/>
          </w:tcPr>
          <w:p>
            <w:pPr>
              <w:spacing w:after="0"/>
              <w:rPr>
                <w:sz w:val="23"/>
                <w:szCs w:val="23"/>
                <w:color w:val="auto"/>
              </w:rPr>
            </w:pPr>
          </w:p>
        </w:tc>
        <w:tc>
          <w:tcPr>
            <w:tcW w:w="4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w w:val="98"/>
              </w:rPr>
              <w:t>42</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48</w:t>
            </w:r>
          </w:p>
        </w:tc>
      </w:tr>
      <w:tr>
        <w:trPr>
          <w:trHeight w:val="280"/>
        </w:trPr>
        <w:tc>
          <w:tcPr>
            <w:tcW w:w="6600" w:type="dxa"/>
            <w:vAlign w:val="bottom"/>
            <w:gridSpan w:val="2"/>
          </w:tcPr>
          <w:p>
            <w:pPr>
              <w:spacing w:after="0"/>
              <w:rPr>
                <w:sz w:val="20"/>
                <w:szCs w:val="20"/>
                <w:color w:val="auto"/>
              </w:rPr>
            </w:pPr>
            <w:r>
              <w:rPr>
                <w:rFonts w:ascii="Arial" w:cs="Arial" w:eastAsia="Arial" w:hAnsi="Arial"/>
                <w:sz w:val="20"/>
                <w:szCs w:val="20"/>
                <w:color w:val="auto"/>
              </w:rPr>
              <w:t>Unvested restricted stock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9360"/>
          </w:cols>
          <w:pgMar w:left="1440" w:top="1440" w:right="1440" w:bottom="836" w:gutter="0" w:footer="0" w:header="0"/>
          <w:type w:val="continuous"/>
        </w:sectPr>
      </w:pPr>
    </w:p>
    <w:bookmarkStart w:id="70" w:name="page71"/>
    <w:bookmarkEnd w:id="70"/>
    <w:p>
      <w:pPr>
        <w:spacing w:after="0" w:line="52" w:lineRule="exact"/>
        <w:rPr>
          <w:sz w:val="20"/>
          <w:szCs w:val="20"/>
          <w:color w:val="auto"/>
        </w:rPr>
      </w:pPr>
    </w:p>
    <w:p>
      <w:pPr>
        <w:ind w:left="360" w:hanging="240"/>
        <w:spacing w:after="0"/>
        <w:tabs>
          <w:tab w:leader="none" w:pos="36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Charges and Credits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2022</w:t>
      </w:r>
    </w:p>
    <w:p>
      <w:pPr>
        <w:spacing w:after="0" w:line="146" w:lineRule="exact"/>
        <w:rPr>
          <w:sz w:val="20"/>
          <w:szCs w:val="20"/>
          <w:color w:val="auto"/>
        </w:rPr>
      </w:pPr>
    </w:p>
    <w:p>
      <w:pPr>
        <w:ind w:left="120" w:right="120"/>
        <w:spacing w:after="0" w:line="245" w:lineRule="auto"/>
        <w:rPr>
          <w:sz w:val="20"/>
          <w:szCs w:val="20"/>
          <w:color w:val="auto"/>
        </w:rPr>
      </w:pPr>
      <w:r>
        <w:rPr>
          <w:rFonts w:ascii="Arial" w:cs="Arial" w:eastAsia="Arial" w:hAnsi="Arial"/>
          <w:sz w:val="20"/>
          <w:szCs w:val="20"/>
          <w:color w:val="auto"/>
        </w:rPr>
        <w:t xml:space="preserve">SLB recorded the following charges and credits during 2022, all of which are classified in </w:t>
      </w:r>
      <w:r>
        <w:rPr>
          <w:rFonts w:ascii="Arial" w:cs="Arial" w:eastAsia="Arial" w:hAnsi="Arial"/>
          <w:sz w:val="20"/>
          <w:szCs w:val="20"/>
          <w:i w:val="1"/>
          <w:iCs w:val="1"/>
          <w:color w:val="auto"/>
        </w:rPr>
        <w:t>Interest &amp;</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other income, net </w:t>
      </w:r>
      <w:r>
        <w:rPr>
          <w:rFonts w:ascii="Arial" w:cs="Arial" w:eastAsia="Arial" w:hAnsi="Arial"/>
          <w:sz w:val="20"/>
          <w:szCs w:val="20"/>
          <w:color w:val="auto"/>
        </w:rPr>
        <w:t>in the</w:t>
      </w:r>
      <w:r>
        <w:rPr>
          <w:rFonts w:ascii="Arial" w:cs="Arial" w:eastAsia="Arial" w:hAnsi="Arial"/>
          <w:sz w:val="20"/>
          <w:szCs w:val="20"/>
          <w:i w:val="1"/>
          <w:iCs w:val="1"/>
          <w:color w:val="auto"/>
        </w:rPr>
        <w:t xml:space="preserve"> Consolidated Statement of Income (Loss)</w:t>
      </w:r>
      <w:r>
        <w:rPr>
          <w:rFonts w:ascii="Arial" w:cs="Arial" w:eastAsia="Arial" w:hAnsi="Arial"/>
          <w:sz w:val="20"/>
          <w:szCs w:val="20"/>
          <w:color w:val="auto"/>
        </w:rPr>
        <w: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6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20"/>
                <w:szCs w:val="20"/>
                <w:color w:val="auto"/>
              </w:rPr>
              <w:t>Pretax</w:t>
            </w:r>
          </w:p>
        </w:tc>
        <w:tc>
          <w:tcPr>
            <w:tcW w:w="16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20"/>
                <w:szCs w:val="20"/>
                <w:color w:val="auto"/>
              </w:rPr>
              <w:t>Tax Benefit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4580" w:type="dxa"/>
            <w:vAlign w:val="bottom"/>
          </w:tcPr>
          <w:p>
            <w:pPr>
              <w:spacing w:after="0"/>
              <w:rPr>
                <w:sz w:val="19"/>
                <w:szCs w:val="19"/>
                <w:color w:val="auto"/>
              </w:rPr>
            </w:pPr>
          </w:p>
        </w:tc>
        <w:tc>
          <w:tcPr>
            <w:tcW w:w="1580" w:type="dxa"/>
            <w:vAlign w:val="bottom"/>
            <w:gridSpan w:val="3"/>
          </w:tcPr>
          <w:p>
            <w:pPr>
              <w:spacing w:after="0" w:line="224" w:lineRule="exact"/>
              <w:rPr>
                <w:sz w:val="20"/>
                <w:szCs w:val="20"/>
                <w:color w:val="auto"/>
              </w:rPr>
            </w:pPr>
            <w:r>
              <w:rPr>
                <w:rFonts w:ascii="Arial" w:cs="Arial" w:eastAsia="Arial" w:hAnsi="Arial"/>
                <w:sz w:val="20"/>
                <w:szCs w:val="20"/>
                <w:color w:val="auto"/>
              </w:rPr>
              <w:t>Charge (Credit)</w:t>
            </w:r>
          </w:p>
        </w:tc>
        <w:tc>
          <w:tcPr>
            <w:tcW w:w="160" w:type="dxa"/>
            <w:vAlign w:val="bottom"/>
          </w:tcPr>
          <w:p>
            <w:pPr>
              <w:spacing w:after="0"/>
              <w:rPr>
                <w:sz w:val="19"/>
                <w:szCs w:val="19"/>
                <w:color w:val="auto"/>
              </w:rPr>
            </w:pPr>
          </w:p>
        </w:tc>
        <w:tc>
          <w:tcPr>
            <w:tcW w:w="1360" w:type="dxa"/>
            <w:vAlign w:val="bottom"/>
            <w:gridSpan w:val="2"/>
          </w:tcPr>
          <w:p>
            <w:pPr>
              <w:jc w:val="right"/>
              <w:ind w:right="380"/>
              <w:spacing w:after="0" w:line="224" w:lineRule="exact"/>
              <w:rPr>
                <w:sz w:val="20"/>
                <w:szCs w:val="20"/>
                <w:color w:val="auto"/>
              </w:rPr>
            </w:pPr>
            <w:r>
              <w:rPr>
                <w:rFonts w:ascii="Arial" w:cs="Arial" w:eastAsia="Arial" w:hAnsi="Arial"/>
                <w:sz w:val="20"/>
                <w:szCs w:val="20"/>
                <w:color w:val="auto"/>
              </w:rPr>
              <w:t>(Expense)</w:t>
            </w:r>
          </w:p>
        </w:tc>
        <w:tc>
          <w:tcPr>
            <w:tcW w:w="320" w:type="dxa"/>
            <w:vAlign w:val="bottom"/>
          </w:tcPr>
          <w:p>
            <w:pPr>
              <w:spacing w:after="0"/>
              <w:rPr>
                <w:sz w:val="19"/>
                <w:szCs w:val="19"/>
                <w:color w:val="auto"/>
              </w:rPr>
            </w:pPr>
          </w:p>
        </w:tc>
        <w:tc>
          <w:tcPr>
            <w:tcW w:w="1120" w:type="dxa"/>
            <w:vAlign w:val="bottom"/>
            <w:gridSpan w:val="2"/>
          </w:tcPr>
          <w:p>
            <w:pPr>
              <w:jc w:val="right"/>
              <w:ind w:right="600"/>
              <w:spacing w:after="0" w:line="224" w:lineRule="exact"/>
              <w:rPr>
                <w:sz w:val="20"/>
                <w:szCs w:val="20"/>
                <w:color w:val="auto"/>
              </w:rPr>
            </w:pPr>
            <w:r>
              <w:rPr>
                <w:rFonts w:ascii="Arial" w:cs="Arial" w:eastAsia="Arial" w:hAnsi="Arial"/>
                <w:sz w:val="20"/>
                <w:szCs w:val="20"/>
                <w:color w:val="auto"/>
              </w:rPr>
              <w:t>Net</w:t>
            </w:r>
          </w:p>
        </w:tc>
      </w:tr>
      <w:tr>
        <w:trPr>
          <w:trHeight w:val="30"/>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58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First quarter:</w:t>
            </w:r>
          </w:p>
        </w:tc>
        <w:tc>
          <w:tcPr>
            <w:tcW w:w="260" w:type="dxa"/>
            <w:vAlign w:val="bottom"/>
            <w:shd w:val="clear" w:color="auto" w:fill="CCCCCC"/>
          </w:tcPr>
          <w:p>
            <w:pPr>
              <w:spacing w:after="0"/>
              <w:rPr>
                <w:sz w:val="23"/>
                <w:szCs w:val="23"/>
                <w:color w:val="auto"/>
              </w:rPr>
            </w:pPr>
          </w:p>
        </w:tc>
        <w:tc>
          <w:tcPr>
            <w:tcW w:w="112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220" w:type="dxa"/>
            <w:vAlign w:val="bottom"/>
            <w:shd w:val="clear" w:color="auto" w:fill="CCCCCC"/>
          </w:tcPr>
          <w:p>
            <w:pPr>
              <w:spacing w:after="0"/>
              <w:rPr>
                <w:sz w:val="23"/>
                <w:szCs w:val="23"/>
                <w:color w:val="auto"/>
              </w:rPr>
            </w:pPr>
          </w:p>
        </w:tc>
        <w:tc>
          <w:tcPr>
            <w:tcW w:w="140" w:type="dxa"/>
            <w:vAlign w:val="bottom"/>
            <w:shd w:val="clear" w:color="auto" w:fill="CCCCCC"/>
          </w:tcPr>
          <w:p>
            <w:pPr>
              <w:spacing w:after="0"/>
              <w:rPr>
                <w:sz w:val="23"/>
                <w:szCs w:val="23"/>
                <w:color w:val="auto"/>
              </w:rPr>
            </w:pPr>
          </w:p>
        </w:tc>
        <w:tc>
          <w:tcPr>
            <w:tcW w:w="320" w:type="dxa"/>
            <w:vAlign w:val="bottom"/>
            <w:shd w:val="clear" w:color="auto" w:fill="CCCCCC"/>
          </w:tcPr>
          <w:p>
            <w:pPr>
              <w:spacing w:after="0"/>
              <w:rPr>
                <w:sz w:val="23"/>
                <w:szCs w:val="23"/>
                <w:color w:val="auto"/>
              </w:rPr>
            </w:pPr>
          </w:p>
        </w:tc>
        <w:tc>
          <w:tcPr>
            <w:tcW w:w="106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r>
      <w:tr>
        <w:trPr>
          <w:trHeight w:val="280"/>
        </w:trPr>
        <w:tc>
          <w:tcPr>
            <w:tcW w:w="4580" w:type="dxa"/>
            <w:vAlign w:val="bottom"/>
          </w:tcPr>
          <w:p>
            <w:pPr>
              <w:ind w:left="160"/>
              <w:spacing w:after="0"/>
              <w:rPr>
                <w:sz w:val="20"/>
                <w:szCs w:val="20"/>
                <w:color w:val="auto"/>
              </w:rPr>
            </w:pPr>
            <w:r>
              <w:rPr>
                <w:rFonts w:ascii="Arial" w:cs="Arial" w:eastAsia="Arial" w:hAnsi="Arial"/>
                <w:sz w:val="20"/>
                <w:szCs w:val="20"/>
                <w:color w:val="auto"/>
              </w:rPr>
              <w:t>Gain on sale of Liberty shares  . . . . . . . . . . . . . .</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(26)</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(4)</w:t>
            </w:r>
          </w:p>
        </w:tc>
        <w:tc>
          <w:tcPr>
            <w:tcW w:w="320" w:type="dxa"/>
            <w:vAlign w:val="bottom"/>
          </w:tcPr>
          <w:p>
            <w:pPr>
              <w:jc w:val="right"/>
              <w:ind w:right="107"/>
              <w:spacing w:after="0"/>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80"/>
        </w:trPr>
        <w:tc>
          <w:tcPr>
            <w:tcW w:w="458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Second quarter:</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2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320" w:type="dxa"/>
            <w:vAlign w:val="bottom"/>
            <w:shd w:val="clear" w:color="auto" w:fill="CCCCCC"/>
          </w:tcPr>
          <w:p>
            <w:pPr>
              <w:spacing w:after="0"/>
              <w:rPr>
                <w:sz w:val="24"/>
                <w:szCs w:val="24"/>
                <w:color w:val="auto"/>
              </w:rPr>
            </w:pPr>
          </w:p>
        </w:tc>
        <w:tc>
          <w:tcPr>
            <w:tcW w:w="106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r>
      <w:tr>
        <w:trPr>
          <w:trHeight w:val="280"/>
        </w:trPr>
        <w:tc>
          <w:tcPr>
            <w:tcW w:w="4580" w:type="dxa"/>
            <w:vAlign w:val="bottom"/>
          </w:tcPr>
          <w:p>
            <w:pPr>
              <w:ind w:left="160"/>
              <w:spacing w:after="0"/>
              <w:rPr>
                <w:sz w:val="20"/>
                <w:szCs w:val="20"/>
                <w:color w:val="auto"/>
              </w:rPr>
            </w:pPr>
            <w:r>
              <w:rPr>
                <w:rFonts w:ascii="Arial" w:cs="Arial" w:eastAsia="Arial" w:hAnsi="Arial"/>
                <w:sz w:val="20"/>
                <w:szCs w:val="20"/>
                <w:color w:val="auto"/>
              </w:rPr>
              <w:t>Gain on sale of Liberty shares  . . . . . . . . . . . . . .</w:t>
            </w:r>
          </w:p>
        </w:tc>
        <w:tc>
          <w:tcPr>
            <w:tcW w:w="2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(215)</w:t>
            </w:r>
          </w:p>
        </w:tc>
        <w:tc>
          <w:tcPr>
            <w:tcW w:w="16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(14)</w:t>
            </w:r>
          </w:p>
        </w:tc>
        <w:tc>
          <w:tcPr>
            <w:tcW w:w="3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(201)</w:t>
            </w:r>
          </w:p>
        </w:tc>
      </w:tr>
      <w:tr>
        <w:trPr>
          <w:trHeight w:val="280"/>
        </w:trPr>
        <w:tc>
          <w:tcPr>
            <w:tcW w:w="4580" w:type="dxa"/>
            <w:vAlign w:val="bottom"/>
            <w:shd w:val="clear" w:color="auto" w:fill="CCCCCC"/>
          </w:tcPr>
          <w:p>
            <w:pPr>
              <w:ind w:left="160"/>
              <w:spacing w:after="0"/>
              <w:rPr>
                <w:sz w:val="20"/>
                <w:szCs w:val="20"/>
                <w:color w:val="auto"/>
              </w:rPr>
            </w:pPr>
            <w:r>
              <w:rPr>
                <w:rFonts w:ascii="Arial" w:cs="Arial" w:eastAsia="Arial" w:hAnsi="Arial"/>
                <w:sz w:val="20"/>
                <w:szCs w:val="20"/>
                <w:color w:val="auto"/>
              </w:rPr>
              <w:t>Gain on sale of real estate  . . . . . . . . . . . . . . . . .</w:t>
            </w:r>
          </w:p>
        </w:tc>
        <w:tc>
          <w:tcPr>
            <w:tcW w:w="260" w:type="dxa"/>
            <w:vAlign w:val="bottom"/>
            <w:shd w:val="clear" w:color="auto" w:fill="CCCCCC"/>
          </w:tcPr>
          <w:p>
            <w:pPr>
              <w:spacing w:after="0"/>
              <w:rPr>
                <w:sz w:val="24"/>
                <w:szCs w:val="24"/>
                <w:color w:val="auto"/>
              </w:rPr>
            </w:pPr>
          </w:p>
        </w:tc>
        <w:tc>
          <w:tcPr>
            <w:tcW w:w="13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(43)</w:t>
            </w:r>
          </w:p>
        </w:tc>
        <w:tc>
          <w:tcPr>
            <w:tcW w:w="160" w:type="dxa"/>
            <w:vAlign w:val="bottom"/>
            <w:shd w:val="clear" w:color="auto" w:fill="CCCCCC"/>
          </w:tcPr>
          <w:p>
            <w:pPr>
              <w:spacing w:after="0"/>
              <w:rPr>
                <w:sz w:val="24"/>
                <w:szCs w:val="24"/>
                <w:color w:val="auto"/>
              </w:rPr>
            </w:pPr>
          </w:p>
        </w:tc>
        <w:tc>
          <w:tcPr>
            <w:tcW w:w="1360" w:type="dxa"/>
            <w:vAlign w:val="bottom"/>
            <w:gridSpan w:val="2"/>
            <w:shd w:val="clear" w:color="auto" w:fill="CCCCCC"/>
          </w:tcPr>
          <w:p>
            <w:pPr>
              <w:jc w:val="right"/>
              <w:ind w:right="80"/>
              <w:spacing w:after="0"/>
              <w:rPr>
                <w:sz w:val="20"/>
                <w:szCs w:val="20"/>
                <w:color w:val="auto"/>
              </w:rPr>
            </w:pPr>
            <w:r>
              <w:rPr>
                <w:rFonts w:ascii="Arial" w:cs="Arial" w:eastAsia="Arial" w:hAnsi="Arial"/>
                <w:sz w:val="20"/>
                <w:szCs w:val="20"/>
                <w:color w:val="auto"/>
              </w:rPr>
              <w:t>(2)</w:t>
            </w:r>
          </w:p>
        </w:tc>
        <w:tc>
          <w:tcPr>
            <w:tcW w:w="32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(41)</w:t>
            </w:r>
          </w:p>
        </w:tc>
      </w:tr>
      <w:tr>
        <w:trPr>
          <w:trHeight w:val="280"/>
        </w:trPr>
        <w:tc>
          <w:tcPr>
            <w:tcW w:w="4580" w:type="dxa"/>
            <w:vAlign w:val="bottom"/>
          </w:tcPr>
          <w:p>
            <w:pPr>
              <w:spacing w:after="0"/>
              <w:rPr>
                <w:sz w:val="20"/>
                <w:szCs w:val="20"/>
                <w:color w:val="auto"/>
              </w:rPr>
            </w:pPr>
            <w:r>
              <w:rPr>
                <w:rFonts w:ascii="Arial" w:cs="Arial" w:eastAsia="Arial" w:hAnsi="Arial"/>
                <w:sz w:val="20"/>
                <w:szCs w:val="20"/>
                <w:i w:val="1"/>
                <w:iCs w:val="1"/>
                <w:color w:val="auto"/>
              </w:rPr>
              <w:t>Fourth quarter: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4580" w:type="dxa"/>
            <w:vAlign w:val="bottom"/>
            <w:shd w:val="clear" w:color="auto" w:fill="CCCCCC"/>
          </w:tcPr>
          <w:p>
            <w:pPr>
              <w:ind w:left="160"/>
              <w:spacing w:after="0"/>
              <w:rPr>
                <w:sz w:val="20"/>
                <w:szCs w:val="20"/>
                <w:color w:val="auto"/>
              </w:rPr>
            </w:pPr>
            <w:r>
              <w:rPr>
                <w:rFonts w:ascii="Arial" w:cs="Arial" w:eastAsia="Arial" w:hAnsi="Arial"/>
                <w:sz w:val="20"/>
                <w:szCs w:val="20"/>
                <w:color w:val="auto"/>
              </w:rPr>
              <w:t>Gain on sale of Liberty shares  . . . . . . . . . . . . . .</w:t>
            </w:r>
          </w:p>
        </w:tc>
        <w:tc>
          <w:tcPr>
            <w:tcW w:w="260" w:type="dxa"/>
            <w:vAlign w:val="bottom"/>
            <w:shd w:val="clear" w:color="auto" w:fill="CCCCCC"/>
          </w:tcPr>
          <w:p>
            <w:pPr>
              <w:spacing w:after="0"/>
              <w:rPr>
                <w:sz w:val="24"/>
                <w:szCs w:val="24"/>
                <w:color w:val="auto"/>
              </w:rPr>
            </w:pPr>
          </w:p>
        </w:tc>
        <w:tc>
          <w:tcPr>
            <w:tcW w:w="13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(84)</w:t>
            </w:r>
          </w:p>
        </w:tc>
        <w:tc>
          <w:tcPr>
            <w:tcW w:w="160" w:type="dxa"/>
            <w:vAlign w:val="bottom"/>
            <w:shd w:val="clear" w:color="auto" w:fill="CCCCCC"/>
          </w:tcPr>
          <w:p>
            <w:pPr>
              <w:spacing w:after="0"/>
              <w:rPr>
                <w:sz w:val="24"/>
                <w:szCs w:val="24"/>
                <w:color w:val="auto"/>
              </w:rPr>
            </w:pPr>
          </w:p>
        </w:tc>
        <w:tc>
          <w:tcPr>
            <w:tcW w:w="1360" w:type="dxa"/>
            <w:vAlign w:val="bottom"/>
            <w:gridSpan w:val="2"/>
            <w:shd w:val="clear" w:color="auto" w:fill="CCCCCC"/>
          </w:tcPr>
          <w:p>
            <w:pPr>
              <w:jc w:val="right"/>
              <w:ind w:right="80"/>
              <w:spacing w:after="0"/>
              <w:rPr>
                <w:sz w:val="20"/>
                <w:szCs w:val="20"/>
                <w:color w:val="auto"/>
              </w:rPr>
            </w:pPr>
            <w:r>
              <w:rPr>
                <w:rFonts w:ascii="Arial" w:cs="Arial" w:eastAsia="Arial" w:hAnsi="Arial"/>
                <w:sz w:val="20"/>
                <w:szCs w:val="20"/>
                <w:color w:val="auto"/>
              </w:rPr>
              <w:t>(19)</w:t>
            </w:r>
          </w:p>
        </w:tc>
        <w:tc>
          <w:tcPr>
            <w:tcW w:w="32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(65)</w:t>
            </w:r>
          </w:p>
        </w:tc>
      </w:tr>
      <w:tr>
        <w:trPr>
          <w:trHeight w:val="280"/>
        </w:trPr>
        <w:tc>
          <w:tcPr>
            <w:tcW w:w="4580" w:type="dxa"/>
            <w:vAlign w:val="bottom"/>
          </w:tcPr>
          <w:p>
            <w:pPr>
              <w:ind w:left="160"/>
              <w:spacing w:after="0"/>
              <w:rPr>
                <w:sz w:val="20"/>
                <w:szCs w:val="20"/>
                <w:color w:val="auto"/>
              </w:rPr>
            </w:pPr>
            <w:r>
              <w:rPr>
                <w:rFonts w:ascii="Arial" w:cs="Arial" w:eastAsia="Arial" w:hAnsi="Arial"/>
                <w:sz w:val="20"/>
                <w:szCs w:val="20"/>
                <w:color w:val="auto"/>
              </w:rPr>
              <w:t>Loss on Blue Chip Swap transactions . . . . . . . .</w:t>
            </w:r>
          </w:p>
        </w:tc>
        <w:tc>
          <w:tcPr>
            <w:tcW w:w="26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20"/>
                <w:szCs w:val="20"/>
                <w:color w:val="auto"/>
              </w:rPr>
              <w:t>139</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139</w:t>
            </w:r>
          </w:p>
        </w:tc>
      </w:tr>
      <w:tr>
        <w:trPr>
          <w:trHeight w:val="280"/>
        </w:trPr>
        <w:tc>
          <w:tcPr>
            <w:tcW w:w="4580" w:type="dxa"/>
            <w:vAlign w:val="bottom"/>
            <w:shd w:val="clear" w:color="auto" w:fill="CCCCCC"/>
          </w:tcPr>
          <w:p>
            <w:pPr>
              <w:ind w:left="160"/>
              <w:spacing w:after="0"/>
              <w:rPr>
                <w:sz w:val="20"/>
                <w:szCs w:val="20"/>
                <w:color w:val="auto"/>
              </w:rPr>
            </w:pPr>
            <w:r>
              <w:rPr>
                <w:rFonts w:ascii="Arial" w:cs="Arial" w:eastAsia="Arial" w:hAnsi="Arial"/>
                <w:sz w:val="20"/>
                <w:szCs w:val="20"/>
                <w:color w:val="auto"/>
              </w:rPr>
              <w:t>Gain on ADC equity investment . . . . . . . . . . . . .</w:t>
            </w:r>
          </w:p>
        </w:tc>
        <w:tc>
          <w:tcPr>
            <w:tcW w:w="260" w:type="dxa"/>
            <w:vAlign w:val="bottom"/>
            <w:shd w:val="clear" w:color="auto" w:fill="CCCCCC"/>
          </w:tcPr>
          <w:p>
            <w:pPr>
              <w:spacing w:after="0"/>
              <w:rPr>
                <w:sz w:val="24"/>
                <w:szCs w:val="24"/>
                <w:color w:val="auto"/>
              </w:rPr>
            </w:pPr>
          </w:p>
        </w:tc>
        <w:tc>
          <w:tcPr>
            <w:tcW w:w="13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(107)</w:t>
            </w:r>
          </w:p>
        </w:tc>
        <w:tc>
          <w:tcPr>
            <w:tcW w:w="160" w:type="dxa"/>
            <w:vAlign w:val="bottom"/>
            <w:shd w:val="clear" w:color="auto" w:fill="CCCCCC"/>
          </w:tcPr>
          <w:p>
            <w:pPr>
              <w:spacing w:after="0"/>
              <w:rPr>
                <w:sz w:val="24"/>
                <w:szCs w:val="24"/>
                <w:color w:val="auto"/>
              </w:rPr>
            </w:pPr>
          </w:p>
        </w:tc>
        <w:tc>
          <w:tcPr>
            <w:tcW w:w="1360" w:type="dxa"/>
            <w:vAlign w:val="bottom"/>
            <w:gridSpan w:val="2"/>
            <w:shd w:val="clear" w:color="auto" w:fill="CCCCCC"/>
          </w:tcPr>
          <w:p>
            <w:pPr>
              <w:jc w:val="right"/>
              <w:ind w:right="80"/>
              <w:spacing w:after="0"/>
              <w:rPr>
                <w:sz w:val="20"/>
                <w:szCs w:val="20"/>
                <w:color w:val="auto"/>
              </w:rPr>
            </w:pPr>
            <w:r>
              <w:rPr>
                <w:rFonts w:ascii="Arial" w:cs="Arial" w:eastAsia="Arial" w:hAnsi="Arial"/>
                <w:sz w:val="20"/>
                <w:szCs w:val="20"/>
                <w:color w:val="auto"/>
              </w:rPr>
              <w:t>(3)</w:t>
            </w:r>
          </w:p>
        </w:tc>
        <w:tc>
          <w:tcPr>
            <w:tcW w:w="32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(104)</w:t>
            </w:r>
          </w:p>
        </w:tc>
      </w:tr>
      <w:tr>
        <w:trPr>
          <w:trHeight w:val="280"/>
        </w:trPr>
        <w:tc>
          <w:tcPr>
            <w:tcW w:w="4580" w:type="dxa"/>
            <w:vAlign w:val="bottom"/>
          </w:tcPr>
          <w:p>
            <w:pPr>
              <w:ind w:left="160"/>
              <w:spacing w:after="0"/>
              <w:rPr>
                <w:sz w:val="20"/>
                <w:szCs w:val="20"/>
                <w:color w:val="auto"/>
              </w:rPr>
            </w:pPr>
            <w:r>
              <w:rPr>
                <w:rFonts w:ascii="Arial" w:cs="Arial" w:eastAsia="Arial" w:hAnsi="Arial"/>
                <w:sz w:val="20"/>
                <w:szCs w:val="20"/>
                <w:color w:val="auto"/>
              </w:rPr>
              <w:t>Gain on repurchase of bonds . . . . . . . . . . . . . . .</w:t>
            </w:r>
          </w:p>
        </w:tc>
        <w:tc>
          <w:tcPr>
            <w:tcW w:w="2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(11)</w:t>
            </w:r>
          </w:p>
        </w:tc>
        <w:tc>
          <w:tcPr>
            <w:tcW w:w="16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70"/>
        </w:trPr>
        <w:tc>
          <w:tcPr>
            <w:tcW w:w="45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0"/>
        </w:trPr>
        <w:tc>
          <w:tcPr>
            <w:tcW w:w="4580" w:type="dxa"/>
            <w:vAlign w:val="bottom"/>
            <w:shd w:val="clear" w:color="auto" w:fill="CCCCCC"/>
          </w:tcPr>
          <w:p>
            <w:pPr>
              <w:spacing w:after="0"/>
              <w:rPr>
                <w:sz w:val="23"/>
                <w:szCs w:val="23"/>
                <w:color w:val="auto"/>
              </w:rPr>
            </w:pPr>
          </w:p>
        </w:tc>
        <w:tc>
          <w:tcPr>
            <w:tcW w:w="260" w:type="dxa"/>
            <w:vAlign w:val="bottom"/>
            <w:shd w:val="clear" w:color="auto" w:fill="CCCCCC"/>
          </w:tcPr>
          <w:p>
            <w:pPr>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(347)</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gridSpan w:val="2"/>
            <w:shd w:val="clear" w:color="auto" w:fill="CCCCCC"/>
          </w:tcPr>
          <w:p>
            <w:pPr>
              <w:jc w:val="right"/>
              <w:ind w:right="80"/>
              <w:spacing w:after="0"/>
              <w:rPr>
                <w:sz w:val="20"/>
                <w:szCs w:val="20"/>
                <w:color w:val="auto"/>
              </w:rPr>
            </w:pPr>
            <w:r>
              <w:rPr>
                <w:rFonts w:ascii="Arial" w:cs="Arial" w:eastAsia="Arial" w:hAnsi="Arial"/>
                <w:sz w:val="20"/>
                <w:szCs w:val="20"/>
                <w:color w:val="auto"/>
              </w:rPr>
              <w:t>(44)</w:t>
            </w:r>
          </w:p>
        </w:tc>
        <w:tc>
          <w:tcPr>
            <w:tcW w:w="320" w:type="dxa"/>
            <w:vAlign w:val="bottom"/>
            <w:shd w:val="clear" w:color="auto" w:fill="CCCCCC"/>
          </w:tcPr>
          <w:p>
            <w:pPr>
              <w:jc w:val="right"/>
              <w:ind w:right="107"/>
              <w:spacing w:after="0"/>
              <w:rPr>
                <w:sz w:val="20"/>
                <w:szCs w:val="20"/>
                <w:color w:val="auto"/>
              </w:rPr>
            </w:pPr>
            <w:r>
              <w:rPr>
                <w:rFonts w:ascii="Arial" w:cs="Arial" w:eastAsia="Arial" w:hAnsi="Arial"/>
                <w:sz w:val="20"/>
                <w:szCs w:val="20"/>
                <w:color w:val="auto"/>
                <w:w w:val="89"/>
              </w:rPr>
              <w:t>$</w:t>
            </w: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(303)</w:t>
            </w:r>
          </w:p>
        </w:tc>
      </w:tr>
      <w:tr>
        <w:trPr>
          <w:trHeight w:val="70"/>
        </w:trPr>
        <w:tc>
          <w:tcPr>
            <w:tcW w:w="45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840" w:right="120" w:hanging="360"/>
        <w:spacing w:after="0" w:line="249" w:lineRule="auto"/>
        <w:tabs>
          <w:tab w:leader="none" w:pos="8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On December 31, 2020, SLB contributed its onshore hydraulic fracturing business in the United States and Canada, including its pressure pumping, pumpdown perforating and Permian frac sand business to Liberty Energy Inc. (“Liberty”) in exchange for an equity interest in Liberty. During 2022, SLB sold 47.8 million of its shares of Liberty and received proceeds of $730 million. These transactions resulted in gains of $325 million. As of December 31, 2022, SLB had a 5% equity interest in Liberty. Based on the quoted market prices of Liberty’s shares, the fair value of SLB’s investment in Liberty was approximately $144 million as of December 31, 2022. SLB accounts for its investment in Liberty under the equity method of accounting and records its share of Liberty’s net income or loss on a one-quarter lag.</w:t>
      </w:r>
    </w:p>
    <w:p>
      <w:pPr>
        <w:spacing w:after="0" w:line="14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Central Bank of Argentina maintains certain currency controls that limit SLB’s ability to access US dollars in Argentina and remit cash from its Argentine operations. A legal indirect foreign exchange mechanism exists, in the form of capital market transactions known as Blue Chip Swaps, which effectively results in a parallel US dollar exchange rate. This parallel rate, which cannot be used as the basis to remeasure SLB’s Argentine peso-denominated net monetary assets in US dollars under US GAAP, was approximately 93% higher than Argentina’s official exchange rate at December 31, 2022. During the fourth quarter of 2022, SLB entered into Blue Chip Swap transactions that resulted in a loss of $139 million.</w:t>
      </w:r>
    </w:p>
    <w:p>
      <w:pPr>
        <w:spacing w:after="0" w:line="143"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During the fourth quarter of 2022, SLB repurchased $395 million of its 3.75% Senior Notes due 2024 and $409 million of its 4.00% Senior Notes due 2025 for $790 million, resulting in a gain of $11 million after considering the write-off of the related deferred financing fees and other costs.</w:t>
      </w:r>
    </w:p>
    <w:p>
      <w:pPr>
        <w:spacing w:after="0" w:line="141"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SLB has an investment in the Arabian Drilling Company (“ADC”), an onshore and offshore gas and oil rig drilling company in Saudi Arabia, that it accounts for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w:t>
      </w:r>
    </w:p>
    <w:p>
      <w:pPr>
        <w:sectPr>
          <w:pgSz w:w="12240" w:h="15840" w:orient="portrait"/>
          <w:cols w:equalWidth="0" w:num="1">
            <w:col w:w="9360"/>
          </w:cols>
          <w:pgMar w:left="1440" w:top="1440" w:right="1440" w:bottom="83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9360"/>
          </w:cols>
          <w:pgMar w:left="1440" w:top="1440" w:right="1440" w:bottom="836" w:gutter="0" w:footer="0" w:header="0"/>
          <w:type w:val="continuous"/>
        </w:sectPr>
      </w:pPr>
    </w:p>
    <w:bookmarkStart w:id="71" w:name="page72"/>
    <w:bookmarkEnd w:id="71"/>
    <w:p>
      <w:pPr>
        <w:spacing w:after="0" w:line="56" w:lineRule="exact"/>
        <w:rPr>
          <w:sz w:val="20"/>
          <w:szCs w:val="20"/>
          <w:color w:val="auto"/>
        </w:rPr>
      </w:pPr>
    </w:p>
    <w:p>
      <w:pPr>
        <w:jc w:val="both"/>
        <w:ind w:left="840" w:right="120"/>
        <w:spacing w:after="0" w:line="249" w:lineRule="auto"/>
        <w:rPr>
          <w:sz w:val="20"/>
          <w:szCs w:val="20"/>
          <w:color w:val="auto"/>
        </w:rPr>
      </w:pPr>
      <w:r>
        <w:rPr>
          <w:rFonts w:ascii="Arial" w:cs="Arial" w:eastAsia="Arial" w:hAnsi="Arial"/>
          <w:sz w:val="20"/>
          <w:szCs w:val="20"/>
          <w:color w:val="auto"/>
        </w:rPr>
        <w:t>ownership interest in ADC decreased from 49% to approximately 34%. SLB recognized a gain of $107 million, representing the gain on the sale of a portion of its interest as well as the effect of the ownership dilution of its equity investment due to the IPO. As of December 31, 2022, the fair value of SLB’s investment in ADC, based on the quoted market price of ADC’s shares, was approximately $930 million and the carrying value of its investment was $556 million. SLB accounts for its share of ADC’s net income on a one-quarter lag.</w:t>
      </w:r>
    </w:p>
    <w:p>
      <w:pPr>
        <w:spacing w:after="0" w:line="128" w:lineRule="exact"/>
        <w:rPr>
          <w:sz w:val="20"/>
          <w:szCs w:val="20"/>
          <w:color w:val="auto"/>
        </w:rPr>
      </w:pPr>
    </w:p>
    <w:p>
      <w:pPr>
        <w:ind w:left="840" w:right="120" w:hanging="360"/>
        <w:spacing w:after="0" w:line="245" w:lineRule="auto"/>
        <w:tabs>
          <w:tab w:leader="none" w:pos="8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During the second quarter of 2022, SLB sold certain real estate and received proceeds of $120 million. As a result of this transaction, SLB recognized a gain of $43 million.</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2021</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SLB recorded the following charges and credits during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6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20"/>
                <w:szCs w:val="20"/>
                <w:color w:val="auto"/>
              </w:rPr>
              <w:t>Pretax</w:t>
            </w:r>
          </w:p>
        </w:tc>
        <w:tc>
          <w:tcPr>
            <w:tcW w:w="16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20"/>
                <w:szCs w:val="20"/>
                <w:color w:val="auto"/>
              </w:rPr>
              <w:t>Tax Benefit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4580" w:type="dxa"/>
            <w:vAlign w:val="bottom"/>
          </w:tcPr>
          <w:p>
            <w:pPr>
              <w:spacing w:after="0"/>
              <w:rPr>
                <w:sz w:val="19"/>
                <w:szCs w:val="19"/>
                <w:color w:val="auto"/>
              </w:rPr>
            </w:pPr>
          </w:p>
        </w:tc>
        <w:tc>
          <w:tcPr>
            <w:tcW w:w="1580" w:type="dxa"/>
            <w:vAlign w:val="bottom"/>
            <w:gridSpan w:val="3"/>
          </w:tcPr>
          <w:p>
            <w:pPr>
              <w:spacing w:after="0" w:line="226" w:lineRule="exact"/>
              <w:rPr>
                <w:sz w:val="20"/>
                <w:szCs w:val="20"/>
                <w:color w:val="auto"/>
              </w:rPr>
            </w:pPr>
            <w:r>
              <w:rPr>
                <w:rFonts w:ascii="Arial" w:cs="Arial" w:eastAsia="Arial" w:hAnsi="Arial"/>
                <w:sz w:val="20"/>
                <w:szCs w:val="20"/>
                <w:color w:val="auto"/>
              </w:rPr>
              <w:t>Charge (Credit)</w:t>
            </w:r>
          </w:p>
        </w:tc>
        <w:tc>
          <w:tcPr>
            <w:tcW w:w="160" w:type="dxa"/>
            <w:vAlign w:val="bottom"/>
          </w:tcPr>
          <w:p>
            <w:pPr>
              <w:spacing w:after="0"/>
              <w:rPr>
                <w:sz w:val="19"/>
                <w:szCs w:val="19"/>
                <w:color w:val="auto"/>
              </w:rPr>
            </w:pPr>
          </w:p>
        </w:tc>
        <w:tc>
          <w:tcPr>
            <w:tcW w:w="1360" w:type="dxa"/>
            <w:vAlign w:val="bottom"/>
            <w:gridSpan w:val="2"/>
          </w:tcPr>
          <w:p>
            <w:pPr>
              <w:jc w:val="right"/>
              <w:ind w:right="380"/>
              <w:spacing w:after="0" w:line="226" w:lineRule="exact"/>
              <w:rPr>
                <w:sz w:val="20"/>
                <w:szCs w:val="20"/>
                <w:color w:val="auto"/>
              </w:rPr>
            </w:pPr>
            <w:r>
              <w:rPr>
                <w:rFonts w:ascii="Arial" w:cs="Arial" w:eastAsia="Arial" w:hAnsi="Arial"/>
                <w:sz w:val="20"/>
                <w:szCs w:val="20"/>
                <w:color w:val="auto"/>
              </w:rPr>
              <w:t>(Expense)</w:t>
            </w:r>
          </w:p>
        </w:tc>
        <w:tc>
          <w:tcPr>
            <w:tcW w:w="320" w:type="dxa"/>
            <w:vAlign w:val="bottom"/>
          </w:tcPr>
          <w:p>
            <w:pPr>
              <w:spacing w:after="0"/>
              <w:rPr>
                <w:sz w:val="19"/>
                <w:szCs w:val="19"/>
                <w:color w:val="auto"/>
              </w:rPr>
            </w:pPr>
          </w:p>
        </w:tc>
        <w:tc>
          <w:tcPr>
            <w:tcW w:w="1120" w:type="dxa"/>
            <w:vAlign w:val="bottom"/>
            <w:gridSpan w:val="2"/>
          </w:tcPr>
          <w:p>
            <w:pPr>
              <w:jc w:val="right"/>
              <w:ind w:right="600"/>
              <w:spacing w:after="0" w:line="226" w:lineRule="exact"/>
              <w:rPr>
                <w:sz w:val="20"/>
                <w:szCs w:val="20"/>
                <w:color w:val="auto"/>
              </w:rPr>
            </w:pPr>
            <w:r>
              <w:rPr>
                <w:rFonts w:ascii="Arial" w:cs="Arial" w:eastAsia="Arial" w:hAnsi="Arial"/>
                <w:sz w:val="20"/>
                <w:szCs w:val="20"/>
                <w:color w:val="auto"/>
              </w:rPr>
              <w:t>Net</w:t>
            </w:r>
          </w:p>
        </w:tc>
      </w:tr>
      <w:tr>
        <w:trPr>
          <w:trHeight w:val="28"/>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840" w:type="dxa"/>
            <w:vAlign w:val="bottom"/>
            <w:gridSpan w:val="2"/>
            <w:shd w:val="clear" w:color="auto" w:fill="CCCCCC"/>
          </w:tcPr>
          <w:p>
            <w:pPr>
              <w:spacing w:after="0"/>
              <w:rPr>
                <w:sz w:val="20"/>
                <w:szCs w:val="20"/>
                <w:color w:val="auto"/>
              </w:rPr>
            </w:pPr>
            <w:r>
              <w:rPr>
                <w:rFonts w:ascii="Arial" w:cs="Arial" w:eastAsia="Arial" w:hAnsi="Arial"/>
                <w:sz w:val="20"/>
                <w:szCs w:val="20"/>
                <w:i w:val="1"/>
                <w:iCs w:val="1"/>
                <w:color w:val="auto"/>
              </w:rPr>
              <w:t>Third quarter:</w:t>
            </w:r>
          </w:p>
        </w:tc>
        <w:tc>
          <w:tcPr>
            <w:tcW w:w="112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220" w:type="dxa"/>
            <w:vAlign w:val="bottom"/>
            <w:shd w:val="clear" w:color="auto" w:fill="CCCCCC"/>
          </w:tcPr>
          <w:p>
            <w:pPr>
              <w:spacing w:after="0"/>
              <w:rPr>
                <w:sz w:val="23"/>
                <w:szCs w:val="23"/>
                <w:color w:val="auto"/>
              </w:rPr>
            </w:pPr>
          </w:p>
        </w:tc>
        <w:tc>
          <w:tcPr>
            <w:tcW w:w="140" w:type="dxa"/>
            <w:vAlign w:val="bottom"/>
            <w:shd w:val="clear" w:color="auto" w:fill="CCCCCC"/>
          </w:tcPr>
          <w:p>
            <w:pPr>
              <w:spacing w:after="0"/>
              <w:rPr>
                <w:sz w:val="23"/>
                <w:szCs w:val="23"/>
                <w:color w:val="auto"/>
              </w:rPr>
            </w:pPr>
          </w:p>
        </w:tc>
        <w:tc>
          <w:tcPr>
            <w:tcW w:w="320" w:type="dxa"/>
            <w:vAlign w:val="bottom"/>
            <w:shd w:val="clear" w:color="auto" w:fill="CCCCCC"/>
          </w:tcPr>
          <w:p>
            <w:pPr>
              <w:spacing w:after="0"/>
              <w:rPr>
                <w:sz w:val="23"/>
                <w:szCs w:val="23"/>
                <w:color w:val="auto"/>
              </w:rPr>
            </w:pPr>
          </w:p>
        </w:tc>
        <w:tc>
          <w:tcPr>
            <w:tcW w:w="106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r>
      <w:tr>
        <w:trPr>
          <w:trHeight w:val="280"/>
        </w:trPr>
        <w:tc>
          <w:tcPr>
            <w:tcW w:w="4840" w:type="dxa"/>
            <w:vAlign w:val="bottom"/>
            <w:gridSpan w:val="2"/>
          </w:tcPr>
          <w:p>
            <w:pPr>
              <w:ind w:left="160"/>
              <w:spacing w:after="0"/>
              <w:rPr>
                <w:sz w:val="20"/>
                <w:szCs w:val="20"/>
                <w:color w:val="auto"/>
              </w:rPr>
            </w:pPr>
            <w:r>
              <w:rPr>
                <w:rFonts w:ascii="Arial" w:cs="Arial" w:eastAsia="Arial" w:hAnsi="Arial"/>
                <w:sz w:val="20"/>
                <w:szCs w:val="20"/>
                <w:color w:val="auto"/>
              </w:rPr>
              <w:t>Unrealized gain on marketable securities  . . . . .  $</w:t>
            </w: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(47)</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(11)</w:t>
            </w:r>
          </w:p>
        </w:tc>
        <w:tc>
          <w:tcPr>
            <w:tcW w:w="320" w:type="dxa"/>
            <w:vAlign w:val="bottom"/>
          </w:tcPr>
          <w:p>
            <w:pPr>
              <w:jc w:val="right"/>
              <w:ind w:right="107"/>
              <w:spacing w:after="0"/>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280"/>
        </w:trPr>
        <w:tc>
          <w:tcPr>
            <w:tcW w:w="4840" w:type="dxa"/>
            <w:vAlign w:val="bottom"/>
            <w:gridSpan w:val="2"/>
            <w:shd w:val="clear" w:color="auto" w:fill="CCCCCC"/>
          </w:tcPr>
          <w:p>
            <w:pPr>
              <w:spacing w:after="0"/>
              <w:rPr>
                <w:sz w:val="20"/>
                <w:szCs w:val="20"/>
                <w:color w:val="auto"/>
              </w:rPr>
            </w:pPr>
            <w:r>
              <w:rPr>
                <w:rFonts w:ascii="Arial" w:cs="Arial" w:eastAsia="Arial" w:hAnsi="Arial"/>
                <w:sz w:val="20"/>
                <w:szCs w:val="20"/>
                <w:i w:val="1"/>
                <w:iCs w:val="1"/>
                <w:color w:val="auto"/>
              </w:rPr>
              <w:t>Fourth quarter:</w:t>
            </w:r>
          </w:p>
        </w:tc>
        <w:tc>
          <w:tcPr>
            <w:tcW w:w="11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2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320" w:type="dxa"/>
            <w:vAlign w:val="bottom"/>
            <w:shd w:val="clear" w:color="auto" w:fill="CCCCCC"/>
          </w:tcPr>
          <w:p>
            <w:pPr>
              <w:spacing w:after="0"/>
              <w:rPr>
                <w:sz w:val="24"/>
                <w:szCs w:val="24"/>
                <w:color w:val="auto"/>
              </w:rPr>
            </w:pPr>
          </w:p>
        </w:tc>
        <w:tc>
          <w:tcPr>
            <w:tcW w:w="106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r>
      <w:tr>
        <w:trPr>
          <w:trHeight w:val="280"/>
        </w:trPr>
        <w:tc>
          <w:tcPr>
            <w:tcW w:w="4840" w:type="dxa"/>
            <w:vAlign w:val="bottom"/>
            <w:gridSpan w:val="2"/>
          </w:tcPr>
          <w:p>
            <w:pPr>
              <w:ind w:left="160"/>
              <w:spacing w:after="0"/>
              <w:rPr>
                <w:sz w:val="20"/>
                <w:szCs w:val="20"/>
                <w:color w:val="auto"/>
              </w:rPr>
            </w:pPr>
            <w:r>
              <w:rPr>
                <w:rFonts w:ascii="Arial" w:cs="Arial" w:eastAsia="Arial" w:hAnsi="Arial"/>
                <w:sz w:val="20"/>
                <w:szCs w:val="20"/>
                <w:color w:val="auto"/>
              </w:rPr>
              <w:t>Gain on sale of Liberty shares  . . . . . . . . . . . . . .</w:t>
            </w: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(28)</w:t>
            </w:r>
          </w:p>
        </w:tc>
        <w:tc>
          <w:tcPr>
            <w:tcW w:w="16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(4)</w:t>
            </w:r>
          </w:p>
        </w:tc>
        <w:tc>
          <w:tcPr>
            <w:tcW w:w="3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80"/>
        </w:trPr>
        <w:tc>
          <w:tcPr>
            <w:tcW w:w="4840" w:type="dxa"/>
            <w:vAlign w:val="bottom"/>
            <w:gridSpan w:val="2"/>
            <w:shd w:val="clear" w:color="auto" w:fill="CCCCCC"/>
          </w:tcPr>
          <w:p>
            <w:pPr>
              <w:ind w:left="160"/>
              <w:spacing w:after="0"/>
              <w:rPr>
                <w:sz w:val="20"/>
                <w:szCs w:val="20"/>
                <w:color w:val="auto"/>
              </w:rPr>
            </w:pPr>
            <w:r>
              <w:rPr>
                <w:rFonts w:ascii="Arial" w:cs="Arial" w:eastAsia="Arial" w:hAnsi="Arial"/>
                <w:sz w:val="20"/>
                <w:szCs w:val="20"/>
                <w:color w:val="auto"/>
              </w:rPr>
              <w:t>Early repayment of bonds . . . . . . . . . . . . . . . . . .</w:t>
            </w:r>
          </w:p>
        </w:tc>
        <w:tc>
          <w:tcPr>
            <w:tcW w:w="13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10</w:t>
            </w:r>
          </w:p>
        </w:tc>
        <w:tc>
          <w:tcPr>
            <w:tcW w:w="160" w:type="dxa"/>
            <w:vAlign w:val="bottom"/>
            <w:shd w:val="clear" w:color="auto" w:fill="CCCCCC"/>
          </w:tcPr>
          <w:p>
            <w:pPr>
              <w:spacing w:after="0"/>
              <w:rPr>
                <w:sz w:val="24"/>
                <w:szCs w:val="24"/>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CCCC"/>
          </w:tcPr>
          <w:p>
            <w:pPr>
              <w:spacing w:after="0"/>
              <w:rPr>
                <w:sz w:val="24"/>
                <w:szCs w:val="24"/>
                <w:color w:val="auto"/>
              </w:rPr>
            </w:pPr>
          </w:p>
        </w:tc>
        <w:tc>
          <w:tcPr>
            <w:tcW w:w="32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10</w:t>
            </w:r>
          </w:p>
        </w:tc>
      </w:tr>
      <w:tr>
        <w:trPr>
          <w:trHeight w:val="70"/>
        </w:trPr>
        <w:tc>
          <w:tcPr>
            <w:tcW w:w="45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2"/>
        </w:trPr>
        <w:tc>
          <w:tcPr>
            <w:tcW w:w="4840" w:type="dxa"/>
            <w:vAlign w:val="bottom"/>
            <w:gridSpan w:val="2"/>
          </w:tcPr>
          <w:p>
            <w:pPr>
              <w:ind w:left="458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(65)</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80"/>
              <w:spacing w:after="0"/>
              <w:rPr>
                <w:sz w:val="20"/>
                <w:szCs w:val="20"/>
                <w:color w:val="auto"/>
              </w:rPr>
            </w:pPr>
            <w:r>
              <w:rPr>
                <w:rFonts w:ascii="Arial" w:cs="Arial" w:eastAsia="Arial" w:hAnsi="Arial"/>
                <w:sz w:val="20"/>
                <w:szCs w:val="20"/>
                <w:color w:val="auto"/>
              </w:rPr>
              <w:t>(15)</w:t>
            </w:r>
          </w:p>
        </w:tc>
        <w:tc>
          <w:tcPr>
            <w:tcW w:w="320" w:type="dxa"/>
            <w:vAlign w:val="bottom"/>
          </w:tcPr>
          <w:p>
            <w:pPr>
              <w:jc w:val="right"/>
              <w:ind w:right="107"/>
              <w:spacing w:after="0"/>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(50)</w:t>
            </w:r>
          </w:p>
        </w:tc>
      </w:tr>
      <w:tr>
        <w:trPr>
          <w:trHeight w:val="28"/>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Third quarter 2021:</w:t>
      </w:r>
    </w:p>
    <w:p>
      <w:pPr>
        <w:spacing w:after="0" w:line="134" w:lineRule="exact"/>
        <w:rPr>
          <w:sz w:val="20"/>
          <w:szCs w:val="20"/>
          <w:color w:val="auto"/>
        </w:rPr>
      </w:pPr>
    </w:p>
    <w:p>
      <w:pPr>
        <w:jc w:val="both"/>
        <w:ind w:left="840" w:right="120" w:hanging="360"/>
        <w:spacing w:after="0" w:line="249" w:lineRule="auto"/>
        <w:tabs>
          <w:tab w:leader="none" w:pos="8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During the third quarter of 2021, a start-up company that SLB previously invested in was acquired. As a result of this transaction, SLB’s ownership interest was converted into shares of a publicly traded company. SLB recognized an unrealized pretax gain of $47 million to increase the carrying value of this investment to its estimated fair value of approximately $55 million. This unrealized gain is reflected in </w:t>
      </w:r>
      <w:r>
        <w:rPr>
          <w:rFonts w:ascii="Arial" w:cs="Arial" w:eastAsia="Arial" w:hAnsi="Arial"/>
          <w:sz w:val="20"/>
          <w:szCs w:val="20"/>
          <w:i w:val="1"/>
          <w:iCs w:val="1"/>
          <w:color w:val="auto"/>
        </w:rPr>
        <w:t>Interest &amp; other income, net</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 of Income (Loss)</w:t>
      </w:r>
      <w:r>
        <w:rPr>
          <w:rFonts w:ascii="Arial" w:cs="Arial" w:eastAsia="Arial" w:hAnsi="Arial"/>
          <w:sz w:val="20"/>
          <w:szCs w:val="20"/>
          <w:color w:val="auto"/>
        </w:rPr>
        <w:t>.</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Fourth quarter 2021:</w:t>
      </w:r>
    </w:p>
    <w:p>
      <w:pPr>
        <w:spacing w:after="0" w:line="134" w:lineRule="exact"/>
        <w:rPr>
          <w:sz w:val="20"/>
          <w:szCs w:val="20"/>
          <w:color w:val="auto"/>
        </w:rPr>
      </w:pPr>
    </w:p>
    <w:p>
      <w:pPr>
        <w:jc w:val="both"/>
        <w:ind w:left="840" w:right="120" w:hanging="360"/>
        <w:spacing w:after="0" w:line="248" w:lineRule="auto"/>
        <w:tabs>
          <w:tab w:leader="none" w:pos="8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SLB sold 9.5 million of its shares of Liberty and received proceeds of $109 million. As a result of this transaction SLB recognized a gain of $28 million, which is classified in </w:t>
      </w:r>
      <w:r>
        <w:rPr>
          <w:rFonts w:ascii="Arial" w:cs="Arial" w:eastAsia="Arial" w:hAnsi="Arial"/>
          <w:sz w:val="20"/>
          <w:szCs w:val="20"/>
          <w:i w:val="1"/>
          <w:iCs w:val="1"/>
          <w:color w:val="auto"/>
        </w:rPr>
        <w:t>Interest &amp; other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income, net </w:t>
      </w:r>
      <w:r>
        <w:rPr>
          <w:rFonts w:ascii="Arial" w:cs="Arial" w:eastAsia="Arial" w:hAnsi="Arial"/>
          <w:sz w:val="20"/>
          <w:szCs w:val="20"/>
          <w:color w:val="auto"/>
        </w:rPr>
        <w:t>in the</w:t>
      </w:r>
      <w:r>
        <w:rPr>
          <w:rFonts w:ascii="Arial" w:cs="Arial" w:eastAsia="Arial" w:hAnsi="Arial"/>
          <w:sz w:val="20"/>
          <w:szCs w:val="20"/>
          <w:i w:val="1"/>
          <w:iCs w:val="1"/>
          <w:color w:val="auto"/>
        </w:rPr>
        <w:t xml:space="preserve"> Consolidated Statement of Income (Loss)</w:t>
      </w:r>
      <w:r>
        <w:rPr>
          <w:rFonts w:ascii="Arial" w:cs="Arial" w:eastAsia="Arial" w:hAnsi="Arial"/>
          <w:sz w:val="20"/>
          <w:szCs w:val="20"/>
          <w:color w:val="auto"/>
        </w:rPr>
        <w:t>.</w:t>
      </w:r>
    </w:p>
    <w:p>
      <w:pPr>
        <w:spacing w:after="0" w:line="127"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On November 30, 2021, SLB deposited sufficient funds with the trustee for its $1.0 billion of 2.40% Senior Notes due 2022 (including payment of the February 1, 2022 interest payment) to satisfy and discharge all of its obligations relating to such notes. As a result of this transaction, SLB recorded a charge of $10 million. This charge is reflected in </w:t>
      </w:r>
      <w:r>
        <w:rPr>
          <w:rFonts w:ascii="Arial" w:cs="Arial" w:eastAsia="Arial" w:hAnsi="Arial"/>
          <w:sz w:val="20"/>
          <w:szCs w:val="20"/>
          <w:i w:val="1"/>
          <w:iCs w:val="1"/>
          <w:color w:val="auto"/>
        </w:rPr>
        <w:t>Interest</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 of Income (Loss)</w:t>
      </w:r>
      <w:r>
        <w:rPr>
          <w:rFonts w:ascii="Arial" w:cs="Arial" w:eastAsia="Arial" w:hAnsi="Arial"/>
          <w:sz w:val="20"/>
          <w:szCs w:val="20"/>
          <w:color w:val="auto"/>
        </w:rPr>
        <w:t>.</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2240" w:h="15840" w:orient="portrait"/>
          <w:cols w:equalWidth="0" w:num="1">
            <w:col w:w="9360"/>
          </w:cols>
          <w:pgMar w:left="1440" w:top="1440" w:right="1440" w:bottom="836" w:gutter="0" w:footer="0" w:header="0"/>
          <w:type w:val="continuous"/>
        </w:sectPr>
      </w:pPr>
    </w:p>
    <w:bookmarkStart w:id="72" w:name="page73"/>
    <w:bookmarkEnd w:id="72"/>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2020</w:t>
      </w:r>
    </w:p>
    <w:p>
      <w:pPr>
        <w:spacing w:after="0" w:line="109" w:lineRule="exact"/>
        <w:rPr>
          <w:sz w:val="20"/>
          <w:szCs w:val="20"/>
          <w:color w:val="auto"/>
        </w:rPr>
      </w:pPr>
    </w:p>
    <w:p>
      <w:pPr>
        <w:ind w:left="120" w:right="120"/>
        <w:spacing w:after="0" w:line="245" w:lineRule="auto"/>
        <w:rPr>
          <w:sz w:val="20"/>
          <w:szCs w:val="20"/>
          <w:color w:val="auto"/>
        </w:rPr>
      </w:pPr>
      <w:r>
        <w:rPr>
          <w:rFonts w:ascii="Arial" w:cs="Arial" w:eastAsia="Arial" w:hAnsi="Arial"/>
          <w:sz w:val="20"/>
          <w:szCs w:val="20"/>
          <w:color w:val="auto"/>
        </w:rPr>
        <w:t xml:space="preserve">SLB recorded the following charges and credits during 2020, all of which, unless otherwise noted, are classified in </w:t>
      </w:r>
      <w:r>
        <w:rPr>
          <w:rFonts w:ascii="Arial" w:cs="Arial" w:eastAsia="Arial" w:hAnsi="Arial"/>
          <w:sz w:val="20"/>
          <w:szCs w:val="20"/>
          <w:i w:val="1"/>
          <w:iCs w:val="1"/>
          <w:color w:val="auto"/>
        </w:rPr>
        <w:t>Impairments &amp; other</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 Statement of Income (Loss)</w:t>
      </w:r>
      <w:r>
        <w:rPr>
          <w:rFonts w:ascii="Arial" w:cs="Arial" w:eastAsia="Arial" w:hAnsi="Arial"/>
          <w:sz w:val="20"/>
          <w:szCs w:val="20"/>
          <w:color w:val="auto"/>
        </w:rPr>
        <w:t>:</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64"/>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20"/>
                <w:szCs w:val="20"/>
                <w:color w:val="auto"/>
              </w:rPr>
              <w:t>Pretax</w:t>
            </w:r>
          </w:p>
        </w:tc>
        <w:tc>
          <w:tcPr>
            <w:tcW w:w="160" w:type="dxa"/>
            <w:vAlign w:val="bottom"/>
          </w:tcPr>
          <w:p>
            <w:pPr>
              <w:spacing w:after="0"/>
              <w:rPr>
                <w:sz w:val="24"/>
                <w:szCs w:val="24"/>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20"/>
                <w:szCs w:val="20"/>
                <w:color w:val="auto"/>
              </w:rPr>
              <w:t>Tax Benefit</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4780" w:type="dxa"/>
            <w:vAlign w:val="bottom"/>
          </w:tcPr>
          <w:p>
            <w:pPr>
              <w:spacing w:after="0"/>
              <w:rPr>
                <w:sz w:val="19"/>
                <w:szCs w:val="19"/>
                <w:color w:val="auto"/>
              </w:rPr>
            </w:pPr>
          </w:p>
        </w:tc>
        <w:tc>
          <w:tcPr>
            <w:tcW w:w="1480" w:type="dxa"/>
            <w:vAlign w:val="bottom"/>
            <w:gridSpan w:val="3"/>
          </w:tcPr>
          <w:p>
            <w:pPr>
              <w:spacing w:after="0" w:line="226" w:lineRule="exact"/>
              <w:rPr>
                <w:sz w:val="20"/>
                <w:szCs w:val="20"/>
                <w:color w:val="auto"/>
              </w:rPr>
            </w:pPr>
            <w:r>
              <w:rPr>
                <w:rFonts w:ascii="Arial" w:cs="Arial" w:eastAsia="Arial" w:hAnsi="Arial"/>
                <w:sz w:val="20"/>
                <w:szCs w:val="20"/>
                <w:color w:val="auto"/>
              </w:rPr>
              <w:t>Charge (Credit)</w:t>
            </w:r>
          </w:p>
        </w:tc>
        <w:tc>
          <w:tcPr>
            <w:tcW w:w="160" w:type="dxa"/>
            <w:vAlign w:val="bottom"/>
          </w:tcPr>
          <w:p>
            <w:pPr>
              <w:spacing w:after="0"/>
              <w:rPr>
                <w:sz w:val="19"/>
                <w:szCs w:val="19"/>
                <w:color w:val="auto"/>
              </w:rPr>
            </w:pPr>
          </w:p>
        </w:tc>
        <w:tc>
          <w:tcPr>
            <w:tcW w:w="1600" w:type="dxa"/>
            <w:vAlign w:val="bottom"/>
            <w:gridSpan w:val="3"/>
          </w:tcPr>
          <w:p>
            <w:pPr>
              <w:jc w:val="right"/>
              <w:ind w:right="540"/>
              <w:spacing w:after="0" w:line="226" w:lineRule="exact"/>
              <w:rPr>
                <w:sz w:val="20"/>
                <w:szCs w:val="20"/>
                <w:color w:val="auto"/>
              </w:rPr>
            </w:pPr>
            <w:r>
              <w:rPr>
                <w:rFonts w:ascii="Arial" w:cs="Arial" w:eastAsia="Arial" w:hAnsi="Arial"/>
                <w:sz w:val="20"/>
                <w:szCs w:val="20"/>
                <w:color w:val="auto"/>
              </w:rPr>
              <w:t>(Expense)</w:t>
            </w:r>
          </w:p>
        </w:tc>
        <w:tc>
          <w:tcPr>
            <w:tcW w:w="1120" w:type="dxa"/>
            <w:vAlign w:val="bottom"/>
            <w:gridSpan w:val="2"/>
          </w:tcPr>
          <w:p>
            <w:pPr>
              <w:jc w:val="right"/>
              <w:ind w:right="600"/>
              <w:spacing w:after="0" w:line="226" w:lineRule="exact"/>
              <w:rPr>
                <w:sz w:val="20"/>
                <w:szCs w:val="20"/>
                <w:color w:val="auto"/>
              </w:rPr>
            </w:pPr>
            <w:r>
              <w:rPr>
                <w:rFonts w:ascii="Arial" w:cs="Arial" w:eastAsia="Arial" w:hAnsi="Arial"/>
                <w:sz w:val="20"/>
                <w:szCs w:val="20"/>
                <w:color w:val="auto"/>
              </w:rPr>
              <w:t>Net</w:t>
            </w:r>
          </w:p>
        </w:tc>
      </w:tr>
      <w:tr>
        <w:trPr>
          <w:trHeight w:val="28"/>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78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First quarter:</w:t>
            </w:r>
          </w:p>
        </w:tc>
        <w:tc>
          <w:tcPr>
            <w:tcW w:w="260" w:type="dxa"/>
            <w:vAlign w:val="bottom"/>
            <w:shd w:val="clear" w:color="auto" w:fill="CCCCCC"/>
          </w:tcPr>
          <w:p>
            <w:pPr>
              <w:spacing w:after="0"/>
              <w:rPr>
                <w:sz w:val="23"/>
                <w:szCs w:val="23"/>
                <w:color w:val="auto"/>
              </w:rPr>
            </w:pPr>
          </w:p>
        </w:tc>
        <w:tc>
          <w:tcPr>
            <w:tcW w:w="112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22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c>
          <w:tcPr>
            <w:tcW w:w="320" w:type="dxa"/>
            <w:vAlign w:val="bottom"/>
            <w:shd w:val="clear" w:color="auto" w:fill="CCCCCC"/>
          </w:tcPr>
          <w:p>
            <w:pPr>
              <w:spacing w:after="0"/>
              <w:rPr>
                <w:sz w:val="23"/>
                <w:szCs w:val="23"/>
                <w:color w:val="auto"/>
              </w:rPr>
            </w:pPr>
          </w:p>
        </w:tc>
        <w:tc>
          <w:tcPr>
            <w:tcW w:w="1100" w:type="dxa"/>
            <w:vAlign w:val="bottom"/>
            <w:tcBorders>
              <w:right w:val="single" w:sz="8" w:color="CCCCCC"/>
            </w:tcBorders>
            <w:shd w:val="clear" w:color="auto" w:fill="CCCCCC"/>
          </w:tcPr>
          <w:p>
            <w:pPr>
              <w:spacing w:after="0"/>
              <w:rPr>
                <w:sz w:val="23"/>
                <w:szCs w:val="23"/>
                <w:color w:val="auto"/>
              </w:rPr>
            </w:pPr>
          </w:p>
        </w:tc>
        <w:tc>
          <w:tcPr>
            <w:tcW w:w="20" w:type="dxa"/>
            <w:vAlign w:val="bottom"/>
          </w:tcPr>
          <w:p>
            <w:pPr>
              <w:spacing w:after="0"/>
              <w:rPr>
                <w:sz w:val="23"/>
                <w:szCs w:val="23"/>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w w:val="98"/>
              </w:rPr>
              <w:t>Goodwill . . . . . . . . . . . . . . . . . . . . . . . . . . . . . . . . . . .</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3,070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gridSpan w:val="3"/>
          </w:tcPr>
          <w:p>
            <w:pPr>
              <w:jc w:val="right"/>
              <w:ind w:right="120"/>
              <w:spacing w:after="0"/>
              <w:rPr>
                <w:sz w:val="20"/>
                <w:szCs w:val="20"/>
                <w:color w:val="auto"/>
              </w:rPr>
            </w:pPr>
            <w:r>
              <w:rPr>
                <w:rFonts w:ascii="Arial" w:cs="Arial" w:eastAsia="Arial" w:hAnsi="Arial"/>
                <w:sz w:val="20"/>
                <w:szCs w:val="20"/>
                <w:color w:val="auto"/>
              </w:rPr>
              <w:t>- $</w:t>
            </w:r>
          </w:p>
        </w:tc>
        <w:tc>
          <w:tcPr>
            <w:tcW w:w="1100" w:type="dxa"/>
            <w:vAlign w:val="bottom"/>
          </w:tcPr>
          <w:p>
            <w:pPr>
              <w:jc w:val="right"/>
              <w:spacing w:after="0"/>
              <w:rPr>
                <w:sz w:val="20"/>
                <w:szCs w:val="20"/>
                <w:color w:val="auto"/>
              </w:rPr>
            </w:pPr>
            <w:r>
              <w:rPr>
                <w:rFonts w:ascii="Arial" w:cs="Arial" w:eastAsia="Arial" w:hAnsi="Arial"/>
                <w:sz w:val="20"/>
                <w:szCs w:val="20"/>
                <w:color w:val="auto"/>
              </w:rPr>
              <w:t>3,070</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rPr>
              <w:t>Intangible assets impairments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3,321</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815</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2,506</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rPr>
              <w:t>Asset Performance Solutions investments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20"/>
                <w:szCs w:val="20"/>
                <w:color w:val="auto"/>
              </w:rPr>
              <w:t>(4)</w:t>
            </w:r>
          </w:p>
        </w:tc>
        <w:tc>
          <w:tcPr>
            <w:tcW w:w="1100" w:type="dxa"/>
            <w:vAlign w:val="bottom"/>
          </w:tcPr>
          <w:p>
            <w:pPr>
              <w:jc w:val="right"/>
              <w:spacing w:after="0"/>
              <w:rPr>
                <w:sz w:val="20"/>
                <w:szCs w:val="20"/>
                <w:color w:val="auto"/>
              </w:rPr>
            </w:pPr>
            <w:r>
              <w:rPr>
                <w:rFonts w:ascii="Arial" w:cs="Arial" w:eastAsia="Arial" w:hAnsi="Arial"/>
                <w:sz w:val="20"/>
                <w:szCs w:val="20"/>
                <w:color w:val="auto"/>
              </w:rPr>
              <w:t>1,268</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rPr>
              <w:t>North America pressure pumping impairment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587</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133</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454</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w w:val="99"/>
              </w:rPr>
              <w:t>Workforce reductions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7</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195</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7"/>
              </w:rPr>
              <w:t>Other . . . . . . . . . . . . . . . . . . . . .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79</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9</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70</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w w:val="98"/>
              </w:rPr>
              <w:t>Valuation allowance . .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20"/>
                <w:szCs w:val="20"/>
                <w:color w:val="auto"/>
              </w:rPr>
              <w:t>(164)</w:t>
            </w:r>
          </w:p>
        </w:tc>
        <w:tc>
          <w:tcPr>
            <w:tcW w:w="1100" w:type="dxa"/>
            <w:vAlign w:val="bottom"/>
          </w:tcPr>
          <w:p>
            <w:pPr>
              <w:jc w:val="right"/>
              <w:spacing w:after="0"/>
              <w:rPr>
                <w:sz w:val="20"/>
                <w:szCs w:val="20"/>
                <w:color w:val="auto"/>
              </w:rPr>
            </w:pPr>
            <w:r>
              <w:rPr>
                <w:rFonts w:ascii="Arial" w:cs="Arial" w:eastAsia="Arial" w:hAnsi="Arial"/>
                <w:sz w:val="20"/>
                <w:szCs w:val="20"/>
                <w:color w:val="auto"/>
              </w:rPr>
              <w:t>164</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Second quarter:</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2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w w:val="99"/>
              </w:rPr>
              <w:t>Workforce reductions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71</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950</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rPr>
              <w:t>Asset Performance Solutions investments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730</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15</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715</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w w:val="99"/>
              </w:rPr>
              <w:t>Fixed asset impairments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52</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614</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9"/>
              </w:rPr>
              <w:t>Inventory write-downs . . . . . . .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603</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49</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554</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rPr>
              <w:t>Right-of-use asset impairments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67</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244</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rPr>
              <w:t>Costs associated with exiting certain activities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205</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600" w:type="dxa"/>
            <w:vAlign w:val="bottom"/>
            <w:gridSpan w:val="3"/>
            <w:shd w:val="clear" w:color="auto" w:fill="CCCCCC"/>
          </w:tcPr>
          <w:p>
            <w:pPr>
              <w:jc w:val="right"/>
              <w:ind w:right="240"/>
              <w:spacing w:after="0"/>
              <w:rPr>
                <w:sz w:val="20"/>
                <w:szCs w:val="20"/>
                <w:color w:val="auto"/>
              </w:rPr>
            </w:pPr>
            <w:r>
              <w:rPr>
                <w:rFonts w:ascii="Arial" w:cs="Arial" w:eastAsia="Arial" w:hAnsi="Arial"/>
                <w:sz w:val="20"/>
                <w:szCs w:val="20"/>
                <w:color w:val="auto"/>
              </w:rPr>
              <w:t>(25)</w:t>
            </w: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230</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w w:val="99"/>
              </w:rPr>
              <w:t>Exploration data impairment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154</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9"/>
              </w:rPr>
              <w:t>Repurchase of bonds  . . . . . . .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40</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38</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rPr>
              <w:t>Postretirement benefits curtailment gain . . . . . . . . .</w:t>
            </w:r>
          </w:p>
        </w:tc>
        <w:tc>
          <w:tcPr>
            <w:tcW w:w="26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(69)</w:t>
            </w:r>
          </w:p>
        </w:tc>
        <w:tc>
          <w:tcPr>
            <w:tcW w:w="160" w:type="dxa"/>
            <w:vAlign w:val="bottom"/>
          </w:tcPr>
          <w:p>
            <w:pPr>
              <w:spacing w:after="0"/>
              <w:rPr>
                <w:sz w:val="24"/>
                <w:szCs w:val="2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20"/>
                <w:szCs w:val="20"/>
                <w:color w:val="auto"/>
              </w:rPr>
              <w:t>(16)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(53)</w:t>
            </w: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7"/>
              </w:rPr>
              <w:t>Other . . . . . . . . . . . . . . . . . . . . .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60</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4</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56</w:t>
            </w:r>
          </w:p>
        </w:tc>
        <w:tc>
          <w:tcPr>
            <w:tcW w:w="20" w:type="dxa"/>
            <w:vAlign w:val="bottom"/>
          </w:tcPr>
          <w:p>
            <w:pPr>
              <w:spacing w:after="0"/>
              <w:rPr>
                <w:sz w:val="24"/>
                <w:szCs w:val="24"/>
                <w:color w:val="auto"/>
              </w:rPr>
            </w:pPr>
          </w:p>
        </w:tc>
      </w:tr>
      <w:tr>
        <w:trPr>
          <w:trHeight w:val="280"/>
        </w:trPr>
        <w:tc>
          <w:tcPr>
            <w:tcW w:w="4780" w:type="dxa"/>
            <w:vAlign w:val="bottom"/>
          </w:tcPr>
          <w:p>
            <w:pPr>
              <w:spacing w:after="0"/>
              <w:rPr>
                <w:sz w:val="20"/>
                <w:szCs w:val="20"/>
                <w:color w:val="auto"/>
              </w:rPr>
            </w:pPr>
            <w:r>
              <w:rPr>
                <w:rFonts w:ascii="Arial" w:cs="Arial" w:eastAsia="Arial" w:hAnsi="Arial"/>
                <w:sz w:val="20"/>
                <w:szCs w:val="20"/>
                <w:i w:val="1"/>
                <w:iCs w:val="1"/>
                <w:color w:val="auto"/>
              </w:rPr>
              <w:t>Third quarter: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8"/>
              </w:rPr>
              <w:t>Facility exit charges . . . . . . . . .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254</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39</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215</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w w:val="99"/>
              </w:rPr>
              <w:t>Workforce reductions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63</w:t>
            </w: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7"/>
              </w:rPr>
              <w:t>Other . . . . . . . . . . . . . . . . . . . . .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33</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32</w:t>
            </w:r>
          </w:p>
        </w:tc>
        <w:tc>
          <w:tcPr>
            <w:tcW w:w="20" w:type="dxa"/>
            <w:vAlign w:val="bottom"/>
          </w:tcPr>
          <w:p>
            <w:pPr>
              <w:spacing w:after="0"/>
              <w:rPr>
                <w:sz w:val="24"/>
                <w:szCs w:val="24"/>
                <w:color w:val="auto"/>
              </w:rPr>
            </w:pPr>
          </w:p>
        </w:tc>
      </w:tr>
      <w:tr>
        <w:trPr>
          <w:trHeight w:val="280"/>
        </w:trPr>
        <w:tc>
          <w:tcPr>
            <w:tcW w:w="4780" w:type="dxa"/>
            <w:vAlign w:val="bottom"/>
          </w:tcPr>
          <w:p>
            <w:pPr>
              <w:spacing w:after="0"/>
              <w:rPr>
                <w:sz w:val="20"/>
                <w:szCs w:val="20"/>
                <w:color w:val="auto"/>
              </w:rPr>
            </w:pPr>
            <w:r>
              <w:rPr>
                <w:rFonts w:ascii="Arial" w:cs="Arial" w:eastAsia="Arial" w:hAnsi="Arial"/>
                <w:sz w:val="20"/>
                <w:szCs w:val="20"/>
                <w:i w:val="1"/>
                <w:iCs w:val="1"/>
                <w:color w:val="auto"/>
              </w:rPr>
              <w:t>Fourth quarter:</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9"/>
              </w:rPr>
              <w:t>Gain on sale of OneStim . . . . . . . . . . . . . . . . . . . . . .</w:t>
            </w:r>
          </w:p>
        </w:tc>
        <w:tc>
          <w:tcPr>
            <w:tcW w:w="260" w:type="dxa"/>
            <w:vAlign w:val="bottom"/>
            <w:shd w:val="clear" w:color="auto" w:fill="CCCCCC"/>
          </w:tcPr>
          <w:p>
            <w:pPr>
              <w:spacing w:after="0"/>
              <w:rPr>
                <w:sz w:val="24"/>
                <w:szCs w:val="24"/>
                <w:color w:val="auto"/>
              </w:rPr>
            </w:pPr>
          </w:p>
        </w:tc>
        <w:tc>
          <w:tcPr>
            <w:tcW w:w="1220" w:type="dxa"/>
            <w:vAlign w:val="bottom"/>
            <w:gridSpan w:val="2"/>
            <w:shd w:val="clear" w:color="auto" w:fill="CCCCCC"/>
          </w:tcPr>
          <w:p>
            <w:pPr>
              <w:jc w:val="right"/>
              <w:ind w:right="20"/>
              <w:spacing w:after="0"/>
              <w:rPr>
                <w:sz w:val="20"/>
                <w:szCs w:val="20"/>
                <w:color w:val="auto"/>
              </w:rPr>
            </w:pPr>
            <w:r>
              <w:rPr>
                <w:rFonts w:ascii="Arial" w:cs="Arial" w:eastAsia="Arial" w:hAnsi="Arial"/>
                <w:sz w:val="20"/>
                <w:szCs w:val="20"/>
                <w:color w:val="auto"/>
              </w:rPr>
              <w:t>(104)</w:t>
            </w:r>
          </w:p>
        </w:tc>
        <w:tc>
          <w:tcPr>
            <w:tcW w:w="160" w:type="dxa"/>
            <w:vAlign w:val="bottom"/>
            <w:shd w:val="clear" w:color="auto" w:fill="CCCCCC"/>
          </w:tcPr>
          <w:p>
            <w:pPr>
              <w:spacing w:after="0"/>
              <w:rPr>
                <w:sz w:val="24"/>
                <w:szCs w:val="24"/>
                <w:color w:val="auto"/>
              </w:rPr>
            </w:pPr>
          </w:p>
        </w:tc>
        <w:tc>
          <w:tcPr>
            <w:tcW w:w="1600" w:type="dxa"/>
            <w:vAlign w:val="bottom"/>
            <w:gridSpan w:val="3"/>
            <w:shd w:val="clear" w:color="auto" w:fill="CCCCCC"/>
          </w:tcPr>
          <w:p>
            <w:pPr>
              <w:jc w:val="right"/>
              <w:ind w:right="240"/>
              <w:spacing w:after="0"/>
              <w:rPr>
                <w:sz w:val="20"/>
                <w:szCs w:val="20"/>
                <w:color w:val="auto"/>
              </w:rPr>
            </w:pPr>
            <w:r>
              <w:rPr>
                <w:rFonts w:ascii="Arial" w:cs="Arial" w:eastAsia="Arial" w:hAnsi="Arial"/>
                <w:sz w:val="20"/>
                <w:szCs w:val="20"/>
                <w:color w:val="auto"/>
              </w:rPr>
              <w:t>(11)</w:t>
            </w: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(93)</w:t>
            </w:r>
          </w:p>
        </w:tc>
        <w:tc>
          <w:tcPr>
            <w:tcW w:w="20" w:type="dxa"/>
            <w:vAlign w:val="bottom"/>
          </w:tcPr>
          <w:p>
            <w:pPr>
              <w:spacing w:after="0"/>
              <w:rPr>
                <w:sz w:val="24"/>
                <w:szCs w:val="24"/>
                <w:color w:val="auto"/>
              </w:rPr>
            </w:pPr>
          </w:p>
        </w:tc>
      </w:tr>
      <w:tr>
        <w:trPr>
          <w:trHeight w:val="280"/>
        </w:trPr>
        <w:tc>
          <w:tcPr>
            <w:tcW w:w="4780" w:type="dxa"/>
            <w:vAlign w:val="bottom"/>
          </w:tcPr>
          <w:p>
            <w:pPr>
              <w:ind w:left="160"/>
              <w:spacing w:after="0"/>
              <w:rPr>
                <w:sz w:val="20"/>
                <w:szCs w:val="20"/>
                <w:color w:val="auto"/>
              </w:rPr>
            </w:pPr>
            <w:r>
              <w:rPr>
                <w:rFonts w:ascii="Arial" w:cs="Arial" w:eastAsia="Arial" w:hAnsi="Arial"/>
                <w:sz w:val="20"/>
                <w:szCs w:val="20"/>
                <w:color w:val="auto"/>
              </w:rPr>
              <w:t>Unrealized gain on marketable securities . . . . . . . .</w:t>
            </w:r>
          </w:p>
        </w:tc>
        <w:tc>
          <w:tcPr>
            <w:tcW w:w="26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(39)</w:t>
            </w:r>
          </w:p>
        </w:tc>
        <w:tc>
          <w:tcPr>
            <w:tcW w:w="160" w:type="dxa"/>
            <w:vAlign w:val="bottom"/>
          </w:tcPr>
          <w:p>
            <w:pPr>
              <w:spacing w:after="0"/>
              <w:rPr>
                <w:sz w:val="24"/>
                <w:szCs w:val="2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20"/>
                <w:szCs w:val="20"/>
                <w:color w:val="auto"/>
              </w:rPr>
              <w:t>(9)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(30)</w:t>
            </w:r>
          </w:p>
        </w:tc>
      </w:tr>
      <w:tr>
        <w:trPr>
          <w:trHeight w:val="280"/>
        </w:trPr>
        <w:tc>
          <w:tcPr>
            <w:tcW w:w="4780" w:type="dxa"/>
            <w:vAlign w:val="bottom"/>
            <w:shd w:val="clear" w:color="auto" w:fill="CCCCCC"/>
          </w:tcPr>
          <w:p>
            <w:pPr>
              <w:ind w:left="160"/>
              <w:spacing w:after="0"/>
              <w:rPr>
                <w:sz w:val="20"/>
                <w:szCs w:val="20"/>
                <w:color w:val="auto"/>
              </w:rPr>
            </w:pPr>
            <w:r>
              <w:rPr>
                <w:rFonts w:ascii="Arial" w:cs="Arial" w:eastAsia="Arial" w:hAnsi="Arial"/>
                <w:sz w:val="20"/>
                <w:szCs w:val="20"/>
                <w:color w:val="auto"/>
                <w:w w:val="97"/>
              </w:rPr>
              <w:t>Other . . . . . . . . . . . . . . . . . . . . . . . . . . . . . . . . . . . . . .</w:t>
            </w:r>
          </w:p>
        </w:tc>
        <w:tc>
          <w:tcPr>
            <w:tcW w:w="260" w:type="dxa"/>
            <w:vAlign w:val="bottom"/>
            <w:shd w:val="clear" w:color="auto" w:fill="CCCCCC"/>
          </w:tcPr>
          <w:p>
            <w:pPr>
              <w:spacing w:after="0"/>
              <w:rPr>
                <w:sz w:val="24"/>
                <w:szCs w:val="24"/>
                <w:color w:val="auto"/>
              </w:rPr>
            </w:pPr>
          </w:p>
        </w:tc>
        <w:tc>
          <w:tcPr>
            <w:tcW w:w="11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62</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2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4</w:t>
            </w:r>
          </w:p>
        </w:tc>
        <w:tc>
          <w:tcPr>
            <w:tcW w:w="320" w:type="dxa"/>
            <w:vAlign w:val="bottom"/>
            <w:shd w:val="clear" w:color="auto" w:fill="CCCCCC"/>
          </w:tcPr>
          <w:p>
            <w:pPr>
              <w:spacing w:after="0"/>
              <w:rPr>
                <w:sz w:val="24"/>
                <w:szCs w:val="24"/>
                <w:color w:val="auto"/>
              </w:rPr>
            </w:pPr>
          </w:p>
        </w:tc>
        <w:tc>
          <w:tcPr>
            <w:tcW w:w="110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20"/>
                <w:szCs w:val="20"/>
                <w:color w:val="auto"/>
              </w:rPr>
              <w:t>58</w:t>
            </w:r>
          </w:p>
        </w:tc>
        <w:tc>
          <w:tcPr>
            <w:tcW w:w="20" w:type="dxa"/>
            <w:vAlign w:val="bottom"/>
          </w:tcPr>
          <w:p>
            <w:pPr>
              <w:spacing w:after="0"/>
              <w:rPr>
                <w:sz w:val="24"/>
                <w:szCs w:val="24"/>
                <w:color w:val="auto"/>
              </w:rPr>
            </w:pPr>
          </w:p>
        </w:tc>
      </w:tr>
      <w:tr>
        <w:trPr>
          <w:trHeight w:val="70"/>
        </w:trPr>
        <w:tc>
          <w:tcPr>
            <w:tcW w:w="47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60"/>
        </w:trPr>
        <w:tc>
          <w:tcPr>
            <w:tcW w:w="478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12,515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gridSpan w:val="3"/>
          </w:tcPr>
          <w:p>
            <w:pPr>
              <w:jc w:val="right"/>
              <w:ind w:right="120"/>
              <w:spacing w:after="0"/>
              <w:rPr>
                <w:sz w:val="20"/>
                <w:szCs w:val="20"/>
                <w:color w:val="auto"/>
              </w:rPr>
            </w:pPr>
            <w:r>
              <w:rPr>
                <w:rFonts w:ascii="Arial" w:cs="Arial" w:eastAsia="Arial" w:hAnsi="Arial"/>
                <w:sz w:val="20"/>
                <w:szCs w:val="20"/>
                <w:color w:val="auto"/>
              </w:rPr>
              <w:t>1,041 $</w:t>
            </w:r>
          </w:p>
        </w:tc>
        <w:tc>
          <w:tcPr>
            <w:tcW w:w="1100" w:type="dxa"/>
            <w:vAlign w:val="bottom"/>
          </w:tcPr>
          <w:p>
            <w:pPr>
              <w:jc w:val="right"/>
              <w:spacing w:after="0"/>
              <w:rPr>
                <w:sz w:val="20"/>
                <w:szCs w:val="20"/>
                <w:color w:val="auto"/>
              </w:rPr>
            </w:pPr>
            <w:r>
              <w:rPr>
                <w:rFonts w:ascii="Arial" w:cs="Arial" w:eastAsia="Arial" w:hAnsi="Arial"/>
                <w:sz w:val="20"/>
                <w:szCs w:val="20"/>
                <w:color w:val="auto"/>
              </w:rPr>
              <w:t>11,474</w:t>
            </w:r>
          </w:p>
        </w:tc>
        <w:tc>
          <w:tcPr>
            <w:tcW w:w="20" w:type="dxa"/>
            <w:vAlign w:val="bottom"/>
          </w:tcPr>
          <w:p>
            <w:pPr>
              <w:spacing w:after="0"/>
              <w:rPr>
                <w:sz w:val="22"/>
                <w:szCs w:val="22"/>
                <w:color w:val="auto"/>
              </w:rPr>
            </w:pPr>
          </w:p>
        </w:tc>
      </w:tr>
      <w:tr>
        <w:trPr>
          <w:trHeight w:val="30"/>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First quarter 2020:</w:t>
      </w:r>
    </w:p>
    <w:p>
      <w:pPr>
        <w:spacing w:after="0" w:line="109" w:lineRule="exact"/>
        <w:rPr>
          <w:sz w:val="20"/>
          <w:szCs w:val="20"/>
          <w:color w:val="auto"/>
        </w:rPr>
      </w:pPr>
    </w:p>
    <w:p>
      <w:pPr>
        <w:jc w:val="both"/>
        <w:ind w:left="840" w:right="120" w:hanging="360"/>
        <w:spacing w:after="0" w:line="264" w:lineRule="auto"/>
        <w:tabs>
          <w:tab w:leader="none" w:pos="8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Geopolitical events that increased the supply of low-priced oil to the global market occurred at the same time that demand weakened due to the worldwide effects of the COVID-19 pandemic, leading to a collapse in oil prices during March 2020. As a result, SLB’s market capitalization deteriorated significantly compared to the end of 2019. SLB’s stock price reached a low during the first quarter of 2020 not seen since 1995. Additionally, the Philadelphia Oil Services Sector index, which is comprised of companies involved in the oil services sector, reached an all-time low. As a result of these facts, SLB determined that it was more likely than not that the fair value of certain of its reporting units was less than their carrying value.</w:t>
      </w:r>
    </w:p>
    <w:p>
      <w:pPr>
        <w:sectPr>
          <w:pgSz w:w="12240" w:h="15840" w:orient="portrait"/>
          <w:cols w:equalWidth="0" w:num="1">
            <w:col w:w="9360"/>
          </w:cols>
          <w:pgMar w:left="1440" w:top="1440" w:right="1440" w:bottom="836"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2240" w:h="15840" w:orient="portrait"/>
          <w:cols w:equalWidth="0" w:num="1">
            <w:col w:w="9360"/>
          </w:cols>
          <w:pgMar w:left="1440" w:top="1440" w:right="1440" w:bottom="836" w:gutter="0" w:footer="0" w:header="0"/>
          <w:type w:val="continuous"/>
        </w:sectPr>
      </w:pPr>
    </w:p>
    <w:bookmarkStart w:id="73" w:name="page74"/>
    <w:bookmarkEnd w:id="73"/>
    <w:p>
      <w:pPr>
        <w:spacing w:after="0" w:line="56" w:lineRule="exact"/>
        <w:rPr>
          <w:sz w:val="20"/>
          <w:szCs w:val="20"/>
          <w:color w:val="auto"/>
        </w:rPr>
      </w:pPr>
    </w:p>
    <w:p>
      <w:pPr>
        <w:jc w:val="both"/>
        <w:ind w:left="840" w:right="120"/>
        <w:spacing w:after="0" w:line="249" w:lineRule="auto"/>
        <w:rPr>
          <w:sz w:val="20"/>
          <w:szCs w:val="20"/>
          <w:color w:val="auto"/>
        </w:rPr>
      </w:pPr>
      <w:r>
        <w:rPr>
          <w:rFonts w:ascii="Arial" w:cs="Arial" w:eastAsia="Arial" w:hAnsi="Arial"/>
          <w:sz w:val="20"/>
          <w:szCs w:val="20"/>
          <w:color w:val="auto"/>
        </w:rPr>
        <w:t>Therefore, SLB performed an interim goodwill impairment test, which resulted in a $3.1 billion goodwill impairment charge. SLB used the income approach to estimate the fair value of its reporting units, but also considered the market approach to validate the results. The income approach estimates the fair value by discounting each reporting unit’s estimated future cash flows using SLB’s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92" w:lineRule="exact"/>
        <w:rPr>
          <w:sz w:val="20"/>
          <w:szCs w:val="20"/>
          <w:color w:val="auto"/>
        </w:rPr>
      </w:pPr>
    </w:p>
    <w:p>
      <w:pPr>
        <w:jc w:val="both"/>
        <w:ind w:left="840" w:right="120"/>
        <w:spacing w:after="0" w:line="248" w:lineRule="auto"/>
        <w:rPr>
          <w:sz w:val="20"/>
          <w:szCs w:val="20"/>
          <w:color w:val="auto"/>
        </w:rPr>
      </w:pPr>
      <w:r>
        <w:rPr>
          <w:rFonts w:ascii="Arial" w:cs="Arial" w:eastAsia="Arial" w:hAnsi="Arial"/>
          <w:sz w:val="20"/>
          <w:szCs w:val="20"/>
          <w:color w:val="auto"/>
        </w:rPr>
        <w:t>Some of the more significant assumptions inherent in the income approach include the estimated future net annual cash flows for each reporting unit and the discount rate. SLB selected the assumptions used in the discounted cash flow projections using historical data supplemented by current and anticipated market conditions and estimated growth rates. SLB’s estimates were based upon assumptions believed to be reasonable.</w:t>
      </w:r>
    </w:p>
    <w:p>
      <w:pPr>
        <w:spacing w:after="0" w:line="91" w:lineRule="exact"/>
        <w:rPr>
          <w:sz w:val="20"/>
          <w:szCs w:val="20"/>
          <w:color w:val="auto"/>
        </w:rPr>
      </w:pPr>
    </w:p>
    <w:p>
      <w:pPr>
        <w:jc w:val="both"/>
        <w:ind w:left="840" w:right="120"/>
        <w:spacing w:after="0" w:line="249" w:lineRule="auto"/>
        <w:rPr>
          <w:sz w:val="20"/>
          <w:szCs w:val="20"/>
          <w:color w:val="auto"/>
        </w:rPr>
      </w:pPr>
      <w:r>
        <w:rPr>
          <w:rFonts w:ascii="Arial" w:cs="Arial" w:eastAsia="Arial" w:hAnsi="Arial"/>
          <w:sz w:val="20"/>
          <w:szCs w:val="20"/>
          <w:color w:val="auto"/>
        </w:rPr>
        <w:t>The discount rates utilized to value SLB’s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87" w:lineRule="exact"/>
        <w:rPr>
          <w:sz w:val="20"/>
          <w:szCs w:val="20"/>
          <w:color w:val="auto"/>
        </w:rPr>
      </w:pPr>
    </w:p>
    <w:p>
      <w:pPr>
        <w:jc w:val="both"/>
        <w:ind w:left="840" w:right="120" w:hanging="360"/>
        <w:spacing w:after="0" w:line="249" w:lineRule="auto"/>
        <w:tabs>
          <w:tab w:leader="none" w:pos="8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negative market indicators described above were triggering events that indicated that certain of SLB’s long-lived intangible and tangible assets may have been impaired. Recoverability testing indicated that certain long-lived assets were impaired. The estimated fair value of these assets was determined to be below their carrying value. As a result, SLB recorded the following impairment charges:</w:t>
      </w:r>
    </w:p>
    <w:p>
      <w:pPr>
        <w:spacing w:after="0" w:line="85" w:lineRule="exact"/>
        <w:rPr>
          <w:rFonts w:ascii="Arial" w:cs="Arial" w:eastAsia="Arial" w:hAnsi="Arial"/>
          <w:sz w:val="20"/>
          <w:szCs w:val="20"/>
          <w:color w:val="auto"/>
        </w:rPr>
      </w:pPr>
    </w:p>
    <w:p>
      <w:pPr>
        <w:jc w:val="both"/>
        <w:ind w:left="1200" w:right="120" w:hanging="360"/>
        <w:spacing w:after="0" w:line="248" w:lineRule="auto"/>
        <w:tabs>
          <w:tab w:leader="none" w:pos="12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$3.3 billion relating to intangible assets, of which $2.2 billion relates to SLB’s 2016 acquisition of Cameron International Corporation and $1.1 billion relates to SLB’s 2010 acquisition of Smith International, Inc. Following this impairment charge, the carrying value of the impaired intangible assets was approximately $0.9 billion.</w:t>
      </w:r>
    </w:p>
    <w:p>
      <w:pPr>
        <w:spacing w:after="0" w:line="5" w:lineRule="exact"/>
        <w:rPr>
          <w:rFonts w:ascii="Arial" w:cs="Arial" w:eastAsia="Arial" w:hAnsi="Arial"/>
          <w:sz w:val="20"/>
          <w:szCs w:val="20"/>
          <w:color w:val="auto"/>
        </w:rPr>
      </w:pPr>
    </w:p>
    <w:p>
      <w:pPr>
        <w:ind w:left="1200" w:hanging="360"/>
        <w:spacing w:after="0"/>
        <w:tabs>
          <w:tab w:leader="none" w:pos="12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$1.3 billion relating to the carrying value of certain APS projects in North America.</w:t>
      </w:r>
    </w:p>
    <w:p>
      <w:pPr>
        <w:spacing w:after="0" w:line="14" w:lineRule="exact"/>
        <w:rPr>
          <w:rFonts w:ascii="Arial" w:cs="Arial" w:eastAsia="Arial" w:hAnsi="Arial"/>
          <w:sz w:val="20"/>
          <w:szCs w:val="20"/>
          <w:color w:val="auto"/>
        </w:rPr>
      </w:pPr>
    </w:p>
    <w:p>
      <w:pPr>
        <w:ind w:left="1200" w:hanging="360"/>
        <w:spacing w:after="0"/>
        <w:tabs>
          <w:tab w:leader="none" w:pos="12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$0.6 billion of fixed assets associated with the pressure pumping business in North America.</w:t>
      </w:r>
    </w:p>
    <w:p>
      <w:pPr>
        <w:spacing w:after="0" w:line="96" w:lineRule="exact"/>
        <w:rPr>
          <w:rFonts w:ascii="Arial" w:cs="Arial" w:eastAsia="Arial" w:hAnsi="Arial"/>
          <w:sz w:val="19"/>
          <w:szCs w:val="19"/>
          <w:color w:val="auto"/>
        </w:rPr>
      </w:pPr>
    </w:p>
    <w:p>
      <w:pPr>
        <w:ind w:left="840" w:hanging="360"/>
        <w:spacing w:after="0"/>
        <w:tabs>
          <w:tab w:leader="none" w:pos="8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$202 million of severance.</w:t>
      </w:r>
    </w:p>
    <w:p>
      <w:pPr>
        <w:spacing w:after="0" w:line="93" w:lineRule="exact"/>
        <w:rPr>
          <w:rFonts w:ascii="Arial" w:cs="Arial" w:eastAsia="Arial" w:hAnsi="Arial"/>
          <w:sz w:val="20"/>
          <w:szCs w:val="20"/>
          <w:color w:val="auto"/>
        </w:rPr>
      </w:pPr>
    </w:p>
    <w:p>
      <w:pPr>
        <w:ind w:left="840" w:right="120" w:hanging="360"/>
        <w:spacing w:after="0" w:line="245" w:lineRule="auto"/>
        <w:tabs>
          <w:tab w:leader="none" w:pos="8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$79 million of other restructuring charges, primarily consisting of the impairment of an equity method investment that was determined to be other-than-temporarily impaired.</w:t>
      </w:r>
    </w:p>
    <w:p>
      <w:pPr>
        <w:spacing w:after="0" w:line="83" w:lineRule="exact"/>
        <w:rPr>
          <w:rFonts w:ascii="Arial" w:cs="Arial" w:eastAsia="Arial" w:hAnsi="Arial"/>
          <w:sz w:val="20"/>
          <w:szCs w:val="20"/>
          <w:color w:val="auto"/>
        </w:rPr>
      </w:pPr>
    </w:p>
    <w:p>
      <w:pPr>
        <w:ind w:left="840" w:hanging="360"/>
        <w:spacing w:after="0"/>
        <w:tabs>
          <w:tab w:leader="none" w:pos="8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$164 million relating to a valuation allowance against certain deferred tax assets.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Second quarter 2020:</w:t>
      </w:r>
    </w:p>
    <w:p>
      <w:pPr>
        <w:spacing w:after="0" w:line="95" w:lineRule="exact"/>
        <w:rPr>
          <w:sz w:val="20"/>
          <w:szCs w:val="20"/>
          <w:color w:val="auto"/>
        </w:rPr>
      </w:pPr>
    </w:p>
    <w:p>
      <w:pPr>
        <w:jc w:val="both"/>
        <w:ind w:left="840" w:right="120" w:hanging="360"/>
        <w:spacing w:after="0" w:line="249" w:lineRule="auto"/>
        <w:tabs>
          <w:tab w:leader="none" w:pos="8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decades. SLB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SLB had assets that would no longer be utilized. As a consequence of these circumstances and decisions, SLB recorded the following restructuring and asset impairment charges:</w:t>
      </w:r>
    </w:p>
    <w:p>
      <w:pPr>
        <w:spacing w:after="0" w:line="92" w:lineRule="exact"/>
        <w:rPr>
          <w:rFonts w:ascii="Arial" w:cs="Arial" w:eastAsia="Arial" w:hAnsi="Arial"/>
          <w:sz w:val="20"/>
          <w:szCs w:val="20"/>
          <w:color w:val="auto"/>
        </w:rPr>
      </w:pPr>
    </w:p>
    <w:p>
      <w:pPr>
        <w:ind w:left="1200" w:right="120" w:hanging="360"/>
        <w:spacing w:after="0" w:line="243" w:lineRule="auto"/>
        <w:tabs>
          <w:tab w:leader="none" w:pos="12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$1.021 billion of severance associated with reducing its workforce by more than 21,000 employees.</w:t>
      </w:r>
    </w:p>
    <w:p>
      <w:pPr>
        <w:sectPr>
          <w:pgSz w:w="12240" w:h="15840" w:orient="portrait"/>
          <w:cols w:equalWidth="0" w:num="1">
            <w:col w:w="9360"/>
          </w:cols>
          <w:pgMar w:left="1440" w:top="1440" w:right="1440" w:bottom="836"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2240" w:h="15840" w:orient="portrait"/>
          <w:cols w:equalWidth="0" w:num="1">
            <w:col w:w="9360"/>
          </w:cols>
          <w:pgMar w:left="1440" w:top="1440" w:right="1440" w:bottom="836" w:gutter="0" w:footer="0" w:header="0"/>
          <w:type w:val="continuous"/>
        </w:sectPr>
      </w:pPr>
    </w:p>
    <w:bookmarkStart w:id="74" w:name="page75"/>
    <w:bookmarkEnd w:id="74"/>
    <w:p>
      <w:pPr>
        <w:spacing w:after="0" w:line="52" w:lineRule="exact"/>
        <w:rPr>
          <w:sz w:val="20"/>
          <w:szCs w:val="20"/>
          <w:color w:val="auto"/>
        </w:rPr>
      </w:pPr>
    </w:p>
    <w:p>
      <w:pPr>
        <w:ind w:left="1200" w:hanging="360"/>
        <w:spacing w:after="0"/>
        <w:tabs>
          <w:tab w:leader="none" w:pos="12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$730 million relating to the carrying value of certain APS projects in Latin America.</w:t>
      </w:r>
    </w:p>
    <w:p>
      <w:pPr>
        <w:spacing w:after="0" w:line="14" w:lineRule="exact"/>
        <w:rPr>
          <w:rFonts w:ascii="Arial" w:cs="Arial" w:eastAsia="Arial" w:hAnsi="Arial"/>
          <w:sz w:val="20"/>
          <w:szCs w:val="20"/>
          <w:color w:val="auto"/>
        </w:rPr>
      </w:pPr>
    </w:p>
    <w:p>
      <w:pPr>
        <w:ind w:left="1200" w:right="120" w:hanging="360"/>
        <w:spacing w:after="0" w:line="245" w:lineRule="auto"/>
        <w:tabs>
          <w:tab w:leader="none" w:pos="12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$666 million of fixed asset impairments primarily relating to equipment that would no longer be utilized and facilities it exited.</w:t>
      </w:r>
    </w:p>
    <w:p>
      <w:pPr>
        <w:spacing w:after="0" w:line="6" w:lineRule="exact"/>
        <w:rPr>
          <w:rFonts w:ascii="Arial" w:cs="Arial" w:eastAsia="Arial" w:hAnsi="Arial"/>
          <w:sz w:val="20"/>
          <w:szCs w:val="20"/>
          <w:color w:val="auto"/>
        </w:rPr>
      </w:pPr>
    </w:p>
    <w:p>
      <w:pPr>
        <w:ind w:left="1200" w:hanging="360"/>
        <w:spacing w:after="0"/>
        <w:tabs>
          <w:tab w:leader="none" w:pos="12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$603 million write-down of the carrying value of inventory to its net realizable value.</w:t>
      </w:r>
    </w:p>
    <w:p>
      <w:pPr>
        <w:spacing w:after="0" w:line="14" w:lineRule="exact"/>
        <w:rPr>
          <w:rFonts w:ascii="Arial" w:cs="Arial" w:eastAsia="Arial" w:hAnsi="Arial"/>
          <w:sz w:val="20"/>
          <w:szCs w:val="20"/>
          <w:color w:val="auto"/>
        </w:rPr>
      </w:pPr>
    </w:p>
    <w:p>
      <w:pPr>
        <w:ind w:left="1200" w:right="120" w:hanging="360"/>
        <w:spacing w:after="0" w:line="245" w:lineRule="auto"/>
        <w:tabs>
          <w:tab w:leader="none" w:pos="12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$311 million write-down of right-of-use assets under operating leases associated with leased facilities SLB exited and excess equipment.</w:t>
      </w:r>
    </w:p>
    <w:p>
      <w:pPr>
        <w:spacing w:after="0" w:line="6" w:lineRule="exact"/>
        <w:rPr>
          <w:rFonts w:ascii="Arial" w:cs="Arial" w:eastAsia="Arial" w:hAnsi="Arial"/>
          <w:sz w:val="20"/>
          <w:szCs w:val="20"/>
          <w:color w:val="auto"/>
        </w:rPr>
      </w:pPr>
    </w:p>
    <w:p>
      <w:pPr>
        <w:ind w:left="1200" w:hanging="360"/>
        <w:spacing w:after="0"/>
        <w:tabs>
          <w:tab w:leader="none" w:pos="12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$205 million of costs associated with exiting certain activities.</w:t>
      </w:r>
    </w:p>
    <w:p>
      <w:pPr>
        <w:spacing w:after="0" w:line="10" w:lineRule="exact"/>
        <w:rPr>
          <w:rFonts w:ascii="Arial" w:cs="Arial" w:eastAsia="Arial" w:hAnsi="Arial"/>
          <w:sz w:val="20"/>
          <w:szCs w:val="20"/>
          <w:color w:val="auto"/>
        </w:rPr>
      </w:pPr>
    </w:p>
    <w:p>
      <w:pPr>
        <w:ind w:left="1200" w:hanging="360"/>
        <w:spacing w:after="0"/>
        <w:tabs>
          <w:tab w:leader="none" w:pos="12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$156 million impairment of certain exploration data.</w:t>
      </w:r>
    </w:p>
    <w:p>
      <w:pPr>
        <w:spacing w:after="0" w:line="14" w:lineRule="exact"/>
        <w:rPr>
          <w:rFonts w:ascii="Arial" w:cs="Arial" w:eastAsia="Arial" w:hAnsi="Arial"/>
          <w:sz w:val="20"/>
          <w:szCs w:val="20"/>
          <w:color w:val="auto"/>
        </w:rPr>
      </w:pPr>
    </w:p>
    <w:p>
      <w:pPr>
        <w:ind w:left="1200" w:right="120" w:hanging="360"/>
        <w:spacing w:after="0" w:line="245" w:lineRule="auto"/>
        <w:tabs>
          <w:tab w:leader="none" w:pos="12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$60 million of other costs, including a $42 million increase in the allowance for the doubtful accounts.</w:t>
      </w:r>
    </w:p>
    <w:p>
      <w:pPr>
        <w:spacing w:after="0" w:line="130"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SLB repurchased all $600 million of its 4.20% Senior Notes due 2021 and $935 million of its 3.30% Senior Notes due 2021. SLB paid a premium of $40 million in connection with these repurchases.</w:t>
      </w:r>
    </w:p>
    <w:p>
      <w:pPr>
        <w:spacing w:after="0" w:line="127"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As a consequence of the workforce reductions described above, SLB recorded a curtailment gain of $69 million relating to its US postretirement medical plan. See Note 16 – </w:t>
      </w:r>
      <w:r>
        <w:rPr>
          <w:rFonts w:ascii="Arial" w:cs="Arial" w:eastAsia="Arial" w:hAnsi="Arial"/>
          <w:sz w:val="20"/>
          <w:szCs w:val="20"/>
          <w:i w:val="1"/>
          <w:iCs w:val="1"/>
          <w:color w:val="auto"/>
        </w:rPr>
        <w:t>Pension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Other Postretirement Benefit Plans </w:t>
      </w:r>
      <w:r>
        <w:rPr>
          <w:rFonts w:ascii="Arial" w:cs="Arial" w:eastAsia="Arial" w:hAnsi="Arial"/>
          <w:sz w:val="20"/>
          <w:szCs w:val="20"/>
          <w:color w:val="auto"/>
        </w:rPr>
        <w:t>for further details.</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Third quarter 2020:</w:t>
      </w:r>
    </w:p>
    <w:p>
      <w:pPr>
        <w:spacing w:after="0" w:line="130" w:lineRule="exact"/>
        <w:rPr>
          <w:sz w:val="20"/>
          <w:szCs w:val="20"/>
          <w:color w:val="auto"/>
        </w:rPr>
      </w:pPr>
    </w:p>
    <w:p>
      <w:pPr>
        <w:ind w:left="840" w:hanging="360"/>
        <w:spacing w:after="0"/>
        <w:tabs>
          <w:tab w:leader="none" w:pos="8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SLB recorded the following restructuring charges:</w:t>
      </w:r>
    </w:p>
    <w:p>
      <w:pPr>
        <w:spacing w:after="0" w:line="134" w:lineRule="exact"/>
        <w:rPr>
          <w:rFonts w:ascii="Arial" w:cs="Arial" w:eastAsia="Arial" w:hAnsi="Arial"/>
          <w:sz w:val="20"/>
          <w:szCs w:val="20"/>
          <w:color w:val="auto"/>
        </w:rPr>
      </w:pPr>
    </w:p>
    <w:p>
      <w:pPr>
        <w:ind w:left="1200" w:right="120" w:hanging="360"/>
        <w:spacing w:after="0" w:line="245" w:lineRule="auto"/>
        <w:tabs>
          <w:tab w:leader="none" w:pos="12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$254 million of facility exit charges as SLB continued to rationalize its real estate footprint relating to both leased and owned facilities.</w:t>
      </w:r>
    </w:p>
    <w:p>
      <w:pPr>
        <w:spacing w:after="0" w:line="6" w:lineRule="exact"/>
        <w:rPr>
          <w:rFonts w:ascii="Arial" w:cs="Arial" w:eastAsia="Arial" w:hAnsi="Arial"/>
          <w:sz w:val="20"/>
          <w:szCs w:val="20"/>
          <w:color w:val="auto"/>
        </w:rPr>
      </w:pPr>
    </w:p>
    <w:p>
      <w:pPr>
        <w:ind w:left="1200" w:hanging="360"/>
        <w:spacing w:after="0"/>
        <w:tabs>
          <w:tab w:leader="none" w:pos="12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$63 million of severance.</w:t>
      </w:r>
    </w:p>
    <w:p>
      <w:pPr>
        <w:spacing w:after="0" w:line="10" w:lineRule="exact"/>
        <w:rPr>
          <w:rFonts w:ascii="Arial" w:cs="Arial" w:eastAsia="Arial" w:hAnsi="Arial"/>
          <w:sz w:val="20"/>
          <w:szCs w:val="20"/>
          <w:color w:val="auto"/>
        </w:rPr>
      </w:pPr>
    </w:p>
    <w:p>
      <w:pPr>
        <w:ind w:left="1200" w:hanging="360"/>
        <w:spacing w:after="0"/>
        <w:tabs>
          <w:tab w:leader="none" w:pos="12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$33 million of other charges.</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Fourth quarter 2020:</w:t>
      </w:r>
    </w:p>
    <w:p>
      <w:pPr>
        <w:spacing w:after="0" w:line="134" w:lineRule="exact"/>
        <w:rPr>
          <w:sz w:val="20"/>
          <w:szCs w:val="20"/>
          <w:color w:val="auto"/>
        </w:rPr>
      </w:pPr>
    </w:p>
    <w:p>
      <w:pPr>
        <w:jc w:val="both"/>
        <w:ind w:left="840" w:right="120" w:hanging="360"/>
        <w:spacing w:after="0" w:line="248" w:lineRule="auto"/>
        <w:tabs>
          <w:tab w:leader="none" w:pos="8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On December 31, 2020, SLB contributed its OneStim business to Liberty in exchange for a 37% equity interest in Liberty. As a result of this transaction, SLB recognized a gain of $104 million. This gain is classified in </w:t>
      </w:r>
      <w:r>
        <w:rPr>
          <w:rFonts w:ascii="Arial" w:cs="Arial" w:eastAsia="Arial" w:hAnsi="Arial"/>
          <w:sz w:val="20"/>
          <w:szCs w:val="20"/>
          <w:i w:val="1"/>
          <w:iCs w:val="1"/>
          <w:color w:val="auto"/>
        </w:rPr>
        <w:t>Interest &amp; other income, net</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 Statement of</w:t>
      </w:r>
      <w:r>
        <w:rPr>
          <w:rFonts w:ascii="Arial" w:cs="Arial" w:eastAsia="Arial" w:hAnsi="Arial"/>
          <w:sz w:val="20"/>
          <w:szCs w:val="20"/>
          <w:color w:val="auto"/>
        </w:rPr>
        <w:t xml:space="preserve"> </w:t>
      </w:r>
      <w:r>
        <w:rPr>
          <w:rFonts w:ascii="Arial" w:cs="Arial" w:eastAsia="Arial" w:hAnsi="Arial"/>
          <w:sz w:val="20"/>
          <w:szCs w:val="20"/>
          <w:i w:val="1"/>
          <w:iCs w:val="1"/>
          <w:color w:val="auto"/>
        </w:rPr>
        <w:t>Income (Loss)</w:t>
      </w:r>
      <w:r>
        <w:rPr>
          <w:rFonts w:ascii="Arial" w:cs="Arial" w:eastAsia="Arial" w:hAnsi="Arial"/>
          <w:sz w:val="20"/>
          <w:szCs w:val="20"/>
          <w:color w:val="auto"/>
        </w:rPr>
        <w:t>.</w:t>
      </w:r>
    </w:p>
    <w:p>
      <w:pPr>
        <w:spacing w:after="0" w:line="129"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During the fourth quarter of 2020, a start-up company that SLB previously invested in completed an initial public offering. As a result, SLB recognized an unrealized gain of $39 million to increase the carrying value of this investment to its fair value of approximately $43 million. This unrealized gain is reflected in </w:t>
      </w:r>
      <w:r>
        <w:rPr>
          <w:rFonts w:ascii="Arial" w:cs="Arial" w:eastAsia="Arial" w:hAnsi="Arial"/>
          <w:sz w:val="20"/>
          <w:szCs w:val="20"/>
          <w:i w:val="1"/>
          <w:iCs w:val="1"/>
          <w:color w:val="auto"/>
        </w:rPr>
        <w:t>Interest &amp; other income, net</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 of Income (Loss)</w:t>
      </w:r>
      <w:r>
        <w:rPr>
          <w:rFonts w:ascii="Arial" w:cs="Arial" w:eastAsia="Arial" w:hAnsi="Arial"/>
          <w:sz w:val="20"/>
          <w:szCs w:val="20"/>
          <w:color w:val="auto"/>
        </w:rPr>
        <w:t>. SLB sold its interest in this company during 2021.</w:t>
      </w:r>
    </w:p>
    <w:p>
      <w:pPr>
        <w:spacing w:after="0" w:line="126" w:lineRule="exact"/>
        <w:rPr>
          <w:rFonts w:ascii="Arial" w:cs="Arial" w:eastAsia="Arial" w:hAnsi="Arial"/>
          <w:sz w:val="20"/>
          <w:szCs w:val="20"/>
          <w:color w:val="auto"/>
        </w:rPr>
      </w:pPr>
    </w:p>
    <w:p>
      <w:pPr>
        <w:jc w:val="both"/>
        <w:ind w:left="840" w:right="120" w:hanging="360"/>
        <w:spacing w:after="0" w:line="248" w:lineRule="auto"/>
        <w:tabs>
          <w:tab w:leader="none" w:pos="8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During the fourth quarter of 2020, SLB entered into an agreement to purchase new software licenses. This transaction rendered certain previously purchased licenses obsolete. As a result, SLB wrote off the remaining $62 million of net book value associated with the obsolete software licenses.</w:t>
      </w:r>
    </w:p>
    <w:p>
      <w:pPr>
        <w:spacing w:after="0" w:line="24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fair value of certain of the assets impaired during 2020 was estimated based on the present value of projected future cash flows that the underlying assets are expected to generate. Such estimates included unobservable inputs that required significant judgment.</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9360"/>
          </w:cols>
          <w:pgMar w:left="1440" w:top="1440" w:right="1440" w:bottom="836" w:gutter="0" w:footer="0" w:header="0"/>
          <w:type w:val="continuous"/>
        </w:sectPr>
      </w:pPr>
    </w:p>
    <w:bookmarkStart w:id="75" w:name="page76"/>
    <w:bookmarkEnd w:id="75"/>
    <w:p>
      <w:pPr>
        <w:spacing w:after="0" w:line="52" w:lineRule="exact"/>
        <w:rPr>
          <w:sz w:val="20"/>
          <w:szCs w:val="20"/>
          <w:color w:val="auto"/>
        </w:rPr>
      </w:pPr>
    </w:p>
    <w:p>
      <w:pPr>
        <w:ind w:left="360" w:hanging="240"/>
        <w:spacing w:after="0"/>
        <w:tabs>
          <w:tab w:leader="none" w:pos="3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Inventories</w:t>
      </w:r>
    </w:p>
    <w:p>
      <w:pPr>
        <w:spacing w:after="0" w:line="137" w:lineRule="exact"/>
        <w:rPr>
          <w:sz w:val="20"/>
          <w:szCs w:val="20"/>
          <w:color w:val="auto"/>
        </w:rPr>
      </w:pPr>
    </w:p>
    <w:p>
      <w:pPr>
        <w:ind w:left="120" w:right="120"/>
        <w:spacing w:after="0" w:line="243" w:lineRule="auto"/>
        <w:rPr>
          <w:sz w:val="20"/>
          <w:szCs w:val="20"/>
          <w:color w:val="auto"/>
        </w:rPr>
      </w:pPr>
      <w:r>
        <w:rPr>
          <w:rFonts w:ascii="Arial" w:cs="Arial" w:eastAsia="Arial" w:hAnsi="Arial"/>
          <w:sz w:val="20"/>
          <w:szCs w:val="20"/>
          <w:color w:val="auto"/>
        </w:rPr>
        <w:t>Inventories, which are stated at the lower of average cost or net realizable value, consist of the following:</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Arial" w:cs="Arial" w:eastAsia="Arial" w:hAnsi="Arial"/>
                <w:sz w:val="16"/>
                <w:szCs w:val="16"/>
                <w:i w:val="1"/>
                <w:iCs w:val="1"/>
                <w:color w:val="auto"/>
                <w:w w:val="98"/>
              </w:rPr>
              <w:t>(Stated in millions)</w:t>
            </w:r>
          </w:p>
        </w:tc>
        <w:tc>
          <w:tcPr>
            <w:tcW w:w="0" w:type="dxa"/>
            <w:vAlign w:val="bottom"/>
          </w:tcPr>
          <w:p>
            <w:pPr>
              <w:spacing w:after="0"/>
              <w:rPr>
                <w:sz w:val="1"/>
                <w:szCs w:val="1"/>
                <w:color w:val="auto"/>
              </w:rPr>
            </w:pPr>
          </w:p>
        </w:tc>
      </w:tr>
      <w:tr>
        <w:trPr>
          <w:trHeight w:val="468"/>
        </w:trPr>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30"/>
        </w:trPr>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300" w:type="dxa"/>
            <w:vAlign w:val="bottom"/>
            <w:gridSpan w:val="3"/>
            <w:shd w:val="clear" w:color="auto" w:fill="CCCCCC"/>
          </w:tcPr>
          <w:p>
            <w:pPr>
              <w:spacing w:after="0"/>
              <w:rPr>
                <w:sz w:val="20"/>
                <w:szCs w:val="20"/>
                <w:color w:val="auto"/>
              </w:rPr>
            </w:pPr>
            <w:r>
              <w:rPr>
                <w:rFonts w:ascii="Arial" w:cs="Arial" w:eastAsia="Arial" w:hAnsi="Arial"/>
                <w:sz w:val="20"/>
                <w:szCs w:val="20"/>
                <w:color w:val="auto"/>
              </w:rPr>
              <w:t>Raw materials &amp; field materials . . . . . . . . . . . . . . . . . . . . . . . . . . . . . . .</w:t>
            </w:r>
          </w:p>
        </w:tc>
        <w:tc>
          <w:tcPr>
            <w:tcW w:w="280" w:type="dxa"/>
            <w:vAlign w:val="bottom"/>
            <w:shd w:val="clear" w:color="auto" w:fill="CCCCCC"/>
          </w:tcPr>
          <w:p>
            <w:pPr>
              <w:jc w:val="right"/>
              <w:ind w:right="80"/>
              <w:spacing w:after="0"/>
              <w:rPr>
                <w:sz w:val="20"/>
                <w:szCs w:val="20"/>
                <w:color w:val="auto"/>
              </w:rPr>
            </w:pPr>
            <w:r>
              <w:rPr>
                <w:rFonts w:ascii="Arial" w:cs="Arial" w:eastAsia="Arial" w:hAnsi="Arial"/>
                <w:sz w:val="20"/>
                <w:szCs w:val="20"/>
                <w:b w:val="1"/>
                <w:bCs w:val="1"/>
                <w:color w:val="auto"/>
                <w:w w:val="71"/>
              </w:rPr>
              <w:t>$</w:t>
            </w:r>
          </w:p>
        </w:tc>
        <w:tc>
          <w:tcPr>
            <w:tcW w:w="10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2,085</w:t>
            </w:r>
          </w:p>
        </w:tc>
        <w:tc>
          <w:tcPr>
            <w:tcW w:w="100" w:type="dxa"/>
            <w:vAlign w:val="bottom"/>
            <w:shd w:val="clear" w:color="auto" w:fill="CCCCCC"/>
          </w:tcPr>
          <w:p>
            <w:pPr>
              <w:spacing w:after="0"/>
              <w:rPr>
                <w:sz w:val="23"/>
                <w:szCs w:val="23"/>
                <w:color w:val="auto"/>
              </w:rPr>
            </w:pPr>
          </w:p>
        </w:tc>
        <w:tc>
          <w:tcPr>
            <w:tcW w:w="380" w:type="dxa"/>
            <w:vAlign w:val="bottom"/>
            <w:gridSpan w:val="2"/>
            <w:shd w:val="clear" w:color="auto" w:fill="CCCCCC"/>
          </w:tcPr>
          <w:p>
            <w:pPr>
              <w:ind w:lef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1,594</w:t>
            </w:r>
          </w:p>
        </w:tc>
        <w:tc>
          <w:tcPr>
            <w:tcW w:w="0" w:type="dxa"/>
            <w:vAlign w:val="bottom"/>
          </w:tcPr>
          <w:p>
            <w:pPr>
              <w:spacing w:after="0"/>
              <w:rPr>
                <w:sz w:val="1"/>
                <w:szCs w:val="1"/>
                <w:color w:val="auto"/>
              </w:rPr>
            </w:pPr>
          </w:p>
        </w:tc>
      </w:tr>
      <w:tr>
        <w:trPr>
          <w:trHeight w:val="280"/>
        </w:trPr>
        <w:tc>
          <w:tcPr>
            <w:tcW w:w="6300" w:type="dxa"/>
            <w:vAlign w:val="bottom"/>
            <w:gridSpan w:val="3"/>
          </w:tcPr>
          <w:p>
            <w:pPr>
              <w:spacing w:after="0"/>
              <w:rPr>
                <w:sz w:val="20"/>
                <w:szCs w:val="20"/>
                <w:color w:val="auto"/>
              </w:rPr>
            </w:pPr>
            <w:r>
              <w:rPr>
                <w:rFonts w:ascii="Arial" w:cs="Arial" w:eastAsia="Arial" w:hAnsi="Arial"/>
                <w:sz w:val="20"/>
                <w:szCs w:val="20"/>
                <w:color w:val="auto"/>
                <w:w w:val="99"/>
              </w:rPr>
              <w:t>Work in progress . . . . . . . . . . . . . . . . . . . . . . . . . . . . . . . . . . . . . . . . . . .</w:t>
            </w:r>
          </w:p>
        </w:tc>
        <w:tc>
          <w:tcPr>
            <w:tcW w:w="28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547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425</w:t>
            </w:r>
          </w:p>
        </w:tc>
        <w:tc>
          <w:tcPr>
            <w:tcW w:w="0" w:type="dxa"/>
            <w:vAlign w:val="bottom"/>
          </w:tcPr>
          <w:p>
            <w:pPr>
              <w:spacing w:after="0"/>
              <w:rPr>
                <w:sz w:val="1"/>
                <w:szCs w:val="1"/>
                <w:color w:val="auto"/>
              </w:rPr>
            </w:pPr>
          </w:p>
        </w:tc>
      </w:tr>
      <w:tr>
        <w:trPr>
          <w:trHeight w:val="280"/>
        </w:trPr>
        <w:tc>
          <w:tcPr>
            <w:tcW w:w="6300" w:type="dxa"/>
            <w:vAlign w:val="bottom"/>
            <w:gridSpan w:val="3"/>
            <w:shd w:val="clear" w:color="auto" w:fill="CCCCCC"/>
          </w:tcPr>
          <w:p>
            <w:pPr>
              <w:spacing w:after="0"/>
              <w:rPr>
                <w:sz w:val="20"/>
                <w:szCs w:val="20"/>
                <w:color w:val="auto"/>
              </w:rPr>
            </w:pPr>
            <w:r>
              <w:rPr>
                <w:rFonts w:ascii="Arial" w:cs="Arial" w:eastAsia="Arial" w:hAnsi="Arial"/>
                <w:sz w:val="20"/>
                <w:szCs w:val="20"/>
                <w:color w:val="auto"/>
              </w:rPr>
              <w:t>Finished goods . . . . . . . . . . . . . . . . . . . . . . . . . . . . . . . . . . . . . . . . . . . .</w:t>
            </w:r>
          </w:p>
        </w:tc>
        <w:tc>
          <w:tcPr>
            <w:tcW w:w="280" w:type="dxa"/>
            <w:vAlign w:val="bottom"/>
            <w:shd w:val="clear" w:color="auto" w:fill="CCCCCC"/>
          </w:tcPr>
          <w:p>
            <w:pPr>
              <w:spacing w:after="0"/>
              <w:rPr>
                <w:sz w:val="24"/>
                <w:szCs w:val="24"/>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1,367</w:t>
            </w:r>
          </w:p>
        </w:tc>
        <w:tc>
          <w:tcPr>
            <w:tcW w:w="10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1,253</w:t>
            </w: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80" w:type="dxa"/>
            <w:vAlign w:val="bottom"/>
          </w:tcPr>
          <w:p>
            <w:pPr>
              <w:jc w:val="right"/>
              <w:ind w:right="80"/>
              <w:spacing w:after="0"/>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3,999</w:t>
            </w:r>
          </w:p>
        </w:tc>
        <w:tc>
          <w:tcPr>
            <w:tcW w:w="100" w:type="dxa"/>
            <w:vAlign w:val="bottom"/>
          </w:tcPr>
          <w:p>
            <w:pPr>
              <w:spacing w:after="0"/>
              <w:rPr>
                <w:sz w:val="23"/>
                <w:szCs w:val="23"/>
                <w:color w:val="auto"/>
              </w:rPr>
            </w:pPr>
          </w:p>
        </w:tc>
        <w:tc>
          <w:tcPr>
            <w:tcW w:w="3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3,272</w:t>
            </w:r>
          </w:p>
        </w:tc>
        <w:tc>
          <w:tcPr>
            <w:tcW w:w="0" w:type="dxa"/>
            <w:vAlign w:val="bottom"/>
          </w:tcPr>
          <w:p>
            <w:pPr>
              <w:spacing w:after="0"/>
              <w:rPr>
                <w:sz w:val="1"/>
                <w:szCs w:val="1"/>
                <w:color w:val="auto"/>
              </w:rPr>
            </w:pPr>
          </w:p>
        </w:tc>
      </w:tr>
      <w:tr>
        <w:trPr>
          <w:trHeight w:val="30"/>
        </w:trPr>
        <w:tc>
          <w:tcPr>
            <w:tcW w:w="630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5. Fixed Assets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63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300" w:type="dxa"/>
            <w:vAlign w:val="bottom"/>
            <w:gridSpan w:val="3"/>
          </w:tcPr>
          <w:p>
            <w:pPr>
              <w:spacing w:after="0"/>
              <w:rPr>
                <w:sz w:val="20"/>
                <w:szCs w:val="20"/>
                <w:color w:val="auto"/>
              </w:rPr>
            </w:pPr>
            <w:r>
              <w:rPr>
                <w:rFonts w:ascii="Arial" w:cs="Arial" w:eastAsia="Arial" w:hAnsi="Arial"/>
                <w:sz w:val="20"/>
                <w:szCs w:val="20"/>
                <w:color w:val="auto"/>
              </w:rPr>
              <w:t>Fixed assets consist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Arial" w:cs="Arial" w:eastAsia="Arial" w:hAnsi="Arial"/>
                <w:sz w:val="16"/>
                <w:szCs w:val="16"/>
                <w:i w:val="1"/>
                <w:iCs w:val="1"/>
                <w:color w:val="auto"/>
                <w:w w:val="98"/>
              </w:rPr>
              <w:t>(Stated in millions)</w:t>
            </w:r>
          </w:p>
        </w:tc>
        <w:tc>
          <w:tcPr>
            <w:tcW w:w="0" w:type="dxa"/>
            <w:vAlign w:val="bottom"/>
          </w:tcPr>
          <w:p>
            <w:pPr>
              <w:spacing w:after="0"/>
              <w:rPr>
                <w:sz w:val="1"/>
                <w:szCs w:val="1"/>
                <w:color w:val="auto"/>
              </w:rPr>
            </w:pPr>
          </w:p>
        </w:tc>
      </w:tr>
      <w:tr>
        <w:trPr>
          <w:trHeight w:val="470"/>
        </w:trPr>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28"/>
        </w:trPr>
        <w:tc>
          <w:tcPr>
            <w:tcW w:w="6300" w:type="dxa"/>
            <w:vAlign w:val="bottom"/>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300" w:type="dxa"/>
            <w:vAlign w:val="bottom"/>
            <w:gridSpan w:val="3"/>
            <w:shd w:val="clear" w:color="auto" w:fill="CCCCCC"/>
          </w:tcPr>
          <w:p>
            <w:pPr>
              <w:spacing w:after="0"/>
              <w:rPr>
                <w:sz w:val="20"/>
                <w:szCs w:val="20"/>
                <w:color w:val="auto"/>
              </w:rPr>
            </w:pPr>
            <w:r>
              <w:rPr>
                <w:rFonts w:ascii="Arial" w:cs="Arial" w:eastAsia="Arial" w:hAnsi="Arial"/>
                <w:sz w:val="20"/>
                <w:szCs w:val="20"/>
                <w:color w:val="auto"/>
                <w:w w:val="99"/>
              </w:rPr>
              <w:t>Land . . . . . . . . . . . . . . . . . . . . . . . . . . . . . . . . . . . . . . . . . . . . . . . . . . . . .</w:t>
            </w:r>
          </w:p>
        </w:tc>
        <w:tc>
          <w:tcPr>
            <w:tcW w:w="280" w:type="dxa"/>
            <w:vAlign w:val="bottom"/>
            <w:shd w:val="clear" w:color="auto" w:fill="CCCCCC"/>
          </w:tcPr>
          <w:p>
            <w:pPr>
              <w:jc w:val="right"/>
              <w:ind w:right="80"/>
              <w:spacing w:after="0"/>
              <w:rPr>
                <w:sz w:val="20"/>
                <w:szCs w:val="20"/>
                <w:color w:val="auto"/>
              </w:rPr>
            </w:pPr>
            <w:r>
              <w:rPr>
                <w:rFonts w:ascii="Arial" w:cs="Arial" w:eastAsia="Arial" w:hAnsi="Arial"/>
                <w:sz w:val="20"/>
                <w:szCs w:val="20"/>
                <w:b w:val="1"/>
                <w:bCs w:val="1"/>
                <w:color w:val="auto"/>
                <w:w w:val="71"/>
              </w:rPr>
              <w:t>$</w:t>
            </w:r>
          </w:p>
        </w:tc>
        <w:tc>
          <w:tcPr>
            <w:tcW w:w="11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326</w:t>
            </w:r>
          </w:p>
        </w:tc>
        <w:tc>
          <w:tcPr>
            <w:tcW w:w="380" w:type="dxa"/>
            <w:vAlign w:val="bottom"/>
            <w:gridSpan w:val="2"/>
            <w:shd w:val="clear" w:color="auto" w:fill="CCCCCC"/>
          </w:tcPr>
          <w:p>
            <w:pPr>
              <w:ind w:lef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372</w:t>
            </w:r>
          </w:p>
        </w:tc>
        <w:tc>
          <w:tcPr>
            <w:tcW w:w="0" w:type="dxa"/>
            <w:vAlign w:val="bottom"/>
          </w:tcPr>
          <w:p>
            <w:pPr>
              <w:spacing w:after="0"/>
              <w:rPr>
                <w:sz w:val="1"/>
                <w:szCs w:val="1"/>
                <w:color w:val="auto"/>
              </w:rPr>
            </w:pPr>
          </w:p>
        </w:tc>
      </w:tr>
      <w:tr>
        <w:trPr>
          <w:trHeight w:val="280"/>
        </w:trPr>
        <w:tc>
          <w:tcPr>
            <w:tcW w:w="6300" w:type="dxa"/>
            <w:vAlign w:val="bottom"/>
            <w:gridSpan w:val="3"/>
          </w:tcPr>
          <w:p>
            <w:pPr>
              <w:spacing w:after="0"/>
              <w:rPr>
                <w:sz w:val="20"/>
                <w:szCs w:val="20"/>
                <w:color w:val="auto"/>
              </w:rPr>
            </w:pPr>
            <w:r>
              <w:rPr>
                <w:rFonts w:ascii="Arial" w:cs="Arial" w:eastAsia="Arial" w:hAnsi="Arial"/>
                <w:sz w:val="20"/>
                <w:szCs w:val="20"/>
                <w:color w:val="auto"/>
              </w:rPr>
              <w:t>Buildings &amp; improvements . . . . . . . . . . . . . . . . . . . . . . . . . . . . . . . . . . .</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4,328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4,371</w:t>
            </w:r>
          </w:p>
        </w:tc>
        <w:tc>
          <w:tcPr>
            <w:tcW w:w="0" w:type="dxa"/>
            <w:vAlign w:val="bottom"/>
          </w:tcPr>
          <w:p>
            <w:pPr>
              <w:spacing w:after="0"/>
              <w:rPr>
                <w:sz w:val="1"/>
                <w:szCs w:val="1"/>
                <w:color w:val="auto"/>
              </w:rPr>
            </w:pPr>
          </w:p>
        </w:tc>
      </w:tr>
      <w:tr>
        <w:trPr>
          <w:trHeight w:val="280"/>
        </w:trPr>
        <w:tc>
          <w:tcPr>
            <w:tcW w:w="6300" w:type="dxa"/>
            <w:vAlign w:val="bottom"/>
            <w:gridSpan w:val="3"/>
            <w:shd w:val="clear" w:color="auto" w:fill="CCCCCC"/>
          </w:tcPr>
          <w:p>
            <w:pPr>
              <w:spacing w:after="0"/>
              <w:rPr>
                <w:sz w:val="20"/>
                <w:szCs w:val="20"/>
                <w:color w:val="auto"/>
              </w:rPr>
            </w:pPr>
            <w:r>
              <w:rPr>
                <w:rFonts w:ascii="Arial" w:cs="Arial" w:eastAsia="Arial" w:hAnsi="Arial"/>
                <w:sz w:val="20"/>
                <w:szCs w:val="20"/>
                <w:color w:val="auto"/>
              </w:rPr>
              <w:t>Machinery &amp; equipment . . . . . . . . . . . . . . . . . . . . . . . . . . . . . . . . . . . . .</w:t>
            </w:r>
          </w:p>
        </w:tc>
        <w:tc>
          <w:tcPr>
            <w:tcW w:w="28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23,732</w:t>
            </w:r>
          </w:p>
        </w:tc>
        <w:tc>
          <w:tcPr>
            <w:tcW w:w="1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24,334</w:t>
            </w: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28,386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29,077</w:t>
            </w:r>
          </w:p>
        </w:tc>
        <w:tc>
          <w:tcPr>
            <w:tcW w:w="0" w:type="dxa"/>
            <w:vAlign w:val="bottom"/>
          </w:tcPr>
          <w:p>
            <w:pPr>
              <w:spacing w:after="0"/>
              <w:rPr>
                <w:sz w:val="1"/>
                <w:szCs w:val="1"/>
                <w:color w:val="auto"/>
              </w:rPr>
            </w:pPr>
          </w:p>
        </w:tc>
      </w:tr>
      <w:tr>
        <w:trPr>
          <w:trHeight w:val="280"/>
        </w:trPr>
        <w:tc>
          <w:tcPr>
            <w:tcW w:w="6300" w:type="dxa"/>
            <w:vAlign w:val="bottom"/>
            <w:gridSpan w:val="3"/>
            <w:shd w:val="clear" w:color="auto" w:fill="CCCCCC"/>
          </w:tcPr>
          <w:p>
            <w:pPr>
              <w:spacing w:after="0"/>
              <w:rPr>
                <w:sz w:val="20"/>
                <w:szCs w:val="20"/>
                <w:color w:val="auto"/>
              </w:rPr>
            </w:pPr>
            <w:r>
              <w:rPr>
                <w:rFonts w:ascii="Arial" w:cs="Arial" w:eastAsia="Arial" w:hAnsi="Arial"/>
                <w:sz w:val="20"/>
                <w:szCs w:val="20"/>
                <w:color w:val="auto"/>
              </w:rPr>
              <w:t>Less: Accumulated depreciation  . . . . . . . . . . . . . . . . . . . . . . . . . . . . . .</w:t>
            </w:r>
          </w:p>
        </w:tc>
        <w:tc>
          <w:tcPr>
            <w:tcW w:w="28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21,779</w:t>
            </w:r>
          </w:p>
        </w:tc>
        <w:tc>
          <w:tcPr>
            <w:tcW w:w="1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22,648</w:t>
            </w: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8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80" w:type="dxa"/>
            <w:vAlign w:val="bottom"/>
          </w:tcPr>
          <w:p>
            <w:pPr>
              <w:jc w:val="right"/>
              <w:ind w:right="80"/>
              <w:spacing w:after="0"/>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6,607</w:t>
            </w:r>
          </w:p>
        </w:tc>
        <w:tc>
          <w:tcPr>
            <w:tcW w:w="100" w:type="dxa"/>
            <w:vAlign w:val="bottom"/>
          </w:tcPr>
          <w:p>
            <w:pPr>
              <w:spacing w:after="0"/>
              <w:rPr>
                <w:sz w:val="23"/>
                <w:szCs w:val="23"/>
                <w:color w:val="auto"/>
              </w:rPr>
            </w:pPr>
          </w:p>
        </w:tc>
        <w:tc>
          <w:tcPr>
            <w:tcW w:w="3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6,429</w:t>
            </w:r>
          </w:p>
        </w:tc>
        <w:tc>
          <w:tcPr>
            <w:tcW w:w="0" w:type="dxa"/>
            <w:vAlign w:val="bottom"/>
          </w:tcPr>
          <w:p>
            <w:pPr>
              <w:spacing w:after="0"/>
              <w:rPr>
                <w:sz w:val="1"/>
                <w:szCs w:val="1"/>
                <w:color w:val="auto"/>
              </w:rPr>
            </w:pPr>
          </w:p>
        </w:tc>
      </w:tr>
      <w:tr>
        <w:trPr>
          <w:trHeight w:val="28"/>
        </w:trPr>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The estimated useful lives of Buildings &amp; improvements are primarily 25 to 30 years. The estimated useful lives of Machinery &amp; equipment are primarily 5 to 10 years.</w:t>
      </w:r>
    </w:p>
    <w:p>
      <w:pPr>
        <w:spacing w:after="0" w:line="260"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Depreciation expense, which is recorded on a straight-line basis, was $1.4 billion in each of 2022 and 2021, and $1.6 billion in 2020.</w:t>
      </w:r>
    </w:p>
    <w:p>
      <w:pPr>
        <w:spacing w:after="0" w:line="373" w:lineRule="exact"/>
        <w:rPr>
          <w:sz w:val="20"/>
          <w:szCs w:val="20"/>
          <w:color w:val="auto"/>
        </w:rPr>
      </w:pPr>
    </w:p>
    <w:p>
      <w:pPr>
        <w:ind w:left="360" w:hanging="240"/>
        <w:spacing w:after="0"/>
        <w:tabs>
          <w:tab w:leader="none" w:pos="3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Goodwill</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changes in the carrying amount of goodwill by segment were as follows: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ind w:left="880"/>
              <w:spacing w:after="0"/>
              <w:rPr>
                <w:sz w:val="20"/>
                <w:szCs w:val="20"/>
                <w:color w:val="auto"/>
              </w:rPr>
            </w:pPr>
            <w:r>
              <w:rPr>
                <w:rFonts w:ascii="Arial" w:cs="Arial" w:eastAsia="Arial" w:hAnsi="Arial"/>
                <w:sz w:val="16"/>
                <w:szCs w:val="16"/>
                <w:i w:val="1"/>
                <w:iCs w:val="1"/>
                <w:color w:val="auto"/>
              </w:rPr>
              <w:t>(Stated in millions)</w:t>
            </w:r>
          </w:p>
        </w:tc>
      </w:tr>
      <w:tr>
        <w:trPr>
          <w:trHeight w:val="464"/>
        </w:trPr>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Digital &amp;</w:t>
            </w:r>
          </w:p>
        </w:tc>
        <w:tc>
          <w:tcPr>
            <w:tcW w:w="12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auto"/>
              </w:rPr>
              <w:t>Reservoir</w:t>
            </w:r>
          </w:p>
        </w:tc>
        <w:tc>
          <w:tcPr>
            <w:tcW w:w="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20"/>
                <w:szCs w:val="20"/>
                <w:color w:val="auto"/>
              </w:rPr>
              <w:t>Well</w:t>
            </w:r>
          </w:p>
        </w:tc>
        <w:tc>
          <w:tcPr>
            <w:tcW w:w="1200" w:type="dxa"/>
            <w:vAlign w:val="bottom"/>
            <w:gridSpan w:val="3"/>
          </w:tcPr>
          <w:p>
            <w:pPr>
              <w:jc w:val="center"/>
              <w:ind w:right="80"/>
              <w:spacing w:after="0"/>
              <w:rPr>
                <w:sz w:val="20"/>
                <w:szCs w:val="20"/>
                <w:color w:val="auto"/>
              </w:rPr>
            </w:pPr>
            <w:r>
              <w:rPr>
                <w:rFonts w:ascii="Arial" w:cs="Arial" w:eastAsia="Arial" w:hAnsi="Arial"/>
                <w:sz w:val="20"/>
                <w:szCs w:val="20"/>
                <w:color w:val="auto"/>
              </w:rPr>
              <w:t>Production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200"/>
              <w:spacing w:after="0" w:line="224" w:lineRule="exact"/>
              <w:rPr>
                <w:sz w:val="20"/>
                <w:szCs w:val="20"/>
                <w:color w:val="auto"/>
              </w:rPr>
            </w:pPr>
            <w:r>
              <w:rPr>
                <w:rFonts w:ascii="Arial" w:cs="Arial" w:eastAsia="Arial" w:hAnsi="Arial"/>
                <w:sz w:val="20"/>
                <w:szCs w:val="20"/>
                <w:color w:val="auto"/>
              </w:rPr>
              <w:t>Integration</w:t>
            </w:r>
          </w:p>
        </w:tc>
        <w:tc>
          <w:tcPr>
            <w:tcW w:w="1240" w:type="dxa"/>
            <w:vAlign w:val="bottom"/>
            <w:gridSpan w:val="3"/>
          </w:tcPr>
          <w:p>
            <w:pPr>
              <w:spacing w:after="0" w:line="224" w:lineRule="exact"/>
              <w:rPr>
                <w:sz w:val="20"/>
                <w:szCs w:val="20"/>
                <w:color w:val="auto"/>
              </w:rPr>
            </w:pPr>
            <w:r>
              <w:rPr>
                <w:rFonts w:ascii="Arial" w:cs="Arial" w:eastAsia="Arial" w:hAnsi="Arial"/>
                <w:sz w:val="20"/>
                <w:szCs w:val="20"/>
                <w:color w:val="auto"/>
              </w:rPr>
              <w:t>Performance</w:t>
            </w:r>
          </w:p>
        </w:tc>
        <w:tc>
          <w:tcPr>
            <w:tcW w:w="1260" w:type="dxa"/>
            <w:vAlign w:val="bottom"/>
            <w:gridSpan w:val="3"/>
          </w:tcPr>
          <w:p>
            <w:pPr>
              <w:ind w:left="20"/>
              <w:spacing w:after="0" w:line="224" w:lineRule="exact"/>
              <w:rPr>
                <w:sz w:val="20"/>
                <w:szCs w:val="20"/>
                <w:color w:val="auto"/>
              </w:rPr>
            </w:pPr>
            <w:r>
              <w:rPr>
                <w:rFonts w:ascii="Arial" w:cs="Arial" w:eastAsia="Arial" w:hAnsi="Arial"/>
                <w:sz w:val="20"/>
                <w:szCs w:val="20"/>
                <w:color w:val="auto"/>
              </w:rPr>
              <w:t>Construction</w:t>
            </w:r>
          </w:p>
        </w:tc>
        <w:tc>
          <w:tcPr>
            <w:tcW w:w="140" w:type="dxa"/>
            <w:vAlign w:val="bottom"/>
          </w:tcPr>
          <w:p>
            <w:pPr>
              <w:spacing w:after="0"/>
              <w:rPr>
                <w:sz w:val="19"/>
                <w:szCs w:val="19"/>
                <w:color w:val="auto"/>
              </w:rPr>
            </w:pPr>
          </w:p>
        </w:tc>
        <w:tc>
          <w:tcPr>
            <w:tcW w:w="1060" w:type="dxa"/>
            <w:vAlign w:val="bottom"/>
            <w:gridSpan w:val="2"/>
          </w:tcPr>
          <w:p>
            <w:pPr>
              <w:jc w:val="center"/>
              <w:ind w:right="220"/>
              <w:spacing w:after="0" w:line="224" w:lineRule="exact"/>
              <w:rPr>
                <w:sz w:val="20"/>
                <w:szCs w:val="20"/>
                <w:color w:val="auto"/>
              </w:rPr>
            </w:pPr>
            <w:r>
              <w:rPr>
                <w:rFonts w:ascii="Arial" w:cs="Arial" w:eastAsia="Arial" w:hAnsi="Arial"/>
                <w:sz w:val="20"/>
                <w:szCs w:val="20"/>
                <w:color w:val="auto"/>
                <w:w w:val="99"/>
              </w:rPr>
              <w:t>Systems</w:t>
            </w:r>
          </w:p>
        </w:tc>
        <w:tc>
          <w:tcPr>
            <w:tcW w:w="220" w:type="dxa"/>
            <w:vAlign w:val="bottom"/>
          </w:tcPr>
          <w:p>
            <w:pPr>
              <w:spacing w:after="0"/>
              <w:rPr>
                <w:sz w:val="19"/>
                <w:szCs w:val="19"/>
                <w:color w:val="auto"/>
              </w:rPr>
            </w:pPr>
          </w:p>
        </w:tc>
        <w:tc>
          <w:tcPr>
            <w:tcW w:w="980" w:type="dxa"/>
            <w:vAlign w:val="bottom"/>
            <w:gridSpan w:val="3"/>
          </w:tcPr>
          <w:p>
            <w:pPr>
              <w:ind w:left="120"/>
              <w:spacing w:after="0" w:line="224" w:lineRule="exact"/>
              <w:rPr>
                <w:sz w:val="20"/>
                <w:szCs w:val="20"/>
                <w:color w:val="auto"/>
              </w:rPr>
            </w:pPr>
            <w:r>
              <w:rPr>
                <w:rFonts w:ascii="Arial" w:cs="Arial" w:eastAsia="Arial" w:hAnsi="Arial"/>
                <w:sz w:val="20"/>
                <w:szCs w:val="20"/>
                <w:color w:val="auto"/>
              </w:rPr>
              <w:t>Total</w:t>
            </w:r>
          </w:p>
        </w:tc>
      </w:tr>
      <w:tr>
        <w:trPr>
          <w:trHeight w:val="30"/>
        </w:trPr>
        <w:tc>
          <w:tcPr>
            <w:tcW w:w="2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700" w:type="dxa"/>
            <w:vAlign w:val="bottom"/>
            <w:shd w:val="clear" w:color="auto" w:fill="CCCCCC"/>
          </w:tcPr>
          <w:p>
            <w:pPr>
              <w:spacing w:after="0"/>
              <w:rPr>
                <w:sz w:val="20"/>
                <w:szCs w:val="20"/>
                <w:color w:val="auto"/>
              </w:rPr>
            </w:pPr>
            <w:r>
              <w:rPr>
                <w:rFonts w:ascii="Arial" w:cs="Arial" w:eastAsia="Arial" w:hAnsi="Arial"/>
                <w:sz w:val="20"/>
                <w:szCs w:val="20"/>
                <w:color w:val="auto"/>
              </w:rPr>
              <w:t>Balance, December 31, 2020</w:t>
            </w:r>
          </w:p>
        </w:tc>
        <w:tc>
          <w:tcPr>
            <w:tcW w:w="460" w:type="dxa"/>
            <w:vAlign w:val="bottom"/>
            <w:gridSpan w:val="2"/>
            <w:shd w:val="clear" w:color="auto" w:fill="CCCCCC"/>
          </w:tcPr>
          <w:p>
            <w:pPr>
              <w:ind w:left="40"/>
              <w:spacing w:after="0"/>
              <w:rPr>
                <w:sz w:val="20"/>
                <w:szCs w:val="20"/>
                <w:color w:val="auto"/>
              </w:rPr>
            </w:pPr>
            <w:r>
              <w:rPr>
                <w:rFonts w:ascii="Arial" w:cs="Arial" w:eastAsia="Arial" w:hAnsi="Arial"/>
                <w:sz w:val="20"/>
                <w:szCs w:val="20"/>
                <w:color w:val="auto"/>
              </w:rPr>
              <w:t>. . $</w:t>
            </w: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2,047</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0"/>
                <w:szCs w:val="20"/>
                <w:color w:val="auto"/>
              </w:rPr>
            </w:pPr>
            <w:r>
              <w:rPr>
                <w:rFonts w:ascii="Arial" w:cs="Arial" w:eastAsia="Arial" w:hAnsi="Arial"/>
                <w:sz w:val="20"/>
                <w:szCs w:val="20"/>
                <w:color w:val="auto"/>
                <w:w w:val="89"/>
              </w:rPr>
              <w:t>$</w:t>
            </w:r>
          </w:p>
        </w:tc>
        <w:tc>
          <w:tcPr>
            <w:tcW w:w="11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3,802</w:t>
            </w:r>
          </w:p>
        </w:tc>
        <w:tc>
          <w:tcPr>
            <w:tcW w:w="240" w:type="dxa"/>
            <w:vAlign w:val="bottom"/>
            <w:shd w:val="clear" w:color="auto" w:fill="CCCCCC"/>
          </w:tcPr>
          <w:p>
            <w:pPr>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6,278</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853</w:t>
            </w:r>
          </w:p>
        </w:tc>
        <w:tc>
          <w:tcPr>
            <w:tcW w:w="220" w:type="dxa"/>
            <w:vAlign w:val="bottom"/>
            <w:shd w:val="clear" w:color="auto" w:fill="CCCCCC"/>
          </w:tcPr>
          <w:p>
            <w:pPr>
              <w:jc w:val="right"/>
              <w:ind w:right="20"/>
              <w:spacing w:after="0"/>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CCCCCC"/>
          </w:tcPr>
          <w:p>
            <w:pPr>
              <w:jc w:val="right"/>
              <w:ind w:right="40"/>
              <w:spacing w:after="0"/>
              <w:rPr>
                <w:sz w:val="20"/>
                <w:szCs w:val="20"/>
                <w:color w:val="auto"/>
              </w:rPr>
            </w:pPr>
            <w:r>
              <w:rPr>
                <w:rFonts w:ascii="Arial" w:cs="Arial" w:eastAsia="Arial" w:hAnsi="Arial"/>
                <w:sz w:val="20"/>
                <w:szCs w:val="20"/>
                <w:color w:val="auto"/>
              </w:rPr>
              <w:t>12,980</w:t>
            </w:r>
          </w:p>
        </w:tc>
        <w:tc>
          <w:tcPr>
            <w:tcW w:w="20" w:type="dxa"/>
            <w:vAlign w:val="bottom"/>
          </w:tcPr>
          <w:p>
            <w:pPr>
              <w:spacing w:after="0"/>
              <w:rPr>
                <w:sz w:val="23"/>
                <w:szCs w:val="23"/>
                <w:color w:val="auto"/>
              </w:rPr>
            </w:pPr>
          </w:p>
        </w:tc>
      </w:tr>
      <w:tr>
        <w:trPr>
          <w:trHeight w:val="280"/>
        </w:trPr>
        <w:tc>
          <w:tcPr>
            <w:tcW w:w="2700" w:type="dxa"/>
            <w:vAlign w:val="bottom"/>
          </w:tcPr>
          <w:p>
            <w:pPr>
              <w:spacing w:after="0"/>
              <w:rPr>
                <w:sz w:val="20"/>
                <w:szCs w:val="20"/>
                <w:color w:val="auto"/>
              </w:rPr>
            </w:pPr>
            <w:r>
              <w:rPr>
                <w:rFonts w:ascii="Arial" w:cs="Arial" w:eastAsia="Arial" w:hAnsi="Arial"/>
                <w:sz w:val="20"/>
                <w:szCs w:val="20"/>
                <w:color w:val="auto"/>
                <w:w w:val="97"/>
              </w:rPr>
              <w:t>Acquisitions . . . . . . . . . . . . . . .</w:t>
            </w:r>
          </w:p>
        </w:tc>
        <w:tc>
          <w:tcPr>
            <w:tcW w:w="300" w:type="dxa"/>
            <w:vAlign w:val="bottom"/>
          </w:tcPr>
          <w:p>
            <w:pPr>
              <w:ind w:left="40"/>
              <w:spacing w:after="0"/>
              <w:rPr>
                <w:sz w:val="20"/>
                <w:szCs w:val="20"/>
                <w:color w:val="auto"/>
              </w:rPr>
            </w:pPr>
            <w:r>
              <w:rPr>
                <w:rFonts w:ascii="Arial" w:cs="Arial" w:eastAsia="Arial" w:hAnsi="Arial"/>
                <w:sz w:val="20"/>
                <w:szCs w:val="20"/>
                <w:color w:val="auto"/>
              </w:rPr>
              <w:t>. .</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18</w:t>
            </w:r>
          </w:p>
        </w:tc>
        <w:tc>
          <w:tcPr>
            <w:tcW w:w="20" w:type="dxa"/>
            <w:vAlign w:val="bottom"/>
          </w:tcPr>
          <w:p>
            <w:pPr>
              <w:spacing w:after="0"/>
              <w:rPr>
                <w:sz w:val="24"/>
                <w:szCs w:val="24"/>
                <w:color w:val="auto"/>
              </w:rPr>
            </w:pPr>
          </w:p>
        </w:tc>
      </w:tr>
      <w:tr>
        <w:trPr>
          <w:trHeight w:val="280"/>
        </w:trPr>
        <w:tc>
          <w:tcPr>
            <w:tcW w:w="2700" w:type="dxa"/>
            <w:vAlign w:val="bottom"/>
            <w:shd w:val="clear" w:color="auto" w:fill="CCCCCC"/>
          </w:tcPr>
          <w:p>
            <w:pPr>
              <w:spacing w:after="0"/>
              <w:rPr>
                <w:sz w:val="20"/>
                <w:szCs w:val="20"/>
                <w:color w:val="auto"/>
              </w:rPr>
            </w:pPr>
            <w:r>
              <w:rPr>
                <w:rFonts w:ascii="Arial" w:cs="Arial" w:eastAsia="Arial" w:hAnsi="Arial"/>
                <w:sz w:val="20"/>
                <w:szCs w:val="20"/>
                <w:color w:val="auto"/>
              </w:rPr>
              <w:t>Translation and other . . . . . . .</w:t>
            </w:r>
          </w:p>
        </w:tc>
        <w:tc>
          <w:tcPr>
            <w:tcW w:w="300" w:type="dxa"/>
            <w:vAlign w:val="bottom"/>
            <w:shd w:val="clear" w:color="auto" w:fill="CCCCCC"/>
          </w:tcPr>
          <w:p>
            <w:pPr>
              <w:ind w:left="40"/>
              <w:spacing w:after="0"/>
              <w:rPr>
                <w:sz w:val="20"/>
                <w:szCs w:val="20"/>
                <w:color w:val="auto"/>
              </w:rPr>
            </w:pPr>
            <w:r>
              <w:rPr>
                <w:rFonts w:ascii="Arial" w:cs="Arial" w:eastAsia="Arial" w:hAnsi="Arial"/>
                <w:sz w:val="20"/>
                <w:szCs w:val="20"/>
                <w:color w:val="auto"/>
              </w:rPr>
              <w:t>. .</w:t>
            </w:r>
          </w:p>
        </w:tc>
        <w:tc>
          <w:tcPr>
            <w:tcW w:w="16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40"/>
              <w:spacing w:after="0"/>
              <w:rPr>
                <w:sz w:val="20"/>
                <w:szCs w:val="20"/>
                <w:color w:val="auto"/>
              </w:rPr>
            </w:pPr>
            <w:r>
              <w:rPr>
                <w:rFonts w:ascii="Arial" w:cs="Arial" w:eastAsia="Arial" w:hAnsi="Arial"/>
                <w:sz w:val="20"/>
                <w:szCs w:val="20"/>
                <w:color w:val="auto"/>
              </w:rPr>
              <w:t>(13)</w:t>
            </w:r>
          </w:p>
        </w:tc>
        <w:tc>
          <w:tcPr>
            <w:tcW w:w="12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2</w:t>
            </w:r>
          </w:p>
        </w:tc>
        <w:tc>
          <w:tcPr>
            <w:tcW w:w="24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3</w:t>
            </w:r>
          </w:p>
        </w:tc>
        <w:tc>
          <w:tcPr>
            <w:tcW w:w="140" w:type="dxa"/>
            <w:vAlign w:val="bottom"/>
            <w:shd w:val="clear" w:color="auto" w:fill="CCCCCC"/>
          </w:tcPr>
          <w:p>
            <w:pPr>
              <w:spacing w:after="0"/>
              <w:rPr>
                <w:sz w:val="24"/>
                <w:szCs w:val="24"/>
                <w:color w:val="auto"/>
              </w:rPr>
            </w:pPr>
          </w:p>
        </w:tc>
        <w:tc>
          <w:tcPr>
            <w:tcW w:w="10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6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4"/>
                <w:szCs w:val="24"/>
                <w:color w:val="auto"/>
              </w:rPr>
            </w:pPr>
          </w:p>
        </w:tc>
      </w:tr>
      <w:tr>
        <w:trPr>
          <w:trHeight w:val="70"/>
        </w:trPr>
        <w:tc>
          <w:tcPr>
            <w:tcW w:w="2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20"/>
                <w:szCs w:val="20"/>
                <w:color w:val="auto"/>
              </w:rPr>
              <w:t>Balance, December 31, 2021</w:t>
            </w:r>
          </w:p>
        </w:tc>
        <w:tc>
          <w:tcPr>
            <w:tcW w:w="300" w:type="dxa"/>
            <w:vAlign w:val="bottom"/>
          </w:tcPr>
          <w:p>
            <w:pPr>
              <w:ind w:left="40"/>
              <w:spacing w:after="0"/>
              <w:rPr>
                <w:sz w:val="20"/>
                <w:szCs w:val="20"/>
                <w:color w:val="auto"/>
              </w:rPr>
            </w:pPr>
            <w:r>
              <w:rPr>
                <w:rFonts w:ascii="Arial" w:cs="Arial" w:eastAsia="Arial" w:hAnsi="Arial"/>
                <w:sz w:val="20"/>
                <w:szCs w:val="20"/>
                <w:color w:val="auto"/>
              </w:rPr>
              <w:t>. .</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3,804</w:t>
            </w:r>
          </w:p>
        </w:tc>
        <w:tc>
          <w:tcPr>
            <w:tcW w:w="24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auto"/>
              </w:rPr>
              <w:t>6,281</w:t>
            </w:r>
          </w:p>
        </w:tc>
        <w:tc>
          <w:tcPr>
            <w:tcW w:w="14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853</w:t>
            </w:r>
          </w:p>
        </w:tc>
        <w:tc>
          <w:tcPr>
            <w:tcW w:w="22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12,990</w:t>
            </w:r>
          </w:p>
        </w:tc>
        <w:tc>
          <w:tcPr>
            <w:tcW w:w="20" w:type="dxa"/>
            <w:vAlign w:val="bottom"/>
          </w:tcPr>
          <w:p>
            <w:pPr>
              <w:spacing w:after="0"/>
              <w:rPr>
                <w:sz w:val="23"/>
                <w:szCs w:val="23"/>
                <w:color w:val="auto"/>
              </w:rPr>
            </w:pPr>
          </w:p>
        </w:tc>
      </w:tr>
      <w:tr>
        <w:trPr>
          <w:trHeight w:val="280"/>
        </w:trPr>
        <w:tc>
          <w:tcPr>
            <w:tcW w:w="2700" w:type="dxa"/>
            <w:vAlign w:val="bottom"/>
            <w:shd w:val="clear" w:color="auto" w:fill="CCCCCC"/>
          </w:tcPr>
          <w:p>
            <w:pPr>
              <w:spacing w:after="0"/>
              <w:rPr>
                <w:sz w:val="20"/>
                <w:szCs w:val="20"/>
                <w:color w:val="auto"/>
              </w:rPr>
            </w:pPr>
            <w:r>
              <w:rPr>
                <w:rFonts w:ascii="Arial" w:cs="Arial" w:eastAsia="Arial" w:hAnsi="Arial"/>
                <w:sz w:val="20"/>
                <w:szCs w:val="20"/>
                <w:color w:val="auto"/>
              </w:rPr>
              <w:t>Translation and other . . . . . . .</w:t>
            </w:r>
          </w:p>
        </w:tc>
        <w:tc>
          <w:tcPr>
            <w:tcW w:w="300" w:type="dxa"/>
            <w:vAlign w:val="bottom"/>
            <w:shd w:val="clear" w:color="auto" w:fill="CCCCCC"/>
          </w:tcPr>
          <w:p>
            <w:pPr>
              <w:ind w:left="40"/>
              <w:spacing w:after="0"/>
              <w:rPr>
                <w:sz w:val="20"/>
                <w:szCs w:val="20"/>
                <w:color w:val="auto"/>
              </w:rPr>
            </w:pPr>
            <w:r>
              <w:rPr>
                <w:rFonts w:ascii="Arial" w:cs="Arial" w:eastAsia="Arial" w:hAnsi="Arial"/>
                <w:sz w:val="20"/>
                <w:szCs w:val="20"/>
                <w:color w:val="auto"/>
              </w:rPr>
              <w:t>. .</w:t>
            </w:r>
          </w:p>
        </w:tc>
        <w:tc>
          <w:tcPr>
            <w:tcW w:w="160" w:type="dxa"/>
            <w:vAlign w:val="bottom"/>
            <w:shd w:val="clear" w:color="auto" w:fill="CCCCCC"/>
          </w:tcPr>
          <w:p>
            <w:pPr>
              <w:spacing w:after="0"/>
              <w:rPr>
                <w:sz w:val="24"/>
                <w:szCs w:val="24"/>
                <w:color w:val="auto"/>
              </w:rPr>
            </w:pPr>
          </w:p>
        </w:tc>
        <w:tc>
          <w:tcPr>
            <w:tcW w:w="1080" w:type="dxa"/>
            <w:vAlign w:val="bottom"/>
            <w:gridSpan w:val="2"/>
            <w:shd w:val="clear" w:color="auto" w:fill="CCCCCC"/>
          </w:tcPr>
          <w:p>
            <w:pPr>
              <w:jc w:val="right"/>
              <w:ind w:right="40"/>
              <w:spacing w:after="0"/>
              <w:rPr>
                <w:sz w:val="20"/>
                <w:szCs w:val="20"/>
                <w:color w:val="auto"/>
              </w:rPr>
            </w:pPr>
            <w:r>
              <w:rPr>
                <w:rFonts w:ascii="Arial" w:cs="Arial" w:eastAsia="Arial" w:hAnsi="Arial"/>
                <w:sz w:val="20"/>
                <w:szCs w:val="20"/>
                <w:color w:val="auto"/>
              </w:rPr>
              <w:t>(8)</w:t>
            </w:r>
          </w:p>
        </w:tc>
        <w:tc>
          <w:tcPr>
            <w:tcW w:w="120" w:type="dxa"/>
            <w:vAlign w:val="bottom"/>
            <w:shd w:val="clear" w:color="auto" w:fill="CCCCCC"/>
          </w:tcPr>
          <w:p>
            <w:pPr>
              <w:spacing w:after="0"/>
              <w:rPr>
                <w:sz w:val="24"/>
                <w:szCs w:val="24"/>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CCCC"/>
          </w:tcPr>
          <w:p>
            <w:pPr>
              <w:spacing w:after="0"/>
              <w:rPr>
                <w:sz w:val="24"/>
                <w:szCs w:val="24"/>
                <w:color w:val="auto"/>
              </w:rPr>
            </w:pPr>
          </w:p>
        </w:tc>
        <w:tc>
          <w:tcPr>
            <w:tcW w:w="240" w:type="dxa"/>
            <w:vAlign w:val="bottom"/>
            <w:shd w:val="clear" w:color="auto" w:fill="CCCCCC"/>
          </w:tcPr>
          <w:p>
            <w:pPr>
              <w:spacing w:after="0"/>
              <w:rPr>
                <w:sz w:val="24"/>
                <w:szCs w:val="24"/>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10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6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4"/>
                <w:szCs w:val="24"/>
                <w:color w:val="auto"/>
              </w:rPr>
            </w:pPr>
          </w:p>
        </w:tc>
      </w:tr>
      <w:tr>
        <w:trPr>
          <w:trHeight w:val="70"/>
        </w:trPr>
        <w:tc>
          <w:tcPr>
            <w:tcW w:w="2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20"/>
                <w:szCs w:val="20"/>
                <w:color w:val="auto"/>
              </w:rPr>
              <w:t>Balance, December 31, 2022</w:t>
            </w:r>
          </w:p>
        </w:tc>
        <w:tc>
          <w:tcPr>
            <w:tcW w:w="460" w:type="dxa"/>
            <w:vAlign w:val="bottom"/>
            <w:gridSpan w:val="2"/>
          </w:tcPr>
          <w:p>
            <w:pPr>
              <w:ind w:left="40"/>
              <w:spacing w:after="0"/>
              <w:rPr>
                <w:sz w:val="20"/>
                <w:szCs w:val="20"/>
                <w:color w:val="auto"/>
              </w:rPr>
            </w:pPr>
            <w:r>
              <w:rPr>
                <w:rFonts w:ascii="Arial" w:cs="Arial" w:eastAsia="Arial" w:hAnsi="Arial"/>
                <w:sz w:val="20"/>
                <w:szCs w:val="20"/>
                <w:color w:val="auto"/>
              </w:rPr>
              <w:t>. . $</w:t>
            </w:r>
          </w:p>
        </w:tc>
        <w:tc>
          <w:tcPr>
            <w:tcW w:w="980" w:type="dxa"/>
            <w:vAlign w:val="bottom"/>
          </w:tcPr>
          <w:p>
            <w:pPr>
              <w:jc w:val="right"/>
              <w:spacing w:after="0"/>
              <w:rPr>
                <w:sz w:val="20"/>
                <w:szCs w:val="20"/>
                <w:color w:val="auto"/>
              </w:rPr>
            </w:pPr>
            <w:r>
              <w:rPr>
                <w:rFonts w:ascii="Arial" w:cs="Arial" w:eastAsia="Arial" w:hAnsi="Arial"/>
                <w:sz w:val="20"/>
                <w:szCs w:val="20"/>
                <w:color w:val="auto"/>
              </w:rPr>
              <w:t>2,044</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3,804</w:t>
            </w: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auto"/>
              </w:rPr>
              <w:t>6,281</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853</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12,982</w:t>
            </w:r>
          </w:p>
        </w:tc>
        <w:tc>
          <w:tcPr>
            <w:tcW w:w="20" w:type="dxa"/>
            <w:vAlign w:val="bottom"/>
          </w:tcPr>
          <w:p>
            <w:pPr>
              <w:spacing w:after="0"/>
              <w:rPr>
                <w:sz w:val="23"/>
                <w:szCs w:val="23"/>
                <w:color w:val="auto"/>
              </w:rPr>
            </w:pPr>
          </w:p>
        </w:tc>
      </w:tr>
      <w:tr>
        <w:trPr>
          <w:trHeight w:val="30"/>
        </w:trPr>
        <w:tc>
          <w:tcPr>
            <w:tcW w:w="2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9360"/>
          </w:cols>
          <w:pgMar w:left="1440" w:top="1440" w:right="1440" w:bottom="836" w:gutter="0" w:footer="0" w:header="0"/>
          <w:type w:val="continuous"/>
        </w:sectPr>
      </w:pPr>
    </w:p>
    <w:bookmarkStart w:id="76" w:name="page77"/>
    <w:bookmarkEnd w:id="76"/>
    <w:p>
      <w:pPr>
        <w:spacing w:after="0" w:line="52" w:lineRule="exact"/>
        <w:rPr>
          <w:sz w:val="20"/>
          <w:szCs w:val="20"/>
          <w:color w:val="auto"/>
        </w:rPr>
      </w:pPr>
    </w:p>
    <w:p>
      <w:pPr>
        <w:ind w:left="360" w:hanging="240"/>
        <w:spacing w:after="0"/>
        <w:tabs>
          <w:tab w:leader="none" w:pos="3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Intangible Assets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Intangible assets consist of the following:</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10"/>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r>
      <w:tr>
        <w:trPr>
          <w:trHeight w:val="223"/>
        </w:trPr>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Gross</w:t>
            </w:r>
          </w:p>
        </w:tc>
        <w:tc>
          <w:tcPr>
            <w:tcW w:w="2080" w:type="dxa"/>
            <w:vAlign w:val="bottom"/>
            <w:gridSpan w:val="6"/>
          </w:tcPr>
          <w:p>
            <w:pPr>
              <w:spacing w:after="0"/>
              <w:rPr>
                <w:sz w:val="20"/>
                <w:szCs w:val="20"/>
                <w:color w:val="auto"/>
              </w:rPr>
            </w:pPr>
            <w:r>
              <w:rPr>
                <w:rFonts w:ascii="Arial" w:cs="Arial" w:eastAsia="Arial" w:hAnsi="Arial"/>
                <w:sz w:val="18"/>
                <w:szCs w:val="18"/>
                <w:b w:val="1"/>
                <w:bCs w:val="1"/>
                <w:color w:val="auto"/>
              </w:rPr>
              <w:t>Accumulated Net Book</w:t>
            </w:r>
          </w:p>
        </w:tc>
        <w:tc>
          <w:tcPr>
            <w:tcW w:w="16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Gross</w:t>
            </w:r>
          </w:p>
        </w:tc>
        <w:tc>
          <w:tcPr>
            <w:tcW w:w="1860" w:type="dxa"/>
            <w:vAlign w:val="bottom"/>
            <w:gridSpan w:val="5"/>
          </w:tcPr>
          <w:p>
            <w:pPr>
              <w:spacing w:after="0"/>
              <w:rPr>
                <w:sz w:val="20"/>
                <w:szCs w:val="20"/>
                <w:color w:val="auto"/>
              </w:rPr>
            </w:pPr>
            <w:r>
              <w:rPr>
                <w:rFonts w:ascii="Arial" w:cs="Arial" w:eastAsia="Arial" w:hAnsi="Arial"/>
                <w:sz w:val="18"/>
                <w:szCs w:val="18"/>
                <w:color w:val="auto"/>
              </w:rPr>
              <w:t>Accumulated Net Book</w:t>
            </w:r>
          </w:p>
        </w:tc>
      </w:tr>
      <w:tr>
        <w:trPr>
          <w:trHeight w:val="203"/>
        </w:trPr>
        <w:tc>
          <w:tcPr>
            <w:tcW w:w="3120" w:type="dxa"/>
            <w:vAlign w:val="bottom"/>
          </w:tcPr>
          <w:p>
            <w:pPr>
              <w:spacing w:after="0"/>
              <w:rPr>
                <w:sz w:val="17"/>
                <w:szCs w:val="17"/>
                <w:color w:val="auto"/>
              </w:rPr>
            </w:pPr>
          </w:p>
        </w:tc>
        <w:tc>
          <w:tcPr>
            <w:tcW w:w="2280" w:type="dxa"/>
            <w:vAlign w:val="bottom"/>
            <w:gridSpan w:val="6"/>
          </w:tcPr>
          <w:p>
            <w:pPr>
              <w:spacing w:after="0" w:line="203" w:lineRule="exact"/>
              <w:rPr>
                <w:sz w:val="20"/>
                <w:szCs w:val="20"/>
                <w:color w:val="auto"/>
              </w:rPr>
            </w:pPr>
            <w:r>
              <w:rPr>
                <w:rFonts w:ascii="Arial" w:cs="Arial" w:eastAsia="Arial" w:hAnsi="Arial"/>
                <w:sz w:val="18"/>
                <w:szCs w:val="18"/>
                <w:b w:val="1"/>
                <w:bCs w:val="1"/>
                <w:color w:val="auto"/>
              </w:rPr>
              <w:t>Book Value Amortization</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line="203" w:lineRule="exact"/>
              <w:rPr>
                <w:sz w:val="20"/>
                <w:szCs w:val="20"/>
                <w:color w:val="auto"/>
              </w:rPr>
            </w:pPr>
            <w:r>
              <w:rPr>
                <w:rFonts w:ascii="Arial" w:cs="Arial" w:eastAsia="Arial" w:hAnsi="Arial"/>
                <w:sz w:val="18"/>
                <w:szCs w:val="18"/>
                <w:b w:val="1"/>
                <w:bCs w:val="1"/>
                <w:color w:val="auto"/>
                <w:w w:val="99"/>
              </w:rPr>
              <w:t>Value</w:t>
            </w:r>
          </w:p>
        </w:tc>
        <w:tc>
          <w:tcPr>
            <w:tcW w:w="1000" w:type="dxa"/>
            <w:vAlign w:val="bottom"/>
            <w:gridSpan w:val="3"/>
          </w:tcPr>
          <w:p>
            <w:pPr>
              <w:spacing w:after="0" w:line="203" w:lineRule="exact"/>
              <w:rPr>
                <w:sz w:val="20"/>
                <w:szCs w:val="20"/>
                <w:color w:val="auto"/>
              </w:rPr>
            </w:pPr>
            <w:r>
              <w:rPr>
                <w:rFonts w:ascii="Arial" w:cs="Arial" w:eastAsia="Arial" w:hAnsi="Arial"/>
                <w:sz w:val="18"/>
                <w:szCs w:val="18"/>
                <w:color w:val="auto"/>
              </w:rPr>
              <w:t>Book Value</w:t>
            </w:r>
          </w:p>
        </w:tc>
        <w:tc>
          <w:tcPr>
            <w:tcW w:w="11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7"/>
                <w:szCs w:val="17"/>
                <w:color w:val="auto"/>
              </w:rPr>
            </w:pPr>
          </w:p>
        </w:tc>
        <w:tc>
          <w:tcPr>
            <w:tcW w:w="62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Value</w:t>
            </w:r>
          </w:p>
        </w:tc>
      </w:tr>
      <w:tr>
        <w:trPr>
          <w:trHeight w:val="34"/>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8"/>
        </w:trPr>
        <w:tc>
          <w:tcPr>
            <w:tcW w:w="3120" w:type="dxa"/>
            <w:vAlign w:val="bottom"/>
            <w:shd w:val="clear" w:color="auto" w:fill="CCCCCC"/>
          </w:tcPr>
          <w:p>
            <w:pPr>
              <w:spacing w:after="0"/>
              <w:rPr>
                <w:sz w:val="20"/>
                <w:szCs w:val="20"/>
                <w:color w:val="auto"/>
              </w:rPr>
            </w:pPr>
            <w:r>
              <w:rPr>
                <w:rFonts w:ascii="Arial" w:cs="Arial" w:eastAsia="Arial" w:hAnsi="Arial"/>
                <w:sz w:val="18"/>
                <w:szCs w:val="18"/>
                <w:color w:val="auto"/>
                <w:w w:val="99"/>
              </w:rPr>
              <w:t>Customer Relationships . . . . . . . . . . . .</w:t>
            </w: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1,680</w:t>
            </w:r>
          </w:p>
        </w:tc>
        <w:tc>
          <w:tcPr>
            <w:tcW w:w="18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631</w:t>
            </w: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1,049</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1,130</w:t>
            </w:r>
          </w:p>
        </w:tc>
      </w:tr>
      <w:tr>
        <w:trPr>
          <w:trHeight w:val="236"/>
        </w:trPr>
        <w:tc>
          <w:tcPr>
            <w:tcW w:w="3120" w:type="dxa"/>
            <w:vAlign w:val="bottom"/>
          </w:tcPr>
          <w:p>
            <w:pPr>
              <w:spacing w:after="0"/>
              <w:rPr>
                <w:sz w:val="20"/>
                <w:szCs w:val="20"/>
                <w:color w:val="auto"/>
              </w:rPr>
            </w:pPr>
            <w:r>
              <w:rPr>
                <w:rFonts w:ascii="Arial" w:cs="Arial" w:eastAsia="Arial" w:hAnsi="Arial"/>
                <w:sz w:val="18"/>
                <w:szCs w:val="18"/>
                <w:color w:val="auto"/>
              </w:rPr>
              <w:t>Technology/Technical Know-How . . . .</w:t>
            </w: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1,280</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604</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40"/>
        </w:trPr>
        <w:tc>
          <w:tcPr>
            <w:tcW w:w="3120" w:type="dxa"/>
            <w:vAlign w:val="bottom"/>
            <w:shd w:val="clear" w:color="auto" w:fill="CCCCCC"/>
          </w:tcPr>
          <w:p>
            <w:pPr>
              <w:spacing w:after="0"/>
              <w:rPr>
                <w:sz w:val="20"/>
                <w:szCs w:val="20"/>
                <w:color w:val="auto"/>
              </w:rPr>
            </w:pPr>
            <w:r>
              <w:rPr>
                <w:rFonts w:ascii="Arial" w:cs="Arial" w:eastAsia="Arial" w:hAnsi="Arial"/>
                <w:sz w:val="18"/>
                <w:szCs w:val="18"/>
                <w:color w:val="auto"/>
                <w:w w:val="99"/>
              </w:rPr>
              <w:t>Tradenames . . . . . . . . . . . . . . . . . . . . .</w:t>
            </w:r>
          </w:p>
        </w:tc>
        <w:tc>
          <w:tcPr>
            <w:tcW w:w="160" w:type="dxa"/>
            <w:vAlign w:val="bottom"/>
            <w:shd w:val="clear" w:color="auto" w:fill="CCCCCC"/>
          </w:tcPr>
          <w:p>
            <w:pPr>
              <w:spacing w:after="0"/>
              <w:rPr>
                <w:sz w:val="20"/>
                <w:szCs w:val="20"/>
                <w:color w:val="auto"/>
              </w:rPr>
            </w:pPr>
          </w:p>
        </w:tc>
        <w:tc>
          <w:tcPr>
            <w:tcW w:w="90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767</w:t>
            </w:r>
          </w:p>
        </w:tc>
        <w:tc>
          <w:tcPr>
            <w:tcW w:w="180" w:type="dxa"/>
            <w:vAlign w:val="bottom"/>
            <w:shd w:val="clear" w:color="auto" w:fill="CCCCCC"/>
          </w:tcPr>
          <w:p>
            <w:pPr>
              <w:spacing w:after="0"/>
              <w:rPr>
                <w:sz w:val="20"/>
                <w:szCs w:val="20"/>
                <w:color w:val="auto"/>
              </w:rPr>
            </w:pPr>
          </w:p>
        </w:tc>
        <w:tc>
          <w:tcPr>
            <w:tcW w:w="10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222</w:t>
            </w:r>
          </w:p>
        </w:tc>
        <w:tc>
          <w:tcPr>
            <w:tcW w:w="120" w:type="dxa"/>
            <w:vAlign w:val="bottom"/>
            <w:shd w:val="clear" w:color="auto" w:fill="CCCCCC"/>
          </w:tcPr>
          <w:p>
            <w:pPr>
              <w:spacing w:after="0"/>
              <w:rPr>
                <w:sz w:val="20"/>
                <w:szCs w:val="20"/>
                <w:color w:val="auto"/>
              </w:rPr>
            </w:pPr>
          </w:p>
        </w:tc>
        <w:tc>
          <w:tcPr>
            <w:tcW w:w="7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545</w:t>
            </w:r>
          </w:p>
        </w:tc>
        <w:tc>
          <w:tcPr>
            <w:tcW w:w="160" w:type="dxa"/>
            <w:vAlign w:val="bottom"/>
            <w:shd w:val="clear" w:color="auto" w:fill="CCCCCC"/>
          </w:tcPr>
          <w:p>
            <w:pPr>
              <w:spacing w:after="0"/>
              <w:rPr>
                <w:sz w:val="20"/>
                <w:szCs w:val="20"/>
                <w:color w:val="auto"/>
              </w:rPr>
            </w:pPr>
          </w:p>
        </w:tc>
        <w:tc>
          <w:tcPr>
            <w:tcW w:w="8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CCCC"/>
          </w:tcPr>
          <w:p>
            <w:pPr>
              <w:spacing w:after="0"/>
              <w:rPr>
                <w:sz w:val="20"/>
                <w:szCs w:val="20"/>
                <w:color w:val="auto"/>
              </w:rPr>
            </w:pPr>
          </w:p>
        </w:tc>
        <w:tc>
          <w:tcPr>
            <w:tcW w:w="96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CCCC"/>
          </w:tcPr>
          <w:p>
            <w:pPr>
              <w:spacing w:after="0"/>
              <w:rPr>
                <w:sz w:val="20"/>
                <w:szCs w:val="20"/>
                <w:color w:val="auto"/>
              </w:rPr>
            </w:pPr>
          </w:p>
        </w:tc>
        <w:tc>
          <w:tcPr>
            <w:tcW w:w="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575</w:t>
            </w:r>
          </w:p>
        </w:tc>
      </w:tr>
      <w:tr>
        <w:trPr>
          <w:trHeight w:val="234"/>
        </w:trPr>
        <w:tc>
          <w:tcPr>
            <w:tcW w:w="3120" w:type="dxa"/>
            <w:vAlign w:val="bottom"/>
          </w:tcPr>
          <w:p>
            <w:pPr>
              <w:spacing w:after="0"/>
              <w:rPr>
                <w:sz w:val="20"/>
                <w:szCs w:val="20"/>
                <w:color w:val="auto"/>
              </w:rPr>
            </w:pPr>
            <w:r>
              <w:rPr>
                <w:rFonts w:ascii="Arial" w:cs="Arial" w:eastAsia="Arial" w:hAnsi="Arial"/>
                <w:sz w:val="18"/>
                <w:szCs w:val="18"/>
                <w:color w:val="auto"/>
                <w:w w:val="98"/>
              </w:rPr>
              <w:t>Other . . . . . . . . . . . . . . . . . . . . . . . . . . .</w:t>
            </w: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1,657</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863</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794</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74"/>
        </w:trPr>
        <w:tc>
          <w:tcPr>
            <w:tcW w:w="3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228"/>
        </w:trPr>
        <w:tc>
          <w:tcPr>
            <w:tcW w:w="3120" w:type="dxa"/>
            <w:vAlign w:val="bottom"/>
            <w:shd w:val="clear" w:color="auto" w:fill="CCCCCC"/>
          </w:tcPr>
          <w:p>
            <w:pPr>
              <w:spacing w:after="0"/>
              <w:rPr>
                <w:sz w:val="19"/>
                <w:szCs w:val="19"/>
                <w:color w:val="auto"/>
              </w:rPr>
            </w:pP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5,384</w:t>
            </w:r>
          </w:p>
        </w:tc>
        <w:tc>
          <w:tcPr>
            <w:tcW w:w="18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2,392</w:t>
            </w: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b w:val="1"/>
                <w:bCs w:val="1"/>
                <w:color w:val="auto"/>
              </w:rPr>
              <w:t>2,992</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color w:val="auto"/>
              </w:rPr>
              <w:t>5,289</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3,211</w:t>
            </w:r>
          </w:p>
        </w:tc>
      </w:tr>
      <w:tr>
        <w:trPr>
          <w:trHeight w:val="70"/>
        </w:trPr>
        <w:tc>
          <w:tcPr>
            <w:tcW w:w="3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Customer relationships are generally amortized over periods ranging from 18 to 28 years, technology/ technical know-how are generally amortized over periods ranging from 10 to 18 years, and tradenames are generally amortized over periods ranging from 15 to 30 years.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Amortization expense was $301 million in 2022, $302 million in 2021, and $371 million in 2020.</w:t>
      </w:r>
    </w:p>
    <w:p>
      <w:pPr>
        <w:spacing w:after="0" w:line="220"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Based on the carrying value of intangible assets at December 31, 2022, amortization expense for the subsequent five years is estimated to be as follows: 2023: $289 million, 2024: $281 million, 2025: $265 million, 2026: $260 million and 2027: $253 million.</w:t>
      </w:r>
    </w:p>
    <w:p>
      <w:pPr>
        <w:spacing w:after="0" w:line="314" w:lineRule="exact"/>
        <w:rPr>
          <w:sz w:val="20"/>
          <w:szCs w:val="20"/>
          <w:color w:val="auto"/>
        </w:rPr>
      </w:pPr>
    </w:p>
    <w:p>
      <w:pPr>
        <w:ind w:left="360" w:hanging="240"/>
        <w:spacing w:after="0"/>
        <w:tabs>
          <w:tab w:leader="none" w:pos="3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Long-term Debt and Debt Facility Agreements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 xml:space="preserve">Long-term Debt </w:t>
      </w:r>
      <w:r>
        <w:rPr>
          <w:rFonts w:ascii="Arial" w:cs="Arial" w:eastAsia="Arial" w:hAnsi="Arial"/>
          <w:sz w:val="20"/>
          <w:szCs w:val="20"/>
          <w:color w:val="auto"/>
        </w:rPr>
        <w:t>consists of the following:</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34"/>
        </w:trPr>
        <w:tc>
          <w:tcPr>
            <w:tcW w:w="6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0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80"/>
              <w:spacing w:after="0"/>
              <w:rPr>
                <w:sz w:val="20"/>
                <w:szCs w:val="20"/>
                <w:color w:val="auto"/>
              </w:rPr>
            </w:pPr>
            <w:r>
              <w:rPr>
                <w:rFonts w:ascii="Arial" w:cs="Arial" w:eastAsia="Arial" w:hAnsi="Arial"/>
                <w:sz w:val="20"/>
                <w:szCs w:val="20"/>
                <w:color w:val="auto"/>
              </w:rPr>
              <w:t>2021</w:t>
            </w:r>
          </w:p>
        </w:tc>
      </w:tr>
      <w:tr>
        <w:trPr>
          <w:trHeight w:val="30"/>
        </w:trPr>
        <w:tc>
          <w:tcPr>
            <w:tcW w:w="6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3.90%</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rPr>
              <w:t>Senior Notes due 2028 . . . . . . . . . . . . . . . . . . . . . . . . . . . . . . . . . .</w:t>
            </w:r>
          </w:p>
        </w:tc>
        <w:tc>
          <w:tcPr>
            <w:tcW w:w="24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1,464</w:t>
            </w:r>
          </w:p>
        </w:tc>
        <w:tc>
          <w:tcPr>
            <w:tcW w:w="38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1,457</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2.65%</w:t>
            </w:r>
          </w:p>
        </w:tc>
        <w:tc>
          <w:tcPr>
            <w:tcW w:w="5880" w:type="dxa"/>
            <w:vAlign w:val="bottom"/>
          </w:tcPr>
          <w:p>
            <w:pPr>
              <w:ind w:left="20"/>
              <w:spacing w:after="0"/>
              <w:rPr>
                <w:sz w:val="20"/>
                <w:szCs w:val="20"/>
                <w:color w:val="auto"/>
              </w:rPr>
            </w:pPr>
            <w:r>
              <w:rPr>
                <w:rFonts w:ascii="Arial" w:cs="Arial" w:eastAsia="Arial" w:hAnsi="Arial"/>
                <w:sz w:val="20"/>
                <w:szCs w:val="20"/>
                <w:color w:val="auto"/>
              </w:rPr>
              <w:t>Senior Notes due 2030 . . . . .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1,250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1,250</w:t>
            </w:r>
          </w:p>
        </w:tc>
      </w:tr>
      <w:tr>
        <w:trPr>
          <w:trHeight w:val="256"/>
        </w:trPr>
        <w:tc>
          <w:tcPr>
            <w:tcW w:w="6480" w:type="dxa"/>
            <w:vAlign w:val="bottom"/>
            <w:gridSpan w:val="2"/>
            <w:shd w:val="clear" w:color="auto" w:fill="CCCCCC"/>
          </w:tcPr>
          <w:p>
            <w:pPr>
              <w:spacing w:after="0"/>
              <w:rPr>
                <w:sz w:val="20"/>
                <w:szCs w:val="20"/>
                <w:color w:val="auto"/>
              </w:rPr>
            </w:pPr>
            <w:r>
              <w:rPr>
                <w:rFonts w:ascii="Arial" w:cs="Arial" w:eastAsia="Arial" w:hAnsi="Arial"/>
                <w:sz w:val="20"/>
                <w:szCs w:val="20"/>
                <w:color w:val="auto"/>
              </w:rPr>
              <w:t>1.375% Guaranteed Notes due 2026 . . . . . . . . . . . . . . . . . . . . . . . . . . . .</w:t>
            </w:r>
          </w:p>
        </w:tc>
        <w:tc>
          <w:tcPr>
            <w:tcW w:w="240" w:type="dxa"/>
            <w:vAlign w:val="bottom"/>
            <w:shd w:val="clear" w:color="auto" w:fill="CCCCCC"/>
          </w:tcPr>
          <w:p>
            <w:pPr>
              <w:spacing w:after="0"/>
              <w:rPr>
                <w:sz w:val="22"/>
                <w:szCs w:val="22"/>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1,061</w:t>
            </w: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1,125</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2.00%</w:t>
            </w:r>
          </w:p>
        </w:tc>
        <w:tc>
          <w:tcPr>
            <w:tcW w:w="5880" w:type="dxa"/>
            <w:vAlign w:val="bottom"/>
          </w:tcPr>
          <w:p>
            <w:pPr>
              <w:ind w:left="20"/>
              <w:spacing w:after="0"/>
              <w:rPr>
                <w:sz w:val="20"/>
                <w:szCs w:val="20"/>
                <w:color w:val="auto"/>
              </w:rPr>
            </w:pPr>
            <w:r>
              <w:rPr>
                <w:rFonts w:ascii="Arial" w:cs="Arial" w:eastAsia="Arial" w:hAnsi="Arial"/>
                <w:sz w:val="20"/>
                <w:szCs w:val="20"/>
                <w:color w:val="auto"/>
              </w:rPr>
              <w:t>Guaranteed Notes due 2032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1,055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1,118</w:t>
            </w:r>
          </w:p>
        </w:tc>
      </w:tr>
      <w:tr>
        <w:trPr>
          <w:trHeight w:val="25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0.25%</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w w:val="99"/>
              </w:rPr>
              <w:t>Notes due 2027 . . . . . . . . . . . . . . . . . . . . . . . . . . . . . . . . . . . . . . . .</w:t>
            </w:r>
          </w:p>
        </w:tc>
        <w:tc>
          <w:tcPr>
            <w:tcW w:w="240" w:type="dxa"/>
            <w:vAlign w:val="bottom"/>
            <w:shd w:val="clear" w:color="auto" w:fill="CCCCCC"/>
          </w:tcPr>
          <w:p>
            <w:pPr>
              <w:spacing w:after="0"/>
              <w:rPr>
                <w:sz w:val="22"/>
                <w:szCs w:val="22"/>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955</w:t>
            </w: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1,013</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0.50%</w:t>
            </w:r>
          </w:p>
        </w:tc>
        <w:tc>
          <w:tcPr>
            <w:tcW w:w="5880" w:type="dxa"/>
            <w:vAlign w:val="bottom"/>
          </w:tcPr>
          <w:p>
            <w:pPr>
              <w:ind w:left="20"/>
              <w:spacing w:after="0"/>
              <w:rPr>
                <w:sz w:val="20"/>
                <w:szCs w:val="20"/>
                <w:color w:val="auto"/>
              </w:rPr>
            </w:pPr>
            <w:r>
              <w:rPr>
                <w:rFonts w:ascii="Arial" w:cs="Arial" w:eastAsia="Arial" w:hAnsi="Arial"/>
                <w:sz w:val="20"/>
                <w:szCs w:val="20"/>
                <w:color w:val="auto"/>
                <w:w w:val="99"/>
              </w:rPr>
              <w:t>Notes due 2031 . . . . . . . . . . .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954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1,012</w:t>
            </w:r>
          </w:p>
        </w:tc>
      </w:tr>
      <w:tr>
        <w:trPr>
          <w:trHeight w:val="25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4.30%</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rPr>
              <w:t>Senior Notes due 2029 . . . . . . . . . . . . . . . . . . . . . . . . . . . . . . . . . .</w:t>
            </w:r>
          </w:p>
        </w:tc>
        <w:tc>
          <w:tcPr>
            <w:tcW w:w="240" w:type="dxa"/>
            <w:vAlign w:val="bottom"/>
            <w:shd w:val="clear" w:color="auto" w:fill="CCCCCC"/>
          </w:tcPr>
          <w:p>
            <w:pPr>
              <w:spacing w:after="0"/>
              <w:rPr>
                <w:sz w:val="22"/>
                <w:szCs w:val="22"/>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847</w:t>
            </w: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846</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1.00%</w:t>
            </w:r>
          </w:p>
        </w:tc>
        <w:tc>
          <w:tcPr>
            <w:tcW w:w="5880" w:type="dxa"/>
            <w:vAlign w:val="bottom"/>
          </w:tcPr>
          <w:p>
            <w:pPr>
              <w:ind w:left="20"/>
              <w:spacing w:after="0"/>
              <w:rPr>
                <w:sz w:val="20"/>
                <w:szCs w:val="20"/>
                <w:color w:val="auto"/>
              </w:rPr>
            </w:pPr>
            <w:r>
              <w:rPr>
                <w:rFonts w:ascii="Arial" w:cs="Arial" w:eastAsia="Arial" w:hAnsi="Arial"/>
                <w:sz w:val="20"/>
                <w:szCs w:val="20"/>
                <w:color w:val="auto"/>
              </w:rPr>
              <w:t>Guaranteed Notes due 2026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635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679</w:t>
            </w:r>
          </w:p>
        </w:tc>
      </w:tr>
      <w:tr>
        <w:trPr>
          <w:trHeight w:val="25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0.00%</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w w:val="99"/>
              </w:rPr>
              <w:t>Notes due 2024 . . . . . . . . . . . . . . . . . . . . . . . . . . . . . . . . . . . . . . . .</w:t>
            </w:r>
          </w:p>
        </w:tc>
        <w:tc>
          <w:tcPr>
            <w:tcW w:w="240" w:type="dxa"/>
            <w:vAlign w:val="bottom"/>
            <w:shd w:val="clear" w:color="auto" w:fill="CCCCCC"/>
          </w:tcPr>
          <w:p>
            <w:pPr>
              <w:spacing w:after="0"/>
              <w:rPr>
                <w:sz w:val="22"/>
                <w:szCs w:val="22"/>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531</w:t>
            </w: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563</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4.00%</w:t>
            </w:r>
          </w:p>
        </w:tc>
        <w:tc>
          <w:tcPr>
            <w:tcW w:w="5880" w:type="dxa"/>
            <w:vAlign w:val="bottom"/>
          </w:tcPr>
          <w:p>
            <w:pPr>
              <w:ind w:left="20"/>
              <w:spacing w:after="0"/>
              <w:rPr>
                <w:sz w:val="20"/>
                <w:szCs w:val="20"/>
                <w:color w:val="auto"/>
              </w:rPr>
            </w:pPr>
            <w:r>
              <w:rPr>
                <w:rFonts w:ascii="Arial" w:cs="Arial" w:eastAsia="Arial" w:hAnsi="Arial"/>
                <w:sz w:val="20"/>
                <w:szCs w:val="20"/>
                <w:color w:val="auto"/>
              </w:rPr>
              <w:t>Senior Notes due 2025 . . . . .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522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930</w:t>
            </w:r>
          </w:p>
        </w:tc>
      </w:tr>
      <w:tr>
        <w:trPr>
          <w:trHeight w:val="25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1.40%</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rPr>
              <w:t>Senior Notes due 2025 . . . . . . . . . . . . . . . . . . . . . . . . . . . . . . . . . .</w:t>
            </w:r>
          </w:p>
        </w:tc>
        <w:tc>
          <w:tcPr>
            <w:tcW w:w="240" w:type="dxa"/>
            <w:vAlign w:val="bottom"/>
            <w:shd w:val="clear" w:color="auto" w:fill="CCCCCC"/>
          </w:tcPr>
          <w:p>
            <w:pPr>
              <w:spacing w:after="0"/>
              <w:rPr>
                <w:sz w:val="22"/>
                <w:szCs w:val="22"/>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499</w:t>
            </w: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498</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3.75%</w:t>
            </w:r>
          </w:p>
        </w:tc>
        <w:tc>
          <w:tcPr>
            <w:tcW w:w="5880" w:type="dxa"/>
            <w:vAlign w:val="bottom"/>
          </w:tcPr>
          <w:p>
            <w:pPr>
              <w:ind w:left="20"/>
              <w:spacing w:after="0"/>
              <w:rPr>
                <w:sz w:val="20"/>
                <w:szCs w:val="20"/>
                <w:color w:val="auto"/>
              </w:rPr>
            </w:pPr>
            <w:r>
              <w:rPr>
                <w:rFonts w:ascii="Arial" w:cs="Arial" w:eastAsia="Arial" w:hAnsi="Arial"/>
                <w:sz w:val="20"/>
                <w:szCs w:val="20"/>
                <w:color w:val="auto"/>
              </w:rPr>
              <w:t>Senior Notes due 2024 . . . . .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355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748</w:t>
            </w:r>
          </w:p>
        </w:tc>
      </w:tr>
      <w:tr>
        <w:trPr>
          <w:trHeight w:val="25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7.00%</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w w:val="99"/>
              </w:rPr>
              <w:t>Notes due 2038 . . . . . . . . . . . . . . . . . . . . . . . . . . . . . . . . . . . . . . . .</w:t>
            </w:r>
          </w:p>
        </w:tc>
        <w:tc>
          <w:tcPr>
            <w:tcW w:w="240" w:type="dxa"/>
            <w:vAlign w:val="bottom"/>
            <w:shd w:val="clear" w:color="auto" w:fill="CCCCCC"/>
          </w:tcPr>
          <w:p>
            <w:pPr>
              <w:spacing w:after="0"/>
              <w:rPr>
                <w:sz w:val="22"/>
                <w:szCs w:val="22"/>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202</w:t>
            </w: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204</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5.95%</w:t>
            </w:r>
          </w:p>
        </w:tc>
        <w:tc>
          <w:tcPr>
            <w:tcW w:w="5880" w:type="dxa"/>
            <w:vAlign w:val="bottom"/>
          </w:tcPr>
          <w:p>
            <w:pPr>
              <w:ind w:left="20"/>
              <w:spacing w:after="0"/>
              <w:rPr>
                <w:sz w:val="20"/>
                <w:szCs w:val="20"/>
                <w:color w:val="auto"/>
              </w:rPr>
            </w:pPr>
            <w:r>
              <w:rPr>
                <w:rFonts w:ascii="Arial" w:cs="Arial" w:eastAsia="Arial" w:hAnsi="Arial"/>
                <w:sz w:val="20"/>
                <w:szCs w:val="20"/>
                <w:color w:val="auto"/>
                <w:w w:val="99"/>
              </w:rPr>
              <w:t>Notes due 2041 . . . . . . . . . . .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112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5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5.13%</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w w:val="99"/>
              </w:rPr>
              <w:t>Notes due 2043 . . . . . . . . . . . . . . . . . . . . . . . . . . . . . . . . . . . . . . . .</w:t>
            </w:r>
          </w:p>
        </w:tc>
        <w:tc>
          <w:tcPr>
            <w:tcW w:w="240" w:type="dxa"/>
            <w:vAlign w:val="bottom"/>
            <w:shd w:val="clear" w:color="auto" w:fill="CCCCCC"/>
          </w:tcPr>
          <w:p>
            <w:pPr>
              <w:spacing w:after="0"/>
              <w:rPr>
                <w:sz w:val="22"/>
                <w:szCs w:val="22"/>
                <w:color w:val="auto"/>
              </w:rPr>
            </w:pP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98</w:t>
            </w: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98</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3.70%</w:t>
            </w:r>
          </w:p>
        </w:tc>
        <w:tc>
          <w:tcPr>
            <w:tcW w:w="5880" w:type="dxa"/>
            <w:vAlign w:val="bottom"/>
          </w:tcPr>
          <w:p>
            <w:pPr>
              <w:ind w:left="20"/>
              <w:spacing w:after="0"/>
              <w:rPr>
                <w:sz w:val="20"/>
                <w:szCs w:val="20"/>
                <w:color w:val="auto"/>
              </w:rPr>
            </w:pPr>
            <w:r>
              <w:rPr>
                <w:rFonts w:ascii="Arial" w:cs="Arial" w:eastAsia="Arial" w:hAnsi="Arial"/>
                <w:sz w:val="20"/>
                <w:szCs w:val="20"/>
                <w:color w:val="auto"/>
                <w:w w:val="99"/>
              </w:rPr>
              <w:t>Notes due 2024 . . . . . . . . . . . . . . . . . . . . . . . . . . . . . . . . . . . . . . .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54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6"/>
        </w:trPr>
        <w:tc>
          <w:tcPr>
            <w:tcW w:w="600" w:type="dxa"/>
            <w:vAlign w:val="bottom"/>
            <w:shd w:val="clear" w:color="auto" w:fill="CCCCCC"/>
          </w:tcPr>
          <w:p>
            <w:pPr>
              <w:spacing w:after="0"/>
              <w:rPr>
                <w:sz w:val="20"/>
                <w:szCs w:val="20"/>
                <w:color w:val="auto"/>
              </w:rPr>
            </w:pPr>
            <w:r>
              <w:rPr>
                <w:rFonts w:ascii="Arial" w:cs="Arial" w:eastAsia="Arial" w:hAnsi="Arial"/>
                <w:sz w:val="20"/>
                <w:szCs w:val="20"/>
                <w:color w:val="auto"/>
              </w:rPr>
              <w:t>3.65%</w:t>
            </w:r>
          </w:p>
        </w:tc>
        <w:tc>
          <w:tcPr>
            <w:tcW w:w="5880" w:type="dxa"/>
            <w:vAlign w:val="bottom"/>
            <w:shd w:val="clear" w:color="auto" w:fill="CCCCCC"/>
          </w:tcPr>
          <w:p>
            <w:pPr>
              <w:ind w:left="20"/>
              <w:spacing w:after="0"/>
              <w:rPr>
                <w:sz w:val="20"/>
                <w:szCs w:val="20"/>
                <w:color w:val="auto"/>
              </w:rPr>
            </w:pPr>
            <w:r>
              <w:rPr>
                <w:rFonts w:ascii="Arial" w:cs="Arial" w:eastAsia="Arial" w:hAnsi="Arial"/>
                <w:sz w:val="20"/>
                <w:szCs w:val="20"/>
                <w:color w:val="auto"/>
              </w:rPr>
              <w:t>Senior Notes due 2023 . . . . . . . . . . . . . . . . . . . . . . . . . . . . . . . . . .</w:t>
            </w: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shd w:val="clear" w:color="auto" w:fill="CCCCCC"/>
          </w:tcPr>
          <w:p>
            <w:pPr>
              <w:spacing w:after="0"/>
              <w:rPr>
                <w:sz w:val="22"/>
                <w:szCs w:val="22"/>
                <w:color w:val="auto"/>
              </w:rPr>
            </w:pPr>
          </w:p>
        </w:tc>
        <w:tc>
          <w:tcPr>
            <w:tcW w:w="140" w:type="dxa"/>
            <w:vAlign w:val="bottom"/>
            <w:shd w:val="clear" w:color="auto" w:fill="CCCCCC"/>
          </w:tcPr>
          <w:p>
            <w:pPr>
              <w:spacing w:after="0"/>
              <w:rPr>
                <w:sz w:val="22"/>
                <w:szCs w:val="22"/>
                <w:color w:val="auto"/>
              </w:rPr>
            </w:pPr>
          </w:p>
        </w:tc>
        <w:tc>
          <w:tcPr>
            <w:tcW w:w="240" w:type="dxa"/>
            <w:vAlign w:val="bottom"/>
            <w:shd w:val="clear" w:color="auto" w:fill="CCCCCC"/>
          </w:tcPr>
          <w:p>
            <w:pPr>
              <w:spacing w:after="0"/>
              <w:rPr>
                <w:sz w:val="22"/>
                <w:szCs w:val="22"/>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1,497</w:t>
            </w:r>
          </w:p>
        </w:tc>
      </w:tr>
      <w:tr>
        <w:trPr>
          <w:trHeight w:val="256"/>
        </w:trPr>
        <w:tc>
          <w:tcPr>
            <w:tcW w:w="600" w:type="dxa"/>
            <w:vAlign w:val="bottom"/>
          </w:tcPr>
          <w:p>
            <w:pPr>
              <w:spacing w:after="0"/>
              <w:rPr>
                <w:sz w:val="20"/>
                <w:szCs w:val="20"/>
                <w:color w:val="auto"/>
              </w:rPr>
            </w:pPr>
            <w:r>
              <w:rPr>
                <w:rFonts w:ascii="Arial" w:cs="Arial" w:eastAsia="Arial" w:hAnsi="Arial"/>
                <w:sz w:val="20"/>
                <w:szCs w:val="20"/>
                <w:color w:val="auto"/>
              </w:rPr>
              <w:t>4.00%</w:t>
            </w:r>
          </w:p>
        </w:tc>
        <w:tc>
          <w:tcPr>
            <w:tcW w:w="5880" w:type="dxa"/>
            <w:vAlign w:val="bottom"/>
          </w:tcPr>
          <w:p>
            <w:pPr>
              <w:ind w:left="20"/>
              <w:spacing w:after="0"/>
              <w:rPr>
                <w:sz w:val="20"/>
                <w:szCs w:val="20"/>
                <w:color w:val="auto"/>
              </w:rPr>
            </w:pPr>
            <w:r>
              <w:rPr>
                <w:rFonts w:ascii="Arial" w:cs="Arial" w:eastAsia="Arial" w:hAnsi="Arial"/>
                <w:sz w:val="20"/>
                <w:szCs w:val="20"/>
                <w:color w:val="auto"/>
                <w:w w:val="99"/>
              </w:rPr>
              <w:t>Notes due 2023 . . . . . . . . . . . . . . . . . . . . . . . . . . . . . . . . . . . . . . . .</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70"/>
        </w:trPr>
        <w:tc>
          <w:tcPr>
            <w:tcW w:w="600" w:type="dxa"/>
            <w:vAlign w:val="bottom"/>
          </w:tcPr>
          <w:p>
            <w:pPr>
              <w:spacing w:after="0"/>
              <w:rPr>
                <w:sz w:val="6"/>
                <w:szCs w:val="6"/>
                <w:color w:val="auto"/>
              </w:rPr>
            </w:pPr>
          </w:p>
        </w:tc>
        <w:tc>
          <w:tcPr>
            <w:tcW w:w="58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46"/>
        </w:trPr>
        <w:tc>
          <w:tcPr>
            <w:tcW w:w="600" w:type="dxa"/>
            <w:vAlign w:val="bottom"/>
            <w:shd w:val="clear" w:color="auto" w:fill="CCCCCC"/>
          </w:tcPr>
          <w:p>
            <w:pPr>
              <w:spacing w:after="0"/>
              <w:rPr>
                <w:sz w:val="21"/>
                <w:szCs w:val="21"/>
                <w:color w:val="auto"/>
              </w:rPr>
            </w:pPr>
          </w:p>
        </w:tc>
        <w:tc>
          <w:tcPr>
            <w:tcW w:w="5880" w:type="dxa"/>
            <w:vAlign w:val="bottom"/>
            <w:shd w:val="clear" w:color="auto" w:fill="CCCCCC"/>
          </w:tcPr>
          <w:p>
            <w:pPr>
              <w:spacing w:after="0"/>
              <w:rPr>
                <w:sz w:val="21"/>
                <w:szCs w:val="21"/>
                <w:color w:val="auto"/>
              </w:rPr>
            </w:pPr>
          </w:p>
        </w:tc>
        <w:tc>
          <w:tcPr>
            <w:tcW w:w="24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0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10,594</w:t>
            </w:r>
          </w:p>
        </w:tc>
        <w:tc>
          <w:tcPr>
            <w:tcW w:w="38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13,286</w:t>
            </w:r>
          </w:p>
        </w:tc>
      </w:tr>
      <w:tr>
        <w:trPr>
          <w:trHeight w:val="70"/>
        </w:trPr>
        <w:tc>
          <w:tcPr>
            <w:tcW w:w="600" w:type="dxa"/>
            <w:vAlign w:val="bottom"/>
          </w:tcPr>
          <w:p>
            <w:pPr>
              <w:spacing w:after="0"/>
              <w:rPr>
                <w:sz w:val="6"/>
                <w:szCs w:val="6"/>
                <w:color w:val="auto"/>
              </w:rPr>
            </w:pPr>
          </w:p>
        </w:tc>
        <w:tc>
          <w:tcPr>
            <w:tcW w:w="58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0"/>
        </w:trPr>
        <w:tc>
          <w:tcPr>
            <w:tcW w:w="6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9360"/>
          </w:cols>
          <w:pgMar w:left="1440" w:top="1440" w:right="1440" w:bottom="836" w:gutter="0" w:footer="0" w:header="0"/>
          <w:type w:val="continuous"/>
        </w:sectPr>
      </w:pPr>
    </w:p>
    <w:bookmarkStart w:id="77" w:name="page78"/>
    <w:bookmarkEnd w:id="77"/>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At December 31, 2022, SLB had committed credit facility agreements with commercial banks aggregating $5.75 billion, all of which was available and unused. These committed facilities support commercial paper programs in the United States and Europe, of which $750 million matures in February 2024, $2.0 billion matures in February 2025, $1.0 billion matures in July 2026, and $2.0 billion in February 2027. SLB also has a </w:t>
      </w:r>
      <w:r>
        <w:rPr>
          <w:rFonts w:ascii="Times New Roman" w:cs="Times New Roman" w:eastAsia="Times New Roman" w:hAnsi="Times New Roman"/>
          <w:sz w:val="20"/>
          <w:szCs w:val="20"/>
          <w:color w:val="auto"/>
        </w:rPr>
        <w:t>€</w:t>
      </w:r>
      <w:r>
        <w:rPr>
          <w:rFonts w:ascii="Arial" w:cs="Arial" w:eastAsia="Arial" w:hAnsi="Arial"/>
          <w:sz w:val="20"/>
          <w:szCs w:val="20"/>
          <w:color w:val="auto"/>
        </w:rPr>
        <w:t>750 million three-year committed revolving credit facility that matures in June 2024. At December 31, 2022, no amounts had been drawn under this facility. Interest rates and other terms of borrowing under these lines of credit vary by facility.</w:t>
      </w:r>
    </w:p>
    <w:p>
      <w:pPr>
        <w:spacing w:after="0" w:line="19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Commercial paper borrowings are classified as long-term debt to the extent they are backed up by available and unused committed credit facilities maturing in more than one year and to the extent it is SLB’s intent to maintain these obligations for longer than one year. There were no borrowings under the commercial paper programs at December 31, 2022 and December 31, 2021, respectively.</w:t>
      </w:r>
    </w:p>
    <w:p>
      <w:pPr>
        <w:spacing w:after="0" w:line="19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i w:val="1"/>
          <w:iCs w:val="1"/>
          <w:color w:val="auto"/>
        </w:rPr>
        <w:t xml:space="preserve">Long-term Debt </w:t>
      </w:r>
      <w:r>
        <w:rPr>
          <w:rFonts w:ascii="Arial" w:cs="Arial" w:eastAsia="Arial" w:hAnsi="Arial"/>
          <w:sz w:val="20"/>
          <w:szCs w:val="20"/>
          <w:color w:val="auto"/>
        </w:rPr>
        <w:t>as of December 31, 2022 is due as follows: $0.9 billion in 2024, $1.0 billion in 2025,</w:t>
      </w:r>
      <w:r>
        <w:rPr>
          <w:rFonts w:ascii="Arial" w:cs="Arial" w:eastAsia="Arial" w:hAnsi="Arial"/>
          <w:sz w:val="20"/>
          <w:szCs w:val="20"/>
          <w:i w:val="1"/>
          <w:iCs w:val="1"/>
          <w:color w:val="auto"/>
        </w:rPr>
        <w:t xml:space="preserve"> </w:t>
      </w:r>
      <w:r>
        <w:rPr>
          <w:rFonts w:ascii="Arial" w:cs="Arial" w:eastAsia="Arial" w:hAnsi="Arial"/>
          <w:sz w:val="20"/>
          <w:szCs w:val="20"/>
          <w:color w:val="auto"/>
        </w:rPr>
        <w:t>$1.7 billion in 2026, $1.0 billion in 2027, $1.5 billion in 2028, $0.8 billion in 2029 and $3.7 billion thereafter.</w:t>
      </w:r>
    </w:p>
    <w:p>
      <w:pPr>
        <w:spacing w:after="0" w:line="193"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 xml:space="preserve">The fair value of SLB’s </w:t>
      </w:r>
      <w:r>
        <w:rPr>
          <w:rFonts w:ascii="Arial" w:cs="Arial" w:eastAsia="Arial" w:hAnsi="Arial"/>
          <w:sz w:val="20"/>
          <w:szCs w:val="20"/>
          <w:i w:val="1"/>
          <w:iCs w:val="1"/>
          <w:color w:val="auto"/>
        </w:rPr>
        <w:t>Long-term Debt</w:t>
      </w:r>
      <w:r>
        <w:rPr>
          <w:rFonts w:ascii="Arial" w:cs="Arial" w:eastAsia="Arial" w:hAnsi="Arial"/>
          <w:sz w:val="20"/>
          <w:szCs w:val="20"/>
          <w:color w:val="auto"/>
        </w:rPr>
        <w:t xml:space="preserve"> at December 31, 2022 and December 31, 2021 was $9.4 billion and $13.9 billion, respectively, and was estimated based on quoted market prices.</w:t>
      </w:r>
    </w:p>
    <w:p>
      <w:pPr>
        <w:spacing w:after="0" w:line="19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280" w:lineRule="exact"/>
        <w:rPr>
          <w:sz w:val="20"/>
          <w:szCs w:val="20"/>
          <w:color w:val="auto"/>
        </w:rPr>
      </w:pPr>
    </w:p>
    <w:p>
      <w:pPr>
        <w:ind w:left="360" w:hanging="240"/>
        <w:spacing w:after="0"/>
        <w:tabs>
          <w:tab w:leader="none" w:pos="3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Derivative Instruments and Hedging Activities</w:t>
      </w:r>
    </w:p>
    <w:p>
      <w:pPr>
        <w:spacing w:after="0" w:line="10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SLB’s functional currency is primarily the US dollar. Approximately 72% of SLB’s revenues in 2022 were denominated in US dollars.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9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SLB is exposed to risks on future cash flows relating to its fixed rate debt denominated in currencies other than the functional currency. SLB uses cross-currency interest rate swaps to provide a hedge against these cash flow risks. These contracts are accounted for as cash flow hedges, with the fair value of the derivative recorded on the </w:t>
      </w:r>
      <w:r>
        <w:rPr>
          <w:rFonts w:ascii="Arial" w:cs="Arial" w:eastAsia="Arial" w:hAnsi="Arial"/>
          <w:sz w:val="20"/>
          <w:szCs w:val="20"/>
          <w:i w:val="1"/>
          <w:iCs w:val="1"/>
          <w:color w:val="auto"/>
        </w:rPr>
        <w:t>Consolidated Balance Sheet</w:t>
      </w:r>
      <w:r>
        <w:rPr>
          <w:rFonts w:ascii="Arial" w:cs="Arial" w:eastAsia="Arial" w:hAnsi="Arial"/>
          <w:sz w:val="20"/>
          <w:szCs w:val="20"/>
          <w:color w:val="auto"/>
        </w:rPr>
        <w:t xml:space="preserve"> and in </w:t>
      </w:r>
      <w:r>
        <w:rPr>
          <w:rFonts w:ascii="Arial" w:cs="Arial" w:eastAsia="Arial" w:hAnsi="Arial"/>
          <w:sz w:val="20"/>
          <w:szCs w:val="20"/>
          <w:i w:val="1"/>
          <w:iCs w:val="1"/>
          <w:color w:val="auto"/>
        </w:rPr>
        <w:t>Accumulated other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comprehensive loss. </w:t>
      </w:r>
      <w:r>
        <w:rPr>
          <w:rFonts w:ascii="Arial" w:cs="Arial" w:eastAsia="Arial" w:hAnsi="Arial"/>
          <w:sz w:val="20"/>
          <w:szCs w:val="20"/>
          <w:color w:val="auto"/>
        </w:rPr>
        <w:t>Amounts recorded in</w:t>
      </w:r>
      <w:r>
        <w:rPr>
          <w:rFonts w:ascii="Arial" w:cs="Arial" w:eastAsia="Arial" w:hAnsi="Arial"/>
          <w:sz w:val="20"/>
          <w:szCs w:val="20"/>
          <w:i w:val="1"/>
          <w:iCs w:val="1"/>
          <w:color w:val="auto"/>
        </w:rPr>
        <w:t xml:space="preserve"> Accumulated other comprehensive loss </w:t>
      </w:r>
      <w:r>
        <w:rPr>
          <w:rFonts w:ascii="Arial" w:cs="Arial" w:eastAsia="Arial" w:hAnsi="Arial"/>
          <w:sz w:val="20"/>
          <w:szCs w:val="20"/>
          <w:color w:val="auto"/>
        </w:rPr>
        <w:t>are reclassified into</w:t>
      </w:r>
      <w:r>
        <w:rPr>
          <w:rFonts w:ascii="Arial" w:cs="Arial" w:eastAsia="Arial" w:hAnsi="Arial"/>
          <w:sz w:val="20"/>
          <w:szCs w:val="20"/>
          <w:i w:val="1"/>
          <w:iCs w:val="1"/>
          <w:color w:val="auto"/>
        </w:rPr>
        <w:t xml:space="preserve"> </w:t>
      </w:r>
      <w:r>
        <w:rPr>
          <w:rFonts w:ascii="Arial" w:cs="Arial" w:eastAsia="Arial" w:hAnsi="Arial"/>
          <w:sz w:val="20"/>
          <w:szCs w:val="20"/>
          <w:color w:val="auto"/>
        </w:rPr>
        <w:t>earnings in the same period or periods that the hedged item is recognized in earnings.</w:t>
      </w:r>
    </w:p>
    <w:p>
      <w:pPr>
        <w:spacing w:after="0" w:line="19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Details regarding SLB’s outstanding cross-currency interest rate swaps as of December 31, 2022, were as follows:</w:t>
      </w:r>
    </w:p>
    <w:p>
      <w:pPr>
        <w:spacing w:after="0" w:line="103" w:lineRule="exact"/>
        <w:rPr>
          <w:sz w:val="20"/>
          <w:szCs w:val="20"/>
          <w:color w:val="auto"/>
        </w:rPr>
      </w:pPr>
    </w:p>
    <w:p>
      <w:pPr>
        <w:jc w:val="both"/>
        <w:ind w:left="840" w:right="120" w:hanging="360"/>
        <w:spacing w:after="0" w:line="248" w:lineRule="auto"/>
        <w:tabs>
          <w:tab w:leader="none" w:pos="8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During 2019, a US-dollar functional currency subsidiary of SLB issued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1.5 billion of Euro-denominated debt. SLB entered into cross-currency interest rate swaps in order to hedge changes in the fair value of its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0.5 billion 0.00% Notes due 2024,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0.5 billion 0.25% Notes due 2027 and </w:t>
      </w:r>
      <w:r>
        <w:rPr>
          <w:rFonts w:ascii="Times New Roman" w:cs="Times New Roman" w:eastAsia="Times New Roman" w:hAnsi="Times New Roman"/>
          <w:sz w:val="20"/>
          <w:szCs w:val="20"/>
          <w:color w:val="auto"/>
        </w:rPr>
        <w:t>€</w:t>
      </w:r>
      <w:r>
        <w:rPr>
          <w:rFonts w:ascii="Arial" w:cs="Arial" w:eastAsia="Arial" w:hAnsi="Arial"/>
          <w:sz w:val="20"/>
          <w:szCs w:val="20"/>
          <w:color w:val="auto"/>
        </w:rPr>
        <w:t>0.5 billion 0.50% Notes due 2031. These cross-currency interest rate swaps effectively convert the Euro-denominated notes to US-dollar denominated debt with fixed annual interest rates of 2.29%, 2.51% and 2.76%, respectively.</w:t>
      </w:r>
    </w:p>
    <w:p>
      <w:pPr>
        <w:spacing w:after="0" w:line="10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During 2020, a US-dollar functional currency subsidiary of SLB issued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0.8 billion of Euro-denominated debt. SLB entered into cross-currency interest rate swaps to hedge changes in the fair value of its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0.4 billion of 0.25% Notes due 2027 and </w:t>
      </w:r>
      <w:r>
        <w:rPr>
          <w:rFonts w:ascii="Times New Roman" w:cs="Times New Roman" w:eastAsia="Times New Roman" w:hAnsi="Times New Roman"/>
          <w:sz w:val="20"/>
          <w:szCs w:val="20"/>
          <w:color w:val="auto"/>
        </w:rPr>
        <w:t>€</w:t>
      </w:r>
      <w:r>
        <w:rPr>
          <w:rFonts w:ascii="Arial" w:cs="Arial" w:eastAsia="Arial" w:hAnsi="Arial"/>
          <w:sz w:val="20"/>
          <w:szCs w:val="20"/>
          <w:color w:val="auto"/>
        </w:rPr>
        <w:t>0.4 billion of 0.50% Notes due 2031. These cross-currency interest rate swaps effectively convert the Euro-denominated notes to US-dollar denominated debt with fixed annual interest rates of 1.87% and 2.20%, respectively.</w:t>
      </w:r>
    </w:p>
    <w:p>
      <w:pPr>
        <w:sectPr>
          <w:pgSz w:w="12240" w:h="15840" w:orient="portrait"/>
          <w:cols w:equalWidth="0" w:num="1">
            <w:col w:w="9360"/>
          </w:cols>
          <w:pgMar w:left="1440" w:top="1440" w:right="1440" w:bottom="836"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9360"/>
          </w:cols>
          <w:pgMar w:left="1440" w:top="1440" w:right="1440" w:bottom="836" w:gutter="0" w:footer="0" w:header="0"/>
          <w:type w:val="continuous"/>
        </w:sectPr>
      </w:pPr>
    </w:p>
    <w:bookmarkStart w:id="78" w:name="page79"/>
    <w:bookmarkEnd w:id="78"/>
    <w:p>
      <w:pPr>
        <w:spacing w:after="0" w:line="56" w:lineRule="exact"/>
        <w:rPr>
          <w:sz w:val="20"/>
          <w:szCs w:val="20"/>
          <w:color w:val="auto"/>
        </w:rPr>
      </w:pPr>
    </w:p>
    <w:p>
      <w:pPr>
        <w:jc w:val="both"/>
        <w:ind w:left="840" w:right="120" w:hanging="360"/>
        <w:spacing w:after="0" w:line="249" w:lineRule="auto"/>
        <w:tabs>
          <w:tab w:leader="none" w:pos="8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During 2020, a US-dollar functional currency subsidiary of SLB issued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2.0 billion of Euro-denominated debt. SLB entered into cross-currency interest rate swaps to hedge changes in the fair value of its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1.0 billion of 1.375% Guaranteed Notes due 2026 and </w:t>
      </w:r>
      <w:r>
        <w:rPr>
          <w:rFonts w:ascii="Times New Roman" w:cs="Times New Roman" w:eastAsia="Times New Roman" w:hAnsi="Times New Roman"/>
          <w:sz w:val="20"/>
          <w:szCs w:val="20"/>
          <w:color w:val="auto"/>
        </w:rPr>
        <w:t>€</w:t>
      </w:r>
      <w:r>
        <w:rPr>
          <w:rFonts w:ascii="Arial" w:cs="Arial" w:eastAsia="Arial" w:hAnsi="Arial"/>
          <w:sz w:val="20"/>
          <w:szCs w:val="20"/>
          <w:color w:val="auto"/>
        </w:rPr>
        <w:t>1.0 billion of 2.00% Guaranteed Notes due 2032. These cross-currency interest rate swaps effectively convert the Euro-denominated notes to US-dollar denominated debt with fixed annual interest rates of 2.77% and 3.49%, respectively.</w:t>
      </w:r>
    </w:p>
    <w:p>
      <w:pPr>
        <w:spacing w:after="0" w:line="126"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During 2020, a Canadian dollar functional currency subsidiary of SLB issued $0.5 billion of US dollar denominated debt. SLB entered into cross-currency interest rate swaps to hedge changes in the fair value of its $0.5 billion 1.40% Senior Notes due 2025. These cross-currency interest rate swaps effectively convert the US dollar notes to Canadian dollar denominated debt with a fixed annual interest rate of 1.73%.</w:t>
      </w:r>
    </w:p>
    <w:p>
      <w:pPr>
        <w:spacing w:after="0" w:line="245"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 xml:space="preserve">A summary of the amounts included in the </w:t>
      </w:r>
      <w:r>
        <w:rPr>
          <w:rFonts w:ascii="Arial" w:cs="Arial" w:eastAsia="Arial" w:hAnsi="Arial"/>
          <w:sz w:val="20"/>
          <w:szCs w:val="20"/>
          <w:i w:val="1"/>
          <w:iCs w:val="1"/>
          <w:color w:val="auto"/>
        </w:rPr>
        <w:t>Consolidated Balance Sheet</w:t>
      </w:r>
      <w:r>
        <w:rPr>
          <w:rFonts w:ascii="Arial" w:cs="Arial" w:eastAsia="Arial" w:hAnsi="Arial"/>
          <w:sz w:val="20"/>
          <w:szCs w:val="20"/>
          <w:color w:val="auto"/>
        </w:rPr>
        <w:t xml:space="preserve"> relating to cross currency interest rate swaps follows: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64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20"/>
                <w:szCs w:val="20"/>
                <w:b w:val="1"/>
                <w:bCs w:val="1"/>
                <w:color w:val="auto"/>
              </w:rPr>
              <w:t>Dec. 31, 2022</w:t>
            </w:r>
          </w:p>
        </w:tc>
        <w:tc>
          <w:tcPr>
            <w:tcW w:w="1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w w:val="97"/>
              </w:rPr>
              <w:t>Dec. 31, 2021</w:t>
            </w:r>
          </w:p>
        </w:tc>
      </w:tr>
      <w:tr>
        <w:trPr>
          <w:trHeight w:val="28"/>
        </w:trPr>
        <w:tc>
          <w:tcPr>
            <w:tcW w:w="64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0"/>
        </w:trPr>
        <w:tc>
          <w:tcPr>
            <w:tcW w:w="642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 xml:space="preserve">Other Assets </w:t>
            </w:r>
            <w:r>
              <w:rPr>
                <w:rFonts w:ascii="Arial" w:cs="Arial" w:eastAsia="Arial" w:hAnsi="Arial"/>
                <w:sz w:val="20"/>
                <w:szCs w:val="20"/>
                <w:color w:val="auto"/>
              </w:rPr>
              <w:t>. . . . . . . . . . . . . . . . . . . . . . . . . . . . . . . . . . . . . . . . . . . . . . .</w:t>
            </w:r>
          </w:p>
        </w:tc>
        <w:tc>
          <w:tcPr>
            <w:tcW w:w="520" w:type="dxa"/>
            <w:vAlign w:val="bottom"/>
            <w:shd w:val="clear" w:color="auto" w:fill="CCCCCC"/>
          </w:tcPr>
          <w:p>
            <w:pPr>
              <w:spacing w:after="0"/>
              <w:rPr>
                <w:sz w:val="20"/>
                <w:szCs w:val="20"/>
                <w:color w:val="auto"/>
              </w:rPr>
            </w:pPr>
            <w:r>
              <w:rPr>
                <w:rFonts w:ascii="Arial" w:cs="Arial" w:eastAsia="Arial" w:hAnsi="Arial"/>
                <w:sz w:val="20"/>
                <w:szCs w:val="20"/>
                <w:b w:val="1"/>
                <w:bCs w:val="1"/>
                <w:color w:val="auto"/>
              </w:rPr>
              <w:t>$</w:t>
            </w:r>
          </w:p>
        </w:tc>
        <w:tc>
          <w:tcPr>
            <w:tcW w:w="8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w:t>
            </w:r>
          </w:p>
        </w:tc>
        <w:tc>
          <w:tcPr>
            <w:tcW w:w="700" w:type="dxa"/>
            <w:vAlign w:val="bottom"/>
            <w:gridSpan w:val="2"/>
            <w:shd w:val="clear" w:color="auto" w:fill="CCCCCC"/>
          </w:tcPr>
          <w:p>
            <w:pPr>
              <w:jc w:val="right"/>
              <w:ind w:right="36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66</w:t>
            </w:r>
          </w:p>
        </w:tc>
      </w:tr>
      <w:tr>
        <w:trPr>
          <w:trHeight w:val="282"/>
        </w:trPr>
        <w:tc>
          <w:tcPr>
            <w:tcW w:w="6420" w:type="dxa"/>
            <w:vAlign w:val="bottom"/>
          </w:tcPr>
          <w:p>
            <w:pPr>
              <w:spacing w:after="0"/>
              <w:rPr>
                <w:sz w:val="20"/>
                <w:szCs w:val="20"/>
                <w:color w:val="auto"/>
              </w:rPr>
            </w:pPr>
            <w:r>
              <w:rPr>
                <w:rFonts w:ascii="Arial" w:cs="Arial" w:eastAsia="Arial" w:hAnsi="Arial"/>
                <w:sz w:val="20"/>
                <w:szCs w:val="20"/>
                <w:i w:val="1"/>
                <w:iCs w:val="1"/>
                <w:color w:val="auto"/>
              </w:rPr>
              <w:t xml:space="preserve">Other Liabilities </w:t>
            </w:r>
            <w:r>
              <w:rPr>
                <w:rFonts w:ascii="Arial" w:cs="Arial" w:eastAsia="Arial" w:hAnsi="Arial"/>
                <w:sz w:val="20"/>
                <w:szCs w:val="20"/>
                <w:color w:val="auto"/>
              </w:rPr>
              <w:t>. . . . . . . . . . . . . . . . . . . . . . . . . . . . . . . . . . . . . . . . . . . . .</w:t>
            </w:r>
          </w:p>
        </w:tc>
        <w:tc>
          <w:tcPr>
            <w:tcW w:w="520" w:type="dxa"/>
            <w:vAlign w:val="bottom"/>
          </w:tcPr>
          <w:p>
            <w:pPr>
              <w:spacing w:after="0"/>
              <w:rPr>
                <w:sz w:val="20"/>
                <w:szCs w:val="20"/>
                <w:color w:val="auto"/>
              </w:rPr>
            </w:pPr>
            <w:r>
              <w:rPr>
                <w:rFonts w:ascii="Arial" w:cs="Arial" w:eastAsia="Arial" w:hAnsi="Arial"/>
                <w:sz w:val="20"/>
                <w:szCs w:val="20"/>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326</w:t>
            </w:r>
          </w:p>
        </w:tc>
        <w:tc>
          <w:tcPr>
            <w:tcW w:w="70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78</w:t>
            </w:r>
          </w:p>
        </w:tc>
      </w:tr>
    </w:tbl>
    <w:p>
      <w:pPr>
        <w:spacing w:after="0" w:line="29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fair values were determined using a model with inputs that are observable in the market or can be derived or corroborated by observable data.</w:t>
      </w:r>
    </w:p>
    <w:p>
      <w:pPr>
        <w:spacing w:after="0" w:line="250"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had derivative contracts in place that hedged the price of oil related to approximately 75% of the projected oil production for 2022 for one of its APS projects. During 2022, SLB entered into derivative contracts that hedge the price of oil relating to approximately 70% of the projected oil production for the first six months of 2023 and approximately 30% of the projected oil production for the last six months of 2023 for the same project. These contracts are accounted for as cash flow hedges.</w:t>
      </w:r>
    </w:p>
    <w:p>
      <w:pPr>
        <w:spacing w:after="0" w:line="24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24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20"/>
          <w:szCs w:val="20"/>
          <w:i w:val="1"/>
          <w:iCs w:val="1"/>
          <w:color w:val="auto"/>
        </w:rPr>
        <w:t>Consolidated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Balance Sheet </w:t>
      </w:r>
      <w:r>
        <w:rPr>
          <w:rFonts w:ascii="Arial" w:cs="Arial" w:eastAsia="Arial" w:hAnsi="Arial"/>
          <w:sz w:val="20"/>
          <w:szCs w:val="20"/>
          <w:color w:val="auto"/>
        </w:rPr>
        <w:t>and changes in the fair value are recognized in the</w:t>
      </w:r>
      <w:r>
        <w:rPr>
          <w:rFonts w:ascii="Arial" w:cs="Arial" w:eastAsia="Arial" w:hAnsi="Arial"/>
          <w:sz w:val="20"/>
          <w:szCs w:val="20"/>
          <w:i w:val="1"/>
          <w:iCs w:val="1"/>
          <w:color w:val="auto"/>
        </w:rPr>
        <w:t xml:space="preserve"> Consolidated Statement of Income (Loss), </w:t>
      </w:r>
      <w:r>
        <w:rPr>
          <w:rFonts w:ascii="Arial" w:cs="Arial" w:eastAsia="Arial" w:hAnsi="Arial"/>
          <w:sz w:val="20"/>
          <w:szCs w:val="20"/>
          <w:color w:val="auto"/>
        </w:rPr>
        <w:t>as are changes in the fair value of the hedged item. Transaction losses of $96 million in 2022,</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$23 million in 2021, and $21 million in 2020 were recognized in the </w:t>
      </w:r>
      <w:r>
        <w:rPr>
          <w:rFonts w:ascii="Arial" w:cs="Arial" w:eastAsia="Arial" w:hAnsi="Arial"/>
          <w:sz w:val="20"/>
          <w:szCs w:val="20"/>
          <w:i w:val="1"/>
          <w:iCs w:val="1"/>
          <w:color w:val="auto"/>
        </w:rPr>
        <w:t>Consolidated Statement of Income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(Loss) </w:t>
      </w:r>
      <w:r>
        <w:rPr>
          <w:rFonts w:ascii="Arial" w:cs="Arial" w:eastAsia="Arial" w:hAnsi="Arial"/>
          <w:sz w:val="20"/>
          <w:szCs w:val="20"/>
          <w:color w:val="auto"/>
        </w:rPr>
        <w:t>net of related hedging activities.</w:t>
      </w:r>
    </w:p>
    <w:p>
      <w:pPr>
        <w:spacing w:after="0" w:line="251"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Foreign currency forward contracts were outstanding for the US dollar equivalent of $2.1 billion and $1.7 billion in various foreign currencies as of December 31, 2022 and 2021, respectively.</w:t>
      </w:r>
    </w:p>
    <w:p>
      <w:pPr>
        <w:spacing w:after="0" w:line="250"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Other than the previously mentioned cross-currency interest rate swaps, the fair value of the other outstanding derivatives was not material as of December 31, 2022 and 2021.</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2240" w:h="15840" w:orient="portrait"/>
          <w:cols w:equalWidth="0" w:num="1">
            <w:col w:w="9360"/>
          </w:cols>
          <w:pgMar w:left="1440" w:top="1440" w:right="1440" w:bottom="836" w:gutter="0" w:footer="0" w:header="0"/>
          <w:type w:val="continuous"/>
        </w:sectPr>
      </w:pPr>
    </w:p>
    <w:bookmarkStart w:id="79" w:name="page80"/>
    <w:bookmarkEnd w:id="79"/>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effect of derivative instruments designated as hedges and those not designated as hedges on the</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 xml:space="preserve">Consolidated Statement of Income (Loss) </w:t>
      </w:r>
      <w:r>
        <w:rPr>
          <w:rFonts w:ascii="Arial" w:cs="Arial" w:eastAsia="Arial" w:hAnsi="Arial"/>
          <w:sz w:val="20"/>
          <w:szCs w:val="20"/>
          <w:color w:val="auto"/>
        </w:rPr>
        <w:t>was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6"/>
          </w:tcPr>
          <w:p>
            <w:pPr>
              <w:jc w:val="center"/>
              <w:ind w:left="360"/>
              <w:spacing w:after="0"/>
              <w:rPr>
                <w:sz w:val="20"/>
                <w:szCs w:val="20"/>
                <w:color w:val="auto"/>
              </w:rPr>
            </w:pPr>
            <w:r>
              <w:rPr>
                <w:rFonts w:ascii="Arial" w:cs="Arial" w:eastAsia="Arial" w:hAnsi="Arial"/>
                <w:sz w:val="16"/>
                <w:szCs w:val="16"/>
                <w:i w:val="1"/>
                <w:iCs w:val="1"/>
                <w:color w:val="auto"/>
              </w:rPr>
              <w:t>(Stated in millions)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8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rPr>
              <w:t>Gain (Loss) Recognized</w:t>
            </w:r>
          </w:p>
        </w:tc>
        <w:tc>
          <w:tcPr>
            <w:tcW w:w="2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6"/>
          </w:tcPr>
          <w:p>
            <w:pPr>
              <w:jc w:val="center"/>
              <w:ind w:left="360"/>
              <w:spacing w:after="0" w:line="181" w:lineRule="exact"/>
              <w:rPr>
                <w:sz w:val="20"/>
                <w:szCs w:val="20"/>
                <w:color w:val="auto"/>
              </w:rPr>
            </w:pPr>
            <w:r>
              <w:rPr>
                <w:rFonts w:ascii="Arial" w:cs="Arial" w:eastAsia="Arial" w:hAnsi="Arial"/>
                <w:sz w:val="16"/>
                <w:szCs w:val="16"/>
                <w:b w:val="1"/>
                <w:bCs w:val="1"/>
                <w:color w:val="auto"/>
              </w:rPr>
              <w:t>in Income (Loss)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2"/>
            <w:vMerge w:val="restart"/>
          </w:tcPr>
          <w:p>
            <w:pPr>
              <w:spacing w:after="0"/>
              <w:rPr>
                <w:sz w:val="20"/>
                <w:szCs w:val="20"/>
                <w:color w:val="auto"/>
              </w:rPr>
            </w:pPr>
            <w:r>
              <w:rPr>
                <w:rFonts w:ascii="Arial" w:cs="Arial" w:eastAsia="Arial" w:hAnsi="Arial"/>
                <w:sz w:val="16"/>
                <w:szCs w:val="16"/>
                <w:color w:val="auto"/>
              </w:rPr>
              <w:t>Consolidated Statement</w:t>
            </w:r>
          </w:p>
        </w:tc>
        <w:tc>
          <w:tcPr>
            <w:tcW w:w="0" w:type="dxa"/>
            <w:vAlign w:val="bottom"/>
          </w:tcPr>
          <w:p>
            <w:pPr>
              <w:spacing w:after="0"/>
              <w:rPr>
                <w:sz w:val="1"/>
                <w:szCs w:val="1"/>
                <w:color w:val="auto"/>
              </w:rPr>
            </w:pPr>
          </w:p>
        </w:tc>
      </w:tr>
      <w:tr>
        <w:trPr>
          <w:trHeight w:val="38"/>
        </w:trPr>
        <w:tc>
          <w:tcPr>
            <w:tcW w:w="3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40"/>
              <w:spacing w:after="0" w:line="18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60"/>
              <w:spacing w:after="0" w:line="182" w:lineRule="exact"/>
              <w:rPr>
                <w:sz w:val="20"/>
                <w:szCs w:val="20"/>
                <w:color w:val="auto"/>
              </w:rPr>
            </w:pPr>
            <w:r>
              <w:rPr>
                <w:rFonts w:ascii="Arial" w:cs="Arial" w:eastAsia="Arial" w:hAnsi="Arial"/>
                <w:sz w:val="16"/>
                <w:szCs w:val="16"/>
                <w:color w:val="auto"/>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20"/>
              <w:spacing w:after="0" w:line="182" w:lineRule="exact"/>
              <w:rPr>
                <w:sz w:val="20"/>
                <w:szCs w:val="20"/>
                <w:color w:val="auto"/>
              </w:rPr>
            </w:pPr>
            <w:r>
              <w:rPr>
                <w:rFonts w:ascii="Arial" w:cs="Arial" w:eastAsia="Arial" w:hAnsi="Arial"/>
                <w:sz w:val="16"/>
                <w:szCs w:val="16"/>
                <w:color w:val="auto"/>
              </w:rPr>
              <w:t>2020</w:t>
            </w:r>
          </w:p>
        </w:tc>
        <w:tc>
          <w:tcPr>
            <w:tcW w:w="140" w:type="dxa"/>
            <w:vAlign w:val="bottom"/>
          </w:tcPr>
          <w:p>
            <w:pPr>
              <w:spacing w:after="0"/>
              <w:rPr>
                <w:sz w:val="15"/>
                <w:szCs w:val="15"/>
                <w:color w:val="auto"/>
              </w:rPr>
            </w:pPr>
          </w:p>
        </w:tc>
        <w:tc>
          <w:tcPr>
            <w:tcW w:w="2520" w:type="dxa"/>
            <w:vAlign w:val="bottom"/>
            <w:gridSpan w:val="2"/>
          </w:tcPr>
          <w:p>
            <w:pPr>
              <w:spacing w:after="0" w:line="182" w:lineRule="exact"/>
              <w:rPr>
                <w:sz w:val="20"/>
                <w:szCs w:val="20"/>
                <w:color w:val="auto"/>
              </w:rPr>
            </w:pPr>
            <w:r>
              <w:rPr>
                <w:rFonts w:ascii="Arial" w:cs="Arial" w:eastAsia="Arial" w:hAnsi="Arial"/>
                <w:sz w:val="16"/>
                <w:szCs w:val="16"/>
                <w:color w:val="auto"/>
              </w:rPr>
              <w:t>of Income (Loss) Classification</w:t>
            </w:r>
          </w:p>
        </w:tc>
        <w:tc>
          <w:tcPr>
            <w:tcW w:w="0" w:type="dxa"/>
            <w:vAlign w:val="bottom"/>
          </w:tcPr>
          <w:p>
            <w:pPr>
              <w:spacing w:after="0"/>
              <w:rPr>
                <w:sz w:val="1"/>
                <w:szCs w:val="1"/>
                <w:color w:val="auto"/>
              </w:rPr>
            </w:pPr>
          </w:p>
        </w:tc>
      </w:tr>
      <w:tr>
        <w:trPr>
          <w:trHeight w:val="38"/>
        </w:trPr>
        <w:tc>
          <w:tcPr>
            <w:tcW w:w="3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CCCC"/>
          </w:tcPr>
          <w:p>
            <w:pPr>
              <w:spacing w:after="0"/>
              <w:rPr>
                <w:sz w:val="20"/>
                <w:szCs w:val="20"/>
                <w:color w:val="auto"/>
              </w:rPr>
            </w:pPr>
            <w:r>
              <w:rPr>
                <w:rFonts w:ascii="Arial" w:cs="Arial" w:eastAsia="Arial" w:hAnsi="Arial"/>
                <w:sz w:val="16"/>
                <w:szCs w:val="16"/>
                <w:color w:val="auto"/>
              </w:rPr>
              <w:t>Derivatives designated as cash flow hedges:</w:t>
            </w:r>
          </w:p>
        </w:tc>
        <w:tc>
          <w:tcPr>
            <w:tcW w:w="14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62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5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24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w w:val="99"/>
              </w:rPr>
              <w:t>Cross-currency interest rate swaps . . . . . . . . . . . . . . . . .</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(422)</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c>
          <w:tcPr>
            <w:tcW w:w="1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24"/>
        </w:trPr>
        <w:tc>
          <w:tcPr>
            <w:tcW w:w="3980" w:type="dxa"/>
            <w:vAlign w:val="bottom"/>
            <w:shd w:val="clear" w:color="auto" w:fill="CCCCCC"/>
          </w:tcPr>
          <w:p>
            <w:pPr>
              <w:spacing w:after="0"/>
              <w:rPr>
                <w:sz w:val="20"/>
                <w:szCs w:val="20"/>
                <w:color w:val="auto"/>
              </w:rPr>
            </w:pPr>
            <w:r>
              <w:rPr>
                <w:rFonts w:ascii="Arial" w:cs="Arial" w:eastAsia="Arial" w:hAnsi="Arial"/>
                <w:sz w:val="16"/>
                <w:szCs w:val="16"/>
                <w:color w:val="auto"/>
                <w:w w:val="99"/>
              </w:rPr>
              <w:t>Cross-currency interest rate swaps . . . . . . . . . . . . . . . . .</w:t>
            </w:r>
          </w:p>
        </w:tc>
        <w:tc>
          <w:tcPr>
            <w:tcW w:w="140" w:type="dxa"/>
            <w:vAlign w:val="bottom"/>
            <w:shd w:val="clear" w:color="auto" w:fill="CCCCCC"/>
          </w:tcPr>
          <w:p>
            <w:pPr>
              <w:spacing w:after="0"/>
              <w:rPr>
                <w:sz w:val="19"/>
                <w:szCs w:val="19"/>
                <w:color w:val="auto"/>
              </w:rPr>
            </w:pPr>
          </w:p>
        </w:tc>
        <w:tc>
          <w:tcPr>
            <w:tcW w:w="720" w:type="dxa"/>
            <w:vAlign w:val="bottom"/>
            <w:gridSpan w:val="2"/>
            <w:shd w:val="clear" w:color="auto" w:fill="CCCCCC"/>
          </w:tcPr>
          <w:p>
            <w:pPr>
              <w:jc w:val="right"/>
              <w:ind w:right="80"/>
              <w:spacing w:after="0"/>
              <w:rPr>
                <w:sz w:val="20"/>
                <w:szCs w:val="20"/>
                <w:color w:val="auto"/>
              </w:rPr>
            </w:pPr>
            <w:r>
              <w:rPr>
                <w:rFonts w:ascii="Arial" w:cs="Arial" w:eastAsia="Arial" w:hAnsi="Arial"/>
                <w:sz w:val="16"/>
                <w:szCs w:val="16"/>
                <w:b w:val="1"/>
                <w:bCs w:val="1"/>
                <w:color w:val="auto"/>
              </w:rPr>
              <w:t>(88)</w:t>
            </w:r>
          </w:p>
        </w:tc>
        <w:tc>
          <w:tcPr>
            <w:tcW w:w="140" w:type="dxa"/>
            <w:vAlign w:val="bottom"/>
            <w:shd w:val="clear" w:color="auto" w:fill="CCCCCC"/>
          </w:tcPr>
          <w:p>
            <w:pPr>
              <w:spacing w:after="0"/>
              <w:rPr>
                <w:sz w:val="19"/>
                <w:szCs w:val="19"/>
                <w:color w:val="auto"/>
              </w:rPr>
            </w:pPr>
          </w:p>
        </w:tc>
        <w:tc>
          <w:tcPr>
            <w:tcW w:w="700" w:type="dxa"/>
            <w:vAlign w:val="bottom"/>
            <w:gridSpan w:val="2"/>
            <w:shd w:val="clear" w:color="auto" w:fill="CCCCCC"/>
          </w:tcPr>
          <w:p>
            <w:pPr>
              <w:jc w:val="right"/>
              <w:ind w:right="80"/>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CCCC"/>
          </w:tcPr>
          <w:p>
            <w:pPr>
              <w:spacing w:after="0"/>
              <w:rPr>
                <w:sz w:val="19"/>
                <w:szCs w:val="19"/>
                <w:color w:val="auto"/>
              </w:rPr>
            </w:pPr>
          </w:p>
        </w:tc>
        <w:tc>
          <w:tcPr>
            <w:tcW w:w="720" w:type="dxa"/>
            <w:vAlign w:val="bottom"/>
            <w:gridSpan w:val="2"/>
            <w:shd w:val="clear" w:color="auto" w:fill="CCCCCC"/>
          </w:tcPr>
          <w:p>
            <w:pPr>
              <w:jc w:val="right"/>
              <w:ind w:right="140"/>
              <w:spacing w:after="0"/>
              <w:rPr>
                <w:sz w:val="20"/>
                <w:szCs w:val="20"/>
                <w:color w:val="auto"/>
              </w:rPr>
            </w:pPr>
            <w:r>
              <w:rPr>
                <w:rFonts w:ascii="Arial" w:cs="Arial" w:eastAsia="Arial" w:hAnsi="Arial"/>
                <w:sz w:val="16"/>
                <w:szCs w:val="16"/>
                <w:color w:val="auto"/>
              </w:rPr>
              <w:t>(63)</w:t>
            </w:r>
          </w:p>
        </w:tc>
        <w:tc>
          <w:tcPr>
            <w:tcW w:w="2520" w:type="dxa"/>
            <w:vAlign w:val="bottom"/>
            <w:gridSpan w:val="2"/>
            <w:shd w:val="clear" w:color="auto" w:fill="CCCCCC"/>
          </w:tcPr>
          <w:p>
            <w:pPr>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w w:val="99"/>
              </w:rPr>
              <w:t>Commodity contracts . . . . . . . . . . . . . . . . . . . . . . . . . . . .</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(87)</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520" w:type="dxa"/>
            <w:vAlign w:val="bottom"/>
            <w:gridSpan w:val="2"/>
          </w:tcPr>
          <w:p>
            <w:pPr>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24"/>
        </w:trPr>
        <w:tc>
          <w:tcPr>
            <w:tcW w:w="3980" w:type="dxa"/>
            <w:vAlign w:val="bottom"/>
            <w:shd w:val="clear" w:color="auto" w:fill="CCCCCC"/>
          </w:tcPr>
          <w:p>
            <w:pPr>
              <w:spacing w:after="0"/>
              <w:rPr>
                <w:sz w:val="20"/>
                <w:szCs w:val="20"/>
                <w:color w:val="auto"/>
              </w:rPr>
            </w:pPr>
            <w:r>
              <w:rPr>
                <w:rFonts w:ascii="Arial" w:cs="Arial" w:eastAsia="Arial" w:hAnsi="Arial"/>
                <w:sz w:val="16"/>
                <w:szCs w:val="16"/>
                <w:color w:val="auto"/>
                <w:w w:val="99"/>
              </w:rPr>
              <w:t>Foreign exchange contracts  . . . . . . . . . . . . . . . . . . . . . .</w:t>
            </w:r>
          </w:p>
        </w:tc>
        <w:tc>
          <w:tcPr>
            <w:tcW w:w="140" w:type="dxa"/>
            <w:vAlign w:val="bottom"/>
            <w:shd w:val="clear" w:color="auto" w:fill="CCCCCC"/>
          </w:tcPr>
          <w:p>
            <w:pPr>
              <w:spacing w:after="0"/>
              <w:rPr>
                <w:sz w:val="19"/>
                <w:szCs w:val="19"/>
                <w:color w:val="auto"/>
              </w:rPr>
            </w:pPr>
          </w:p>
        </w:tc>
        <w:tc>
          <w:tcPr>
            <w:tcW w:w="720" w:type="dxa"/>
            <w:vAlign w:val="bottom"/>
            <w:gridSpan w:val="2"/>
            <w:shd w:val="clear" w:color="auto" w:fill="CCCCCC"/>
          </w:tcPr>
          <w:p>
            <w:pPr>
              <w:jc w:val="right"/>
              <w:ind w:right="80"/>
              <w:spacing w:after="0"/>
              <w:rPr>
                <w:sz w:val="20"/>
                <w:szCs w:val="20"/>
                <w:color w:val="auto"/>
              </w:rPr>
            </w:pPr>
            <w:r>
              <w:rPr>
                <w:rFonts w:ascii="Arial" w:cs="Arial" w:eastAsia="Arial" w:hAnsi="Arial"/>
                <w:sz w:val="16"/>
                <w:szCs w:val="16"/>
                <w:b w:val="1"/>
                <w:bCs w:val="1"/>
                <w:color w:val="auto"/>
              </w:rPr>
              <w:t>(30)</w:t>
            </w:r>
          </w:p>
        </w:tc>
        <w:tc>
          <w:tcPr>
            <w:tcW w:w="140" w:type="dxa"/>
            <w:vAlign w:val="bottom"/>
            <w:shd w:val="clear" w:color="auto" w:fill="CCCCCC"/>
          </w:tcPr>
          <w:p>
            <w:pPr>
              <w:spacing w:after="0"/>
              <w:rPr>
                <w:sz w:val="19"/>
                <w:szCs w:val="19"/>
                <w:color w:val="auto"/>
              </w:rPr>
            </w:pPr>
          </w:p>
        </w:tc>
        <w:tc>
          <w:tcPr>
            <w:tcW w:w="6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720" w:type="dxa"/>
            <w:vAlign w:val="bottom"/>
            <w:gridSpan w:val="2"/>
            <w:shd w:val="clear" w:color="auto" w:fill="CCCCCC"/>
          </w:tcPr>
          <w:p>
            <w:pPr>
              <w:jc w:val="right"/>
              <w:ind w:right="140"/>
              <w:spacing w:after="0"/>
              <w:rPr>
                <w:sz w:val="20"/>
                <w:szCs w:val="20"/>
                <w:color w:val="auto"/>
              </w:rPr>
            </w:pPr>
            <w:r>
              <w:rPr>
                <w:rFonts w:ascii="Arial" w:cs="Arial" w:eastAsia="Arial" w:hAnsi="Arial"/>
                <w:sz w:val="16"/>
                <w:szCs w:val="16"/>
                <w:color w:val="auto"/>
              </w:rPr>
              <w:t>(5)</w:t>
            </w:r>
          </w:p>
        </w:tc>
        <w:tc>
          <w:tcPr>
            <w:tcW w:w="2520" w:type="dxa"/>
            <w:vAlign w:val="bottom"/>
            <w:gridSpan w:val="2"/>
            <w:shd w:val="clear" w:color="auto" w:fill="CCCCCC"/>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70"/>
        </w:trPr>
        <w:tc>
          <w:tcPr>
            <w:tcW w:w="39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(500)</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3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CCCC"/>
          </w:tcPr>
          <w:p>
            <w:pPr>
              <w:spacing w:after="0"/>
              <w:rPr>
                <w:sz w:val="20"/>
                <w:szCs w:val="20"/>
                <w:color w:val="auto"/>
              </w:rPr>
            </w:pPr>
            <w:r>
              <w:rPr>
                <w:rFonts w:ascii="Arial" w:cs="Arial" w:eastAsia="Arial" w:hAnsi="Arial"/>
                <w:sz w:val="16"/>
                <w:szCs w:val="16"/>
                <w:color w:val="auto"/>
              </w:rPr>
              <w:t>Derivatives not designated as hedges:</w:t>
            </w:r>
          </w:p>
        </w:tc>
        <w:tc>
          <w:tcPr>
            <w:tcW w:w="14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62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5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246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color w:val="auto"/>
                <w:w w:val="99"/>
              </w:rPr>
              <w:t>Foreign exchange contracts  . . . . . . . . . . . . . . . . . . . . . .</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2520" w:type="dxa"/>
            <w:vAlign w:val="bottom"/>
            <w:gridSpan w:val="2"/>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38"/>
        </w:trPr>
        <w:tc>
          <w:tcPr>
            <w:tcW w:w="3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SLB does not enter into derivative transactions for speculative purposes.</w:t>
      </w:r>
    </w:p>
    <w:p>
      <w:pPr>
        <w:spacing w:after="0" w:line="370" w:lineRule="exact"/>
        <w:rPr>
          <w:sz w:val="20"/>
          <w:szCs w:val="20"/>
          <w:color w:val="auto"/>
        </w:rPr>
      </w:pPr>
    </w:p>
    <w:p>
      <w:pPr>
        <w:ind w:left="460" w:hanging="340"/>
        <w:spacing w:after="0"/>
        <w:tabs>
          <w:tab w:leader="none" w:pos="46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Stockholders’ Equity</w:t>
      </w:r>
    </w:p>
    <w:p>
      <w:pPr>
        <w:spacing w:after="0" w:line="25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is authorized to issue 4,500,000,000 shares of common stock, par value $0.01 per share, of which 1,420,188,492 and 1,403,381,685 shares were outstanding on December 31, 2022 and 2021, respectively. Holders of common stock are entitled to one vote for each share of stock held. SLB is also authorized to issue 200,000,000 shares of preferred stock, par value $0.01 per share, which may be issued in series with terms and conditions determined by the SLB Board of Directors. No shares of preferred stock have been issued.</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Accumulated Other Comprehensive Loss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6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63"/>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4"/>
                <w:szCs w:val="24"/>
                <w:color w:val="auto"/>
              </w:rPr>
            </w:pPr>
          </w:p>
        </w:tc>
      </w:tr>
      <w:tr>
        <w:trPr>
          <w:trHeight w:val="28"/>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highlight w:val="lightGray"/>
              </w:rPr>
              <w:t>Currency translation adjustments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w w:val="89"/>
              </w:rPr>
              <w:t>$</w:t>
            </w:r>
          </w:p>
        </w:tc>
        <w:tc>
          <w:tcPr>
            <w:tcW w:w="98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b w:val="1"/>
                <w:bCs w:val="1"/>
                <w:color w:val="auto"/>
                <w:highlight w:val="lightGray"/>
              </w:rPr>
              <w:t>(2,444)</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w w:val="89"/>
              </w:rPr>
              <w:t>$</w:t>
            </w:r>
          </w:p>
        </w:tc>
        <w:tc>
          <w:tcPr>
            <w:tcW w:w="10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highlight w:val="lightGray"/>
              </w:rPr>
              <w:t>(2,419)</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w w:val="71"/>
              </w:rPr>
              <w:t>$</w:t>
            </w:r>
          </w:p>
        </w:tc>
        <w:tc>
          <w:tcPr>
            <w:tcW w:w="88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highlight w:val="lightGray"/>
              </w:rPr>
              <w:t>(2,502)</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Pension and other postretirement benefit plans . . . . . . . . . . . .</w:t>
            </w:r>
          </w:p>
        </w:tc>
        <w:tc>
          <w:tcPr>
            <w:tcW w:w="2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(1,295)</w:t>
            </w:r>
          </w:p>
        </w:tc>
        <w:tc>
          <w:tcPr>
            <w:tcW w:w="1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(1,066)</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(2,314)</w:t>
            </w:r>
          </w:p>
        </w:tc>
      </w:tr>
      <w:tr>
        <w:trPr>
          <w:trHeight w:val="28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Cash flow hedges . . . . . . . . . . . . . . . . . . . . . . . . . . . . . . . . . . . .</w:t>
            </w:r>
          </w:p>
        </w:tc>
        <w:tc>
          <w:tcPr>
            <w:tcW w:w="200" w:type="dxa"/>
            <w:vAlign w:val="bottom"/>
            <w:shd w:val="clear" w:color="auto" w:fill="CCCCCC"/>
          </w:tcPr>
          <w:p>
            <w:pPr>
              <w:spacing w:after="0"/>
              <w:rPr>
                <w:sz w:val="24"/>
                <w:szCs w:val="24"/>
                <w:color w:val="auto"/>
              </w:rPr>
            </w:pPr>
          </w:p>
        </w:tc>
        <w:tc>
          <w:tcPr>
            <w:tcW w:w="98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b w:val="1"/>
                <w:bCs w:val="1"/>
                <w:color w:val="auto"/>
              </w:rPr>
              <w:t>(116)</w:t>
            </w:r>
          </w:p>
        </w:tc>
        <w:tc>
          <w:tcPr>
            <w:tcW w:w="18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(85)</w:t>
            </w:r>
          </w:p>
        </w:tc>
        <w:tc>
          <w:tcPr>
            <w:tcW w:w="200" w:type="dxa"/>
            <w:vAlign w:val="bottom"/>
            <w:shd w:val="clear" w:color="auto" w:fill="CCCCCC"/>
          </w:tcPr>
          <w:p>
            <w:pPr>
              <w:spacing w:after="0"/>
              <w:rPr>
                <w:sz w:val="24"/>
                <w:szCs w:val="24"/>
                <w:color w:val="auto"/>
              </w:rPr>
            </w:pPr>
          </w:p>
        </w:tc>
        <w:tc>
          <w:tcPr>
            <w:tcW w:w="88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(70)</w:t>
            </w:r>
          </w:p>
        </w:tc>
      </w:tr>
      <w:tr>
        <w:trPr>
          <w:trHeight w:val="282"/>
        </w:trPr>
        <w:tc>
          <w:tcPr>
            <w:tcW w:w="5680" w:type="dxa"/>
            <w:vAlign w:val="bottom"/>
          </w:tcPr>
          <w:p>
            <w:pPr>
              <w:spacing w:after="0"/>
              <w:rPr>
                <w:sz w:val="20"/>
                <w:szCs w:val="20"/>
                <w:color w:val="auto"/>
              </w:rPr>
            </w:pPr>
            <w:r>
              <w:rPr>
                <w:rFonts w:ascii="Arial" w:cs="Arial" w:eastAsia="Arial" w:hAnsi="Arial"/>
                <w:sz w:val="20"/>
                <w:szCs w:val="20"/>
                <w:color w:val="auto"/>
                <w:w w:val="99"/>
              </w:rPr>
              <w:t>Other  . . . . . . . . . . . . . . . . . . . . . . . . . . . . . . . . . . . . . . . . . . . . . .</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2</w:t>
            </w:r>
          </w:p>
        </w:tc>
      </w:tr>
      <w:tr>
        <w:trPr>
          <w:trHeight w:val="68"/>
        </w:trPr>
        <w:tc>
          <w:tcPr>
            <w:tcW w:w="56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568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98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b w:val="1"/>
                <w:bCs w:val="1"/>
                <w:color w:val="auto"/>
              </w:rPr>
              <w:t>(3,855)</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(3,570)</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(4,884)</w:t>
            </w:r>
          </w:p>
        </w:tc>
      </w:tr>
      <w:tr>
        <w:trPr>
          <w:trHeight w:val="70"/>
        </w:trPr>
        <w:tc>
          <w:tcPr>
            <w:tcW w:w="56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60" w:hanging="340"/>
        <w:spacing w:after="0"/>
        <w:tabs>
          <w:tab w:leader="none" w:pos="4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Stock-based Compensation Plans</w:t>
      </w:r>
    </w:p>
    <w:p>
      <w:pPr>
        <w:spacing w:after="0" w:line="13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has three types of stock-based compensation programs: (i) a restricted stock, restricted stock unit and performance share unit program (collectively referred to as “restricted stock”), (ii) a discounted stock purchase plan (“DSPP”), and (iii) stock options.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2240" w:h="15840" w:orient="portrait"/>
          <w:cols w:equalWidth="0" w:num="1">
            <w:col w:w="9360"/>
          </w:cols>
          <w:pgMar w:left="1440" w:top="1440" w:right="1440" w:bottom="836" w:gutter="0" w:footer="0" w:header="0"/>
          <w:type w:val="continuous"/>
        </w:sectPr>
      </w:pPr>
    </w:p>
    <w:bookmarkStart w:id="80" w:name="page81"/>
    <w:bookmarkEnd w:id="80"/>
    <w:p>
      <w:pPr>
        <w:spacing w:after="0" w:line="5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Restricted Stock</w:t>
      </w:r>
    </w:p>
    <w:p>
      <w:pPr>
        <w:spacing w:after="0" w:line="14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grants performance share units to certain key employees. The number of shares earned is determined at the end of each performance period based on SLB’s achievement of certain predefined targets as described in the underlying performance share unit agreement. In the event SLB exceeds the predefined target, shares for up to a maximum of 250% of the target award may be awarded. In the event SLB falls below the predefined target, a reduced number of shares may be awarded. If SLB falls below the threshold award performance level, no shares will be awarded. As of December 31, 2022, 3.9 million performance share units were outstanding assuming the achievement of 100% of target.</w:t>
      </w:r>
    </w:p>
    <w:p>
      <w:pPr>
        <w:spacing w:after="0" w:line="275"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All other restricted stock awards generally vest at the end of three years or vest ratably in equal tranches over a three-year period.</w:t>
      </w:r>
    </w:p>
    <w:p>
      <w:pPr>
        <w:spacing w:after="0" w:line="279"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Restricted stock awards do not pay dividends or have voting rights prior to vesting. Accordingly, the fair value of a restricted stock award is generally the quoted market price of SLB’s stock on the date of grant less the present value of the expected dividends not received prior to vesting.</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table summarizes information related to restricted stock activity:</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6"/>
          </w:tcPr>
          <w:p>
            <w:pPr>
              <w:jc w:val="right"/>
              <w:spacing w:after="0"/>
              <w:rPr>
                <w:sz w:val="20"/>
                <w:szCs w:val="20"/>
                <w:color w:val="auto"/>
              </w:rPr>
            </w:pPr>
            <w:r>
              <w:rPr>
                <w:rFonts w:ascii="Arial" w:cs="Arial" w:eastAsia="Arial" w:hAnsi="Arial"/>
                <w:sz w:val="16"/>
                <w:szCs w:val="16"/>
                <w:i w:val="1"/>
                <w:iCs w:val="1"/>
                <w:color w:val="auto"/>
              </w:rPr>
              <w:t>(Shares stated in millions)</w:t>
            </w:r>
          </w:p>
        </w:tc>
      </w:tr>
      <w:tr>
        <w:trPr>
          <w:trHeight w:val="444"/>
        </w:trPr>
        <w:tc>
          <w:tcPr>
            <w:tcW w:w="36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4"/>
                <w:szCs w:val="24"/>
                <w:color w:val="auto"/>
              </w:rPr>
            </w:pPr>
          </w:p>
        </w:tc>
      </w:tr>
      <w:tr>
        <w:trPr>
          <w:trHeight w:val="34"/>
        </w:trPr>
        <w:tc>
          <w:tcPr>
            <w:tcW w:w="3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23"/>
        </w:trPr>
        <w:tc>
          <w:tcPr>
            <w:tcW w:w="3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Weighted-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Weighted-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7"/>
              </w:rPr>
              <w:t>Weighted-</w:t>
            </w:r>
          </w:p>
        </w:tc>
      </w:tr>
      <w:tr>
        <w:trPr>
          <w:trHeight w:val="200"/>
        </w:trPr>
        <w:tc>
          <w:tcPr>
            <w:tcW w:w="3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00"/>
              <w:spacing w:after="0" w:line="200" w:lineRule="exact"/>
              <w:rPr>
                <w:sz w:val="20"/>
                <w:szCs w:val="20"/>
                <w:color w:val="auto"/>
              </w:rPr>
            </w:pPr>
            <w:r>
              <w:rPr>
                <w:rFonts w:ascii="Arial" w:cs="Arial" w:eastAsia="Arial" w:hAnsi="Arial"/>
                <w:sz w:val="18"/>
                <w:szCs w:val="18"/>
                <w:b w:val="1"/>
                <w:bCs w:val="1"/>
                <w:color w:val="auto"/>
                <w:w w:val="98"/>
              </w:rPr>
              <w:t>Average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120"/>
              <w:spacing w:after="0" w:line="200" w:lineRule="exact"/>
              <w:rPr>
                <w:sz w:val="20"/>
                <w:szCs w:val="20"/>
                <w:color w:val="auto"/>
              </w:rPr>
            </w:pPr>
            <w:r>
              <w:rPr>
                <w:rFonts w:ascii="Arial" w:cs="Arial" w:eastAsia="Arial" w:hAnsi="Arial"/>
                <w:sz w:val="18"/>
                <w:szCs w:val="18"/>
                <w:color w:val="auto"/>
              </w:rPr>
              <w:t>Average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spacing w:after="0" w:line="200" w:lineRule="exact"/>
              <w:rPr>
                <w:sz w:val="20"/>
                <w:szCs w:val="20"/>
                <w:color w:val="auto"/>
              </w:rPr>
            </w:pPr>
            <w:r>
              <w:rPr>
                <w:rFonts w:ascii="Arial" w:cs="Arial" w:eastAsia="Arial" w:hAnsi="Arial"/>
                <w:sz w:val="18"/>
                <w:szCs w:val="18"/>
                <w:color w:val="auto"/>
                <w:w w:val="98"/>
              </w:rPr>
              <w:t>Average</w:t>
            </w:r>
          </w:p>
        </w:tc>
      </w:tr>
      <w:tr>
        <w:trPr>
          <w:trHeight w:val="200"/>
        </w:trPr>
        <w:tc>
          <w:tcPr>
            <w:tcW w:w="3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80"/>
              <w:spacing w:after="0" w:line="200" w:lineRule="exact"/>
              <w:rPr>
                <w:sz w:val="20"/>
                <w:szCs w:val="20"/>
                <w:color w:val="auto"/>
              </w:rPr>
            </w:pPr>
            <w:r>
              <w:rPr>
                <w:rFonts w:ascii="Arial" w:cs="Arial" w:eastAsia="Arial" w:hAnsi="Arial"/>
                <w:sz w:val="18"/>
                <w:szCs w:val="18"/>
                <w:b w:val="1"/>
                <w:bCs w:val="1"/>
                <w:color w:val="auto"/>
                <w:w w:val="99"/>
              </w:rPr>
              <w:t>Grant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center"/>
              <w:ind w:right="280"/>
              <w:spacing w:after="0" w:line="200" w:lineRule="exact"/>
              <w:rPr>
                <w:sz w:val="20"/>
                <w:szCs w:val="20"/>
                <w:color w:val="auto"/>
              </w:rPr>
            </w:pPr>
            <w:r>
              <w:rPr>
                <w:rFonts w:ascii="Arial" w:cs="Arial" w:eastAsia="Arial" w:hAnsi="Arial"/>
                <w:sz w:val="18"/>
                <w:szCs w:val="18"/>
                <w:color w:val="auto"/>
                <w:w w:val="97"/>
              </w:rPr>
              <w:t>Grant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ind w:right="70"/>
              <w:spacing w:after="0" w:line="200" w:lineRule="exact"/>
              <w:rPr>
                <w:sz w:val="20"/>
                <w:szCs w:val="20"/>
                <w:color w:val="auto"/>
              </w:rPr>
            </w:pPr>
            <w:r>
              <w:rPr>
                <w:rFonts w:ascii="Arial" w:cs="Arial" w:eastAsia="Arial" w:hAnsi="Arial"/>
                <w:sz w:val="18"/>
                <w:szCs w:val="18"/>
                <w:color w:val="auto"/>
              </w:rPr>
              <w:t>Grant</w:t>
            </w:r>
          </w:p>
        </w:tc>
      </w:tr>
      <w:tr>
        <w:trPr>
          <w:trHeight w:val="200"/>
        </w:trPr>
        <w:tc>
          <w:tcPr>
            <w:tcW w:w="362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b w:val="1"/>
                <w:bCs w:val="1"/>
                <w:color w:val="auto"/>
                <w:w w:val="97"/>
              </w:rPr>
              <w:t>Restricted</w:t>
            </w:r>
          </w:p>
        </w:tc>
        <w:tc>
          <w:tcPr>
            <w:tcW w:w="960" w:type="dxa"/>
            <w:vAlign w:val="bottom"/>
            <w:gridSpan w:val="3"/>
          </w:tcPr>
          <w:p>
            <w:pPr>
              <w:jc w:val="center"/>
              <w:ind w:right="100"/>
              <w:spacing w:after="0" w:line="200" w:lineRule="exact"/>
              <w:rPr>
                <w:sz w:val="20"/>
                <w:szCs w:val="20"/>
                <w:color w:val="auto"/>
              </w:rPr>
            </w:pPr>
            <w:r>
              <w:rPr>
                <w:rFonts w:ascii="Arial" w:cs="Arial" w:eastAsia="Arial" w:hAnsi="Arial"/>
                <w:sz w:val="18"/>
                <w:szCs w:val="18"/>
                <w:b w:val="1"/>
                <w:bCs w:val="1"/>
                <w:color w:val="auto"/>
              </w:rPr>
              <w:t>Date Fair</w:t>
            </w:r>
          </w:p>
        </w:tc>
        <w:tc>
          <w:tcPr>
            <w:tcW w:w="9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w w:val="98"/>
              </w:rPr>
              <w:t>Restricted</w:t>
            </w:r>
          </w:p>
        </w:tc>
        <w:tc>
          <w:tcPr>
            <w:tcW w:w="920" w:type="dxa"/>
            <w:vAlign w:val="bottom"/>
            <w:gridSpan w:val="3"/>
          </w:tcPr>
          <w:p>
            <w:pPr>
              <w:jc w:val="center"/>
              <w:ind w:right="100"/>
              <w:spacing w:after="0" w:line="200" w:lineRule="exact"/>
              <w:rPr>
                <w:sz w:val="20"/>
                <w:szCs w:val="20"/>
                <w:color w:val="auto"/>
              </w:rPr>
            </w:pPr>
            <w:r>
              <w:rPr>
                <w:rFonts w:ascii="Arial" w:cs="Arial" w:eastAsia="Arial" w:hAnsi="Arial"/>
                <w:sz w:val="18"/>
                <w:szCs w:val="18"/>
                <w:color w:val="auto"/>
                <w:w w:val="99"/>
              </w:rPr>
              <w:t>Date Fair</w:t>
            </w:r>
          </w:p>
        </w:tc>
        <w:tc>
          <w:tcPr>
            <w:tcW w:w="9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w w:val="96"/>
              </w:rPr>
              <w:t>Restricted</w:t>
            </w:r>
          </w:p>
        </w:tc>
        <w:tc>
          <w:tcPr>
            <w:tcW w:w="820" w:type="dxa"/>
            <w:vAlign w:val="bottom"/>
            <w:gridSpan w:val="2"/>
          </w:tcPr>
          <w:p>
            <w:pPr>
              <w:jc w:val="center"/>
              <w:spacing w:after="0" w:line="200" w:lineRule="exact"/>
              <w:rPr>
                <w:sz w:val="20"/>
                <w:szCs w:val="20"/>
                <w:color w:val="auto"/>
              </w:rPr>
            </w:pPr>
            <w:r>
              <w:rPr>
                <w:rFonts w:ascii="Arial" w:cs="Arial" w:eastAsia="Arial" w:hAnsi="Arial"/>
                <w:sz w:val="18"/>
                <w:szCs w:val="18"/>
                <w:color w:val="auto"/>
                <w:w w:val="99"/>
              </w:rPr>
              <w:t>Date Fair</w:t>
            </w:r>
          </w:p>
        </w:tc>
      </w:tr>
      <w:tr>
        <w:trPr>
          <w:trHeight w:val="203"/>
        </w:trPr>
        <w:tc>
          <w:tcPr>
            <w:tcW w:w="3620" w:type="dxa"/>
            <w:vAlign w:val="bottom"/>
          </w:tcPr>
          <w:p>
            <w:pPr>
              <w:spacing w:after="0"/>
              <w:rPr>
                <w:sz w:val="17"/>
                <w:szCs w:val="17"/>
                <w:color w:val="auto"/>
              </w:rPr>
            </w:pPr>
          </w:p>
        </w:tc>
        <w:tc>
          <w:tcPr>
            <w:tcW w:w="980" w:type="dxa"/>
            <w:vAlign w:val="bottom"/>
            <w:gridSpan w:val="2"/>
          </w:tcPr>
          <w:p>
            <w:pPr>
              <w:jc w:val="right"/>
              <w:ind w:right="300"/>
              <w:spacing w:after="0" w:line="203" w:lineRule="exact"/>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17"/>
                <w:szCs w:val="17"/>
                <w:color w:val="auto"/>
              </w:rPr>
            </w:pPr>
          </w:p>
        </w:tc>
        <w:tc>
          <w:tcPr>
            <w:tcW w:w="800" w:type="dxa"/>
            <w:vAlign w:val="bottom"/>
            <w:gridSpan w:val="2"/>
          </w:tcPr>
          <w:p>
            <w:pPr>
              <w:jc w:val="center"/>
              <w:ind w:right="280"/>
              <w:spacing w:after="0" w:line="203" w:lineRule="exact"/>
              <w:rPr>
                <w:sz w:val="20"/>
                <w:szCs w:val="20"/>
                <w:color w:val="auto"/>
              </w:rPr>
            </w:pPr>
            <w:r>
              <w:rPr>
                <w:rFonts w:ascii="Arial" w:cs="Arial" w:eastAsia="Arial" w:hAnsi="Arial"/>
                <w:sz w:val="18"/>
                <w:szCs w:val="18"/>
                <w:b w:val="1"/>
                <w:bCs w:val="1"/>
                <w:color w:val="auto"/>
                <w:w w:val="99"/>
              </w:rPr>
              <w:t>Value</w:t>
            </w:r>
          </w:p>
        </w:tc>
        <w:tc>
          <w:tcPr>
            <w:tcW w:w="9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760" w:type="dxa"/>
            <w:vAlign w:val="bottom"/>
            <w:gridSpan w:val="2"/>
          </w:tcPr>
          <w:p>
            <w:pPr>
              <w:jc w:val="center"/>
              <w:ind w:right="260"/>
              <w:spacing w:after="0" w:line="203" w:lineRule="exact"/>
              <w:rPr>
                <w:sz w:val="20"/>
                <w:szCs w:val="20"/>
                <w:color w:val="auto"/>
              </w:rPr>
            </w:pPr>
            <w:r>
              <w:rPr>
                <w:rFonts w:ascii="Arial" w:cs="Arial" w:eastAsia="Arial" w:hAnsi="Arial"/>
                <w:sz w:val="18"/>
                <w:szCs w:val="18"/>
                <w:color w:val="auto"/>
                <w:w w:val="99"/>
              </w:rPr>
              <w:t>Value</w:t>
            </w:r>
          </w:p>
        </w:tc>
        <w:tc>
          <w:tcPr>
            <w:tcW w:w="9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660" w:type="dxa"/>
            <w:vAlign w:val="bottom"/>
          </w:tcPr>
          <w:p>
            <w:pPr>
              <w:jc w:val="center"/>
              <w:ind w:right="70"/>
              <w:spacing w:after="0" w:line="203" w:lineRule="exact"/>
              <w:rPr>
                <w:sz w:val="20"/>
                <w:szCs w:val="20"/>
                <w:color w:val="auto"/>
              </w:rPr>
            </w:pPr>
            <w:r>
              <w:rPr>
                <w:rFonts w:ascii="Arial" w:cs="Arial" w:eastAsia="Arial" w:hAnsi="Arial"/>
                <w:sz w:val="18"/>
                <w:szCs w:val="18"/>
                <w:color w:val="auto"/>
                <w:w w:val="99"/>
              </w:rPr>
              <w:t>Value</w:t>
            </w:r>
          </w:p>
        </w:tc>
      </w:tr>
      <w:tr>
        <w:trPr>
          <w:trHeight w:val="34"/>
        </w:trPr>
        <w:tc>
          <w:tcPr>
            <w:tcW w:w="3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3620" w:type="dxa"/>
            <w:vAlign w:val="bottom"/>
            <w:shd w:val="clear" w:color="auto" w:fill="CCCCCC"/>
          </w:tcPr>
          <w:p>
            <w:pPr>
              <w:spacing w:after="0"/>
              <w:rPr>
                <w:sz w:val="20"/>
                <w:szCs w:val="20"/>
                <w:color w:val="auto"/>
              </w:rPr>
            </w:pPr>
            <w:r>
              <w:rPr>
                <w:rFonts w:ascii="Arial" w:cs="Arial" w:eastAsia="Arial" w:hAnsi="Arial"/>
                <w:sz w:val="18"/>
                <w:szCs w:val="18"/>
                <w:color w:val="auto"/>
              </w:rPr>
              <w:t>Unvested at beginning of year  . . . . . . . . . . .</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CCCC"/>
          </w:tcPr>
          <w:p>
            <w:pPr>
              <w:spacing w:after="0"/>
              <w:rPr>
                <w:sz w:val="21"/>
                <w:szCs w:val="21"/>
                <w:color w:val="auto"/>
              </w:rPr>
            </w:pP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b w:val="1"/>
                <w:bCs w:val="1"/>
                <w:color w:val="auto"/>
              </w:rPr>
              <w:t>29.03</w:t>
            </w:r>
          </w:p>
        </w:tc>
        <w:tc>
          <w:tcPr>
            <w:tcW w:w="92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35.24</w:t>
            </w:r>
          </w:p>
        </w:tc>
        <w:tc>
          <w:tcPr>
            <w:tcW w:w="90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49.86</w:t>
            </w:r>
          </w:p>
        </w:tc>
      </w:tr>
      <w:tr>
        <w:trPr>
          <w:trHeight w:val="258"/>
        </w:trPr>
        <w:tc>
          <w:tcPr>
            <w:tcW w:w="3620" w:type="dxa"/>
            <w:vAlign w:val="bottom"/>
          </w:tcPr>
          <w:p>
            <w:pPr>
              <w:spacing w:after="0"/>
              <w:rPr>
                <w:sz w:val="20"/>
                <w:szCs w:val="20"/>
                <w:color w:val="auto"/>
              </w:rPr>
            </w:pPr>
            <w:r>
              <w:rPr>
                <w:rFonts w:ascii="Arial" w:cs="Arial" w:eastAsia="Arial" w:hAnsi="Arial"/>
                <w:sz w:val="18"/>
                <w:szCs w:val="18"/>
                <w:color w:val="auto"/>
                <w:w w:val="98"/>
              </w:rPr>
              <w:t>Granted . . . . . . . . . . . . . . . . . . . . . . . . . . . . .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36.16</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62"/>
        </w:trPr>
        <w:tc>
          <w:tcPr>
            <w:tcW w:w="3620" w:type="dxa"/>
            <w:vAlign w:val="bottom"/>
            <w:shd w:val="clear" w:color="auto" w:fill="CCCCCC"/>
          </w:tcPr>
          <w:p>
            <w:pPr>
              <w:spacing w:after="0"/>
              <w:rPr>
                <w:sz w:val="20"/>
                <w:szCs w:val="20"/>
                <w:color w:val="auto"/>
              </w:rPr>
            </w:pPr>
            <w:r>
              <w:rPr>
                <w:rFonts w:ascii="Arial" w:cs="Arial" w:eastAsia="Arial" w:hAnsi="Arial"/>
                <w:sz w:val="18"/>
                <w:szCs w:val="18"/>
                <w:color w:val="auto"/>
              </w:rPr>
              <w:t>Adjustments for performance achieved . . . .</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CCCC"/>
          </w:tcPr>
          <w:p>
            <w:pPr>
              <w:spacing w:after="0"/>
              <w:rPr>
                <w:sz w:val="22"/>
                <w:szCs w:val="22"/>
                <w:color w:val="auto"/>
              </w:rPr>
            </w:pP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b w:val="1"/>
                <w:bCs w:val="1"/>
                <w:color w:val="auto"/>
              </w:rPr>
              <w:t>35.55</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2"/>
                <w:szCs w:val="22"/>
                <w:color w:val="auto"/>
              </w:rPr>
            </w:pP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2"/>
                <w:szCs w:val="22"/>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2"/>
                <w:szCs w:val="22"/>
                <w:color w:val="auto"/>
              </w:rPr>
            </w:pP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3620" w:type="dxa"/>
            <w:vAlign w:val="bottom"/>
          </w:tcPr>
          <w:p>
            <w:pPr>
              <w:spacing w:after="0"/>
              <w:rPr>
                <w:sz w:val="20"/>
                <w:szCs w:val="20"/>
                <w:color w:val="auto"/>
              </w:rPr>
            </w:pPr>
            <w:r>
              <w:rPr>
                <w:rFonts w:ascii="Arial" w:cs="Arial" w:eastAsia="Arial" w:hAnsi="Arial"/>
                <w:sz w:val="18"/>
                <w:szCs w:val="18"/>
                <w:color w:val="auto"/>
                <w:w w:val="98"/>
              </w:rPr>
              <w:t>Vested . . . . . . . . . . . . . . . . . . . . . . . . . . . . . .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32.42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48.44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71.56</w:t>
            </w:r>
          </w:p>
        </w:tc>
      </w:tr>
      <w:tr>
        <w:trPr>
          <w:trHeight w:val="262"/>
        </w:trPr>
        <w:tc>
          <w:tcPr>
            <w:tcW w:w="3620" w:type="dxa"/>
            <w:vAlign w:val="bottom"/>
            <w:shd w:val="clear" w:color="auto" w:fill="CCCCCC"/>
          </w:tcPr>
          <w:p>
            <w:pPr>
              <w:spacing w:after="0"/>
              <w:rPr>
                <w:sz w:val="20"/>
                <w:szCs w:val="20"/>
                <w:color w:val="auto"/>
              </w:rPr>
            </w:pPr>
            <w:r>
              <w:rPr>
                <w:rFonts w:ascii="Arial" w:cs="Arial" w:eastAsia="Arial" w:hAnsi="Arial"/>
                <w:sz w:val="18"/>
                <w:szCs w:val="18"/>
                <w:color w:val="auto"/>
                <w:w w:val="99"/>
              </w:rPr>
              <w:t>Forfeited . . . . . . . . . . . . . . . . . . . . . . . . . . . . .</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CCCC"/>
          </w:tcPr>
          <w:p>
            <w:pPr>
              <w:spacing w:after="0"/>
              <w:rPr>
                <w:sz w:val="22"/>
                <w:szCs w:val="22"/>
                <w:color w:val="auto"/>
              </w:rPr>
            </w:pP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CCCC"/>
          </w:tcPr>
          <w:p>
            <w:pPr>
              <w:spacing w:after="0"/>
              <w:rPr>
                <w:sz w:val="22"/>
                <w:szCs w:val="22"/>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2"/>
                <w:szCs w:val="22"/>
                <w:color w:val="auto"/>
              </w:rPr>
            </w:pP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2"/>
                <w:szCs w:val="22"/>
                <w:color w:val="auto"/>
              </w:rPr>
            </w:pPr>
          </w:p>
        </w:tc>
        <w:tc>
          <w:tcPr>
            <w:tcW w:w="90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45.95</w:t>
            </w:r>
          </w:p>
        </w:tc>
      </w:tr>
      <w:tr>
        <w:trPr>
          <w:trHeight w:val="70"/>
        </w:trPr>
        <w:tc>
          <w:tcPr>
            <w:tcW w:w="36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246"/>
        </w:trPr>
        <w:tc>
          <w:tcPr>
            <w:tcW w:w="3620" w:type="dxa"/>
            <w:vAlign w:val="bottom"/>
          </w:tcPr>
          <w:p>
            <w:pPr>
              <w:spacing w:after="0"/>
              <w:rPr>
                <w:sz w:val="20"/>
                <w:szCs w:val="20"/>
                <w:color w:val="auto"/>
              </w:rPr>
            </w:pPr>
            <w:r>
              <w:rPr>
                <w:rFonts w:ascii="Arial" w:cs="Arial" w:eastAsia="Arial" w:hAnsi="Arial"/>
                <w:sz w:val="18"/>
                <w:szCs w:val="18"/>
                <w:color w:val="auto"/>
              </w:rPr>
              <w:t>Unvested at year-end  . . . . . . . . . . . . . . . . .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30.24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35.24</w:t>
            </w:r>
          </w:p>
        </w:tc>
      </w:tr>
      <w:tr>
        <w:trPr>
          <w:trHeight w:val="34"/>
        </w:trPr>
        <w:tc>
          <w:tcPr>
            <w:tcW w:w="3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3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Discounted Stock Purchase Plan</w:t>
      </w:r>
    </w:p>
    <w:p>
      <w:pPr>
        <w:spacing w:after="0" w:line="14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Under the terms of the DSPP, employees can choose to have a portion of their earnings withheld, subject to certain restrictions, to purchase SLB common stock. Until July 1, 2022, the purchase price of the stock was 92.5% of the lower of the stock price at the beginning or end of the plan period at six-month intervals. Effective July 1, 2022, the purchase price of the stock was changed to 85% of the lower of the stock price at the beginning or end of the plan period at six-month intervals.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fair value of the employees’ purchase rights under the DSPP was estimated using the Black-</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Scholes model with the following assumptions and resulting weighted-average fair value per share:</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20"/>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20"/>
              <w:spacing w:after="0"/>
              <w:rPr>
                <w:sz w:val="20"/>
                <w:szCs w:val="20"/>
                <w:color w:val="auto"/>
              </w:rPr>
            </w:pPr>
            <w:r>
              <w:rPr>
                <w:rFonts w:ascii="Arial" w:cs="Arial" w:eastAsia="Arial" w:hAnsi="Arial"/>
                <w:sz w:val="20"/>
                <w:szCs w:val="20"/>
                <w:color w:val="auto"/>
              </w:rPr>
              <w:t>2020</w:t>
            </w:r>
          </w:p>
        </w:tc>
      </w:tr>
      <w:tr>
        <w:trPr>
          <w:trHeight w:val="30"/>
        </w:trPr>
        <w:tc>
          <w:tcPr>
            <w:tcW w:w="6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0"/>
        </w:trPr>
        <w:tc>
          <w:tcPr>
            <w:tcW w:w="6020" w:type="dxa"/>
            <w:vAlign w:val="bottom"/>
            <w:shd w:val="clear" w:color="auto" w:fill="CCCCCC"/>
          </w:tcPr>
          <w:p>
            <w:pPr>
              <w:spacing w:after="0"/>
              <w:rPr>
                <w:sz w:val="20"/>
                <w:szCs w:val="20"/>
                <w:color w:val="auto"/>
              </w:rPr>
            </w:pPr>
            <w:r>
              <w:rPr>
                <w:rFonts w:ascii="Arial" w:cs="Arial" w:eastAsia="Arial" w:hAnsi="Arial"/>
                <w:sz w:val="20"/>
                <w:szCs w:val="20"/>
                <w:color w:val="auto"/>
                <w:w w:val="99"/>
              </w:rPr>
              <w:t>Dividend yield . . . . . . . . . . . . . . . . . . . . . . . . . . . . . . . . . . . . . . . . . . .</w:t>
            </w: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1.8%</w:t>
            </w:r>
          </w:p>
        </w:tc>
        <w:tc>
          <w:tcPr>
            <w:tcW w:w="20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w:t>
            </w:r>
          </w:p>
        </w:tc>
        <w:tc>
          <w:tcPr>
            <w:tcW w:w="20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4.0%</w:t>
            </w:r>
          </w:p>
        </w:tc>
      </w:tr>
      <w:tr>
        <w:trPr>
          <w:trHeight w:val="280"/>
        </w:trPr>
        <w:tc>
          <w:tcPr>
            <w:tcW w:w="6020" w:type="dxa"/>
            <w:vAlign w:val="bottom"/>
          </w:tcPr>
          <w:p>
            <w:pPr>
              <w:spacing w:after="0"/>
              <w:rPr>
                <w:sz w:val="20"/>
                <w:szCs w:val="20"/>
                <w:color w:val="auto"/>
              </w:rPr>
            </w:pPr>
            <w:r>
              <w:rPr>
                <w:rFonts w:ascii="Arial" w:cs="Arial" w:eastAsia="Arial" w:hAnsi="Arial"/>
                <w:sz w:val="20"/>
                <w:szCs w:val="20"/>
                <w:color w:val="auto"/>
              </w:rPr>
              <w:t>Expected volatility  . . . . . . . . . . . . . . . . . . . . . . . . . . . . . . . . . . . . . . .</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47%</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auto"/>
              </w:rPr>
              <w:t>67%</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0"/>
        </w:trPr>
        <w:tc>
          <w:tcPr>
            <w:tcW w:w="6020" w:type="dxa"/>
            <w:vAlign w:val="bottom"/>
            <w:shd w:val="clear" w:color="auto" w:fill="CCCCCC"/>
          </w:tcPr>
          <w:p>
            <w:pPr>
              <w:spacing w:after="0"/>
              <w:rPr>
                <w:sz w:val="20"/>
                <w:szCs w:val="20"/>
                <w:color w:val="auto"/>
              </w:rPr>
            </w:pPr>
            <w:r>
              <w:rPr>
                <w:rFonts w:ascii="Arial" w:cs="Arial" w:eastAsia="Arial" w:hAnsi="Arial"/>
                <w:sz w:val="20"/>
                <w:szCs w:val="20"/>
                <w:color w:val="auto"/>
              </w:rPr>
              <w:t>Risk-free interest rate  . . . . . . . . . . . . . . . . . . . . . . . . . . . . . . . . . . . .</w:t>
            </w: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1.32%</w:t>
            </w:r>
          </w:p>
        </w:tc>
        <w:tc>
          <w:tcPr>
            <w:tcW w:w="2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0.07%</w:t>
            </w:r>
          </w:p>
        </w:tc>
        <w:tc>
          <w:tcPr>
            <w:tcW w:w="2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0.88%</w:t>
            </w:r>
          </w:p>
        </w:tc>
      </w:tr>
      <w:tr>
        <w:trPr>
          <w:trHeight w:val="280"/>
        </w:trPr>
        <w:tc>
          <w:tcPr>
            <w:tcW w:w="6020" w:type="dxa"/>
            <w:vAlign w:val="bottom"/>
          </w:tcPr>
          <w:p>
            <w:pPr>
              <w:spacing w:after="0"/>
              <w:rPr>
                <w:sz w:val="20"/>
                <w:szCs w:val="20"/>
                <w:color w:val="auto"/>
              </w:rPr>
            </w:pPr>
            <w:r>
              <w:rPr>
                <w:rFonts w:ascii="Arial" w:cs="Arial" w:eastAsia="Arial" w:hAnsi="Arial"/>
                <w:sz w:val="20"/>
                <w:szCs w:val="20"/>
                <w:color w:val="auto"/>
              </w:rPr>
              <w:t>Weighted-average fair value per share  . . . . . . . . . . . . . . . . . . . . . .</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    8.05</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auto"/>
              </w:rPr>
              <w:t>6.72</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5.38</w:t>
            </w: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2240" w:h="15840" w:orient="portrait"/>
          <w:cols w:equalWidth="0" w:num="1">
            <w:col w:w="9360"/>
          </w:cols>
          <w:pgMar w:left="1440" w:top="1440" w:right="1440" w:bottom="836" w:gutter="0" w:footer="0" w:header="0"/>
          <w:type w:val="continuous"/>
        </w:sectPr>
      </w:pPr>
    </w:p>
    <w:bookmarkStart w:id="81" w:name="page82"/>
    <w:bookmarkEnd w:id="81"/>
    <w:p>
      <w:pPr>
        <w:spacing w:after="0" w:line="5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Stock Options</w:t>
      </w:r>
    </w:p>
    <w:p>
      <w:pPr>
        <w:spacing w:after="0" w:line="13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Key employees may be granted stock options under SLB stock option plans. The exercise price equals the average of the high and low sales prices of SLB stock on the date of grant. The maximum term is 10 years, and the options generally vest in increments over five years.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table summarizes stock option activity: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Arial" w:cs="Arial" w:eastAsia="Arial" w:hAnsi="Arial"/>
                <w:sz w:val="16"/>
                <w:szCs w:val="16"/>
                <w:i w:val="1"/>
                <w:iCs w:val="1"/>
                <w:color w:val="auto"/>
                <w:w w:val="99"/>
              </w:rPr>
              <w:t>(Shares stated in millions)</w:t>
            </w:r>
          </w:p>
        </w:tc>
        <w:tc>
          <w:tcPr>
            <w:tcW w:w="0" w:type="dxa"/>
            <w:vAlign w:val="bottom"/>
          </w:tcPr>
          <w:p>
            <w:pPr>
              <w:spacing w:after="0"/>
              <w:rPr>
                <w:sz w:val="1"/>
                <w:szCs w:val="1"/>
                <w:color w:val="auto"/>
              </w:rPr>
            </w:pPr>
          </w:p>
        </w:tc>
      </w:tr>
      <w:tr>
        <w:trPr>
          <w:trHeight w:val="434"/>
        </w:trPr>
        <w:tc>
          <w:tcPr>
            <w:tcW w:w="33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740"/>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Weighted-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Weighted-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Weighted-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120"/>
              <w:spacing w:after="0" w:line="190" w:lineRule="exact"/>
              <w:rPr>
                <w:sz w:val="20"/>
                <w:szCs w:val="20"/>
                <w:color w:val="auto"/>
              </w:rPr>
            </w:pPr>
            <w:r>
              <w:rPr>
                <w:rFonts w:ascii="Arial" w:cs="Arial" w:eastAsia="Arial" w:hAnsi="Arial"/>
                <w:sz w:val="18"/>
                <w:szCs w:val="18"/>
                <w:b w:val="1"/>
                <w:bCs w:val="1"/>
                <w:color w:val="auto"/>
                <w:w w:val="98"/>
              </w:rPr>
              <w:t>Average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120"/>
              <w:spacing w:after="0" w:line="190" w:lineRule="exact"/>
              <w:rPr>
                <w:sz w:val="20"/>
                <w:szCs w:val="20"/>
                <w:color w:val="auto"/>
              </w:rPr>
            </w:pPr>
            <w:r>
              <w:rPr>
                <w:rFonts w:ascii="Arial" w:cs="Arial" w:eastAsia="Arial" w:hAnsi="Arial"/>
                <w:sz w:val="18"/>
                <w:szCs w:val="18"/>
                <w:color w:val="auto"/>
                <w:w w:val="98"/>
              </w:rPr>
              <w:t>Average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980" w:type="dxa"/>
            <w:vAlign w:val="bottom"/>
            <w:gridSpan w:val="3"/>
          </w:tcPr>
          <w:p>
            <w:pPr>
              <w:jc w:val="center"/>
              <w:ind w:right="120"/>
              <w:spacing w:after="0" w:line="190" w:lineRule="exact"/>
              <w:rPr>
                <w:sz w:val="20"/>
                <w:szCs w:val="20"/>
                <w:color w:val="auto"/>
              </w:rPr>
            </w:pPr>
            <w:r>
              <w:rPr>
                <w:rFonts w:ascii="Arial" w:cs="Arial" w:eastAsia="Arial" w:hAnsi="Arial"/>
                <w:sz w:val="18"/>
                <w:szCs w:val="18"/>
                <w:b w:val="1"/>
                <w:bCs w:val="1"/>
                <w:color w:val="auto"/>
                <w:w w:val="99"/>
              </w:rPr>
              <w:t>Exercise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120"/>
              <w:spacing w:after="0" w:line="190" w:lineRule="exact"/>
              <w:rPr>
                <w:sz w:val="20"/>
                <w:szCs w:val="20"/>
                <w:color w:val="auto"/>
              </w:rPr>
            </w:pPr>
            <w:r>
              <w:rPr>
                <w:rFonts w:ascii="Arial" w:cs="Arial" w:eastAsia="Arial" w:hAnsi="Arial"/>
                <w:sz w:val="18"/>
                <w:szCs w:val="18"/>
                <w:color w:val="auto"/>
              </w:rPr>
              <w:t>Exercise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spacing w:after="0" w:line="190" w:lineRule="exact"/>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300"/>
              <w:spacing w:after="0" w:line="203" w:lineRule="exact"/>
              <w:rPr>
                <w:sz w:val="20"/>
                <w:szCs w:val="20"/>
                <w:color w:val="auto"/>
              </w:rPr>
            </w:pPr>
            <w:r>
              <w:rPr>
                <w:rFonts w:ascii="Arial" w:cs="Arial" w:eastAsia="Arial" w:hAnsi="Arial"/>
                <w:sz w:val="18"/>
                <w:szCs w:val="18"/>
                <w:b w:val="1"/>
                <w:bCs w:val="1"/>
                <w:color w:val="auto"/>
                <w:w w:val="99"/>
              </w:rPr>
              <w:t>Price</w:t>
            </w:r>
          </w:p>
        </w:tc>
        <w:tc>
          <w:tcPr>
            <w:tcW w:w="10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7"/>
                <w:szCs w:val="17"/>
                <w:color w:val="auto"/>
              </w:rPr>
            </w:pPr>
          </w:p>
        </w:tc>
        <w:tc>
          <w:tcPr>
            <w:tcW w:w="800" w:type="dxa"/>
            <w:vAlign w:val="bottom"/>
            <w:gridSpan w:val="2"/>
          </w:tcPr>
          <w:p>
            <w:pPr>
              <w:jc w:val="center"/>
              <w:ind w:right="300"/>
              <w:spacing w:after="0" w:line="203" w:lineRule="exact"/>
              <w:rPr>
                <w:sz w:val="20"/>
                <w:szCs w:val="20"/>
                <w:color w:val="auto"/>
              </w:rPr>
            </w:pPr>
            <w:r>
              <w:rPr>
                <w:rFonts w:ascii="Arial" w:cs="Arial" w:eastAsia="Arial" w:hAnsi="Arial"/>
                <w:sz w:val="18"/>
                <w:szCs w:val="18"/>
                <w:color w:val="auto"/>
              </w:rPr>
              <w:t>Price</w:t>
            </w:r>
          </w:p>
        </w:tc>
        <w:tc>
          <w:tcPr>
            <w:tcW w:w="10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7"/>
                <w:szCs w:val="17"/>
                <w:color w:val="auto"/>
              </w:rPr>
            </w:pPr>
          </w:p>
        </w:tc>
        <w:tc>
          <w:tcPr>
            <w:tcW w:w="680" w:type="dxa"/>
            <w:vAlign w:val="bottom"/>
          </w:tcPr>
          <w:p>
            <w:pPr>
              <w:jc w:val="center"/>
              <w:ind w:right="90"/>
              <w:spacing w:after="0" w:line="203" w:lineRule="exact"/>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34"/>
        </w:trPr>
        <w:tc>
          <w:tcPr>
            <w:tcW w:w="3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00" w:type="dxa"/>
            <w:vAlign w:val="bottom"/>
            <w:shd w:val="clear" w:color="auto" w:fill="CCCCCC"/>
          </w:tcPr>
          <w:p>
            <w:pPr>
              <w:spacing w:after="0"/>
              <w:rPr>
                <w:sz w:val="20"/>
                <w:szCs w:val="20"/>
                <w:color w:val="auto"/>
              </w:rPr>
            </w:pPr>
            <w:r>
              <w:rPr>
                <w:rFonts w:ascii="Arial" w:cs="Arial" w:eastAsia="Arial" w:hAnsi="Arial"/>
                <w:sz w:val="18"/>
                <w:szCs w:val="18"/>
                <w:color w:val="auto"/>
              </w:rPr>
              <w:t>Outstanding at beginning of year . . . . . .</w:t>
            </w: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b w:val="1"/>
                <w:bCs w:val="1"/>
                <w:color w:val="auto"/>
              </w:rPr>
              <w:t>42</w:t>
            </w: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b w:val="1"/>
                <w:bCs w:val="1"/>
                <w:color w:val="auto"/>
              </w:rPr>
              <w:t>68.95</w:t>
            </w:r>
          </w:p>
        </w:tc>
        <w:tc>
          <w:tcPr>
            <w:tcW w:w="1000" w:type="dxa"/>
            <w:vAlign w:val="bottom"/>
            <w:gridSpan w:val="2"/>
            <w:shd w:val="clear" w:color="auto" w:fill="CCCCCC"/>
          </w:tcPr>
          <w:p>
            <w:pPr>
              <w:ind w:left="6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70.37</w:t>
            </w: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58"/>
        </w:trPr>
        <w:tc>
          <w:tcPr>
            <w:tcW w:w="3300" w:type="dxa"/>
            <w:vAlign w:val="bottom"/>
          </w:tcPr>
          <w:p>
            <w:pPr>
              <w:spacing w:after="0"/>
              <w:rPr>
                <w:sz w:val="20"/>
                <w:szCs w:val="20"/>
                <w:color w:val="auto"/>
              </w:rPr>
            </w:pPr>
            <w:r>
              <w:rPr>
                <w:rFonts w:ascii="Arial" w:cs="Arial" w:eastAsia="Arial" w:hAnsi="Arial"/>
                <w:sz w:val="18"/>
                <w:szCs w:val="18"/>
                <w:color w:val="auto"/>
              </w:rPr>
              <w:t>Granted . . . . . . . . . . . . . . . . . . . . . . . . . .</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62"/>
        </w:trPr>
        <w:tc>
          <w:tcPr>
            <w:tcW w:w="3300" w:type="dxa"/>
            <w:vAlign w:val="bottom"/>
            <w:shd w:val="clear" w:color="auto" w:fill="CCCCCC"/>
          </w:tcPr>
          <w:p>
            <w:pPr>
              <w:spacing w:after="0"/>
              <w:rPr>
                <w:sz w:val="20"/>
                <w:szCs w:val="20"/>
                <w:color w:val="auto"/>
              </w:rPr>
            </w:pPr>
            <w:r>
              <w:rPr>
                <w:rFonts w:ascii="Arial" w:cs="Arial" w:eastAsia="Arial" w:hAnsi="Arial"/>
                <w:sz w:val="18"/>
                <w:szCs w:val="18"/>
                <w:color w:val="auto"/>
                <w:w w:val="99"/>
              </w:rPr>
              <w:t>Exercised . . . . . . . . . . . . . . . . . . . . . . . . .</w:t>
            </w:r>
          </w:p>
        </w:tc>
        <w:tc>
          <w:tcPr>
            <w:tcW w:w="1000" w:type="dxa"/>
            <w:vAlign w:val="bottom"/>
            <w:gridSpan w:val="2"/>
            <w:shd w:val="clear" w:color="auto" w:fill="CCCCCC"/>
          </w:tcPr>
          <w:p>
            <w:pPr>
              <w:jc w:val="right"/>
              <w:ind w:right="6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b w:val="1"/>
                <w:bCs w:val="1"/>
                <w:color w:val="auto"/>
              </w:rPr>
              <w:t>40.04</w:t>
            </w:r>
          </w:p>
        </w:tc>
        <w:tc>
          <w:tcPr>
            <w:tcW w:w="880" w:type="dxa"/>
            <w:vAlign w:val="bottom"/>
            <w:shd w:val="clear" w:color="auto" w:fill="CCCCC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22"/>
                <w:szCs w:val="22"/>
                <w:color w:val="auto"/>
              </w:rPr>
            </w:pPr>
          </w:p>
        </w:tc>
        <w:tc>
          <w:tcPr>
            <w:tcW w:w="18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22"/>
                <w:szCs w:val="22"/>
                <w:color w:val="auto"/>
              </w:rPr>
            </w:pPr>
          </w:p>
        </w:tc>
        <w:tc>
          <w:tcPr>
            <w:tcW w:w="880" w:type="dxa"/>
            <w:vAlign w:val="bottom"/>
            <w:shd w:val="clear" w:color="auto" w:fill="CCCCC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22"/>
                <w:szCs w:val="22"/>
                <w:color w:val="auto"/>
              </w:rPr>
            </w:pPr>
          </w:p>
        </w:tc>
        <w:tc>
          <w:tcPr>
            <w:tcW w:w="18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Arial" w:cs="Arial" w:eastAsia="Arial" w:hAnsi="Arial"/>
                <w:sz w:val="18"/>
                <w:szCs w:val="18"/>
                <w:color w:val="auto"/>
              </w:rPr>
              <w:t>Forfeited / Expired . . . . . . . . . . . . . . . . .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71.45</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300" w:type="dxa"/>
            <w:vAlign w:val="bottom"/>
            <w:shd w:val="clear" w:color="auto" w:fill="CCCCCC"/>
          </w:tcPr>
          <w:p>
            <w:pPr>
              <w:spacing w:after="0"/>
              <w:rPr>
                <w:sz w:val="20"/>
                <w:szCs w:val="20"/>
                <w:color w:val="auto"/>
              </w:rPr>
            </w:pPr>
            <w:r>
              <w:rPr>
                <w:rFonts w:ascii="Arial" w:cs="Arial" w:eastAsia="Arial" w:hAnsi="Arial"/>
                <w:sz w:val="18"/>
                <w:szCs w:val="18"/>
                <w:color w:val="auto"/>
              </w:rPr>
              <w:t>Outstanding at year-end . . . . . . . . . . . . .</w:t>
            </w: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b w:val="1"/>
                <w:bCs w:val="1"/>
                <w:color w:val="auto"/>
              </w:rPr>
              <w:t>70.31</w:t>
            </w:r>
          </w:p>
        </w:tc>
        <w:tc>
          <w:tcPr>
            <w:tcW w:w="1000" w:type="dxa"/>
            <w:vAlign w:val="bottom"/>
            <w:gridSpan w:val="2"/>
            <w:shd w:val="clear" w:color="auto" w:fill="CCCCCC"/>
          </w:tcPr>
          <w:p>
            <w:pPr>
              <w:ind w:left="68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68.95</w:t>
            </w: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70"/>
        </w:trPr>
        <w:tc>
          <w:tcPr>
            <w:tcW w:w="330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following table summarizes information related to options outstanding and options exercisable as of December 31, 2022:</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Arial" w:cs="Arial" w:eastAsia="Arial" w:hAnsi="Arial"/>
                <w:sz w:val="16"/>
                <w:szCs w:val="16"/>
                <w:i w:val="1"/>
                <w:iCs w:val="1"/>
                <w:color w:val="auto"/>
              </w:rPr>
              <w:t>(Shares stated in millions)</w:t>
            </w:r>
          </w:p>
        </w:tc>
      </w:tr>
      <w:tr>
        <w:trPr>
          <w:trHeight w:val="470"/>
        </w:trPr>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00" w:type="dxa"/>
            <w:vAlign w:val="bottom"/>
            <w:gridSpan w:val="7"/>
          </w:tcPr>
          <w:p>
            <w:pPr>
              <w:jc w:val="center"/>
              <w:ind w:right="160"/>
              <w:spacing w:after="0"/>
              <w:rPr>
                <w:sz w:val="20"/>
                <w:szCs w:val="20"/>
                <w:color w:val="auto"/>
              </w:rPr>
            </w:pPr>
            <w:r>
              <w:rPr>
                <w:rFonts w:ascii="Arial" w:cs="Arial" w:eastAsia="Arial" w:hAnsi="Arial"/>
                <w:sz w:val="20"/>
                <w:szCs w:val="20"/>
                <w:color w:val="auto"/>
                <w:w w:val="99"/>
              </w:rPr>
              <w:t>Options Outstanding</w:t>
            </w:r>
          </w:p>
        </w:tc>
        <w:tc>
          <w:tcPr>
            <w:tcW w:w="2320" w:type="dxa"/>
            <w:vAlign w:val="bottom"/>
            <w:gridSpan w:val="4"/>
          </w:tcPr>
          <w:p>
            <w:pPr>
              <w:jc w:val="right"/>
              <w:ind w:right="160"/>
              <w:spacing w:after="0"/>
              <w:rPr>
                <w:sz w:val="20"/>
                <w:szCs w:val="20"/>
                <w:color w:val="auto"/>
              </w:rPr>
            </w:pPr>
            <w:r>
              <w:rPr>
                <w:rFonts w:ascii="Arial" w:cs="Arial" w:eastAsia="Arial" w:hAnsi="Arial"/>
                <w:sz w:val="20"/>
                <w:szCs w:val="20"/>
                <w:color w:val="auto"/>
              </w:rPr>
              <w:t>Options Exercisable</w:t>
            </w:r>
          </w:p>
        </w:tc>
      </w:tr>
      <w:tr>
        <w:trPr>
          <w:trHeight w:val="28"/>
        </w:trPr>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6"/>
        </w:trPr>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Weighted-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0"/>
        </w:trPr>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spacing w:after="0" w:line="220" w:lineRule="exact"/>
              <w:rPr>
                <w:sz w:val="20"/>
                <w:szCs w:val="20"/>
                <w:color w:val="auto"/>
              </w:rPr>
            </w:pPr>
            <w:r>
              <w:rPr>
                <w:rFonts w:ascii="Arial" w:cs="Arial" w:eastAsia="Arial" w:hAnsi="Arial"/>
                <w:sz w:val="20"/>
                <w:szCs w:val="20"/>
                <w:color w:val="auto"/>
                <w:w w:val="99"/>
              </w:rPr>
              <w:t>Average</w:t>
            </w:r>
          </w:p>
        </w:tc>
        <w:tc>
          <w:tcPr>
            <w:tcW w:w="160" w:type="dxa"/>
            <w:vAlign w:val="bottom"/>
          </w:tcPr>
          <w:p>
            <w:pPr>
              <w:spacing w:after="0"/>
              <w:rPr>
                <w:sz w:val="19"/>
                <w:szCs w:val="19"/>
                <w:color w:val="auto"/>
              </w:rPr>
            </w:pPr>
          </w:p>
        </w:tc>
        <w:tc>
          <w:tcPr>
            <w:tcW w:w="1240" w:type="dxa"/>
            <w:vAlign w:val="bottom"/>
            <w:gridSpan w:val="3"/>
          </w:tcPr>
          <w:p>
            <w:pPr>
              <w:jc w:val="center"/>
              <w:ind w:right="160"/>
              <w:spacing w:after="0" w:line="220" w:lineRule="exact"/>
              <w:rPr>
                <w:sz w:val="20"/>
                <w:szCs w:val="20"/>
                <w:color w:val="auto"/>
              </w:rPr>
            </w:pPr>
            <w:r>
              <w:rPr>
                <w:rFonts w:ascii="Arial" w:cs="Arial" w:eastAsia="Arial" w:hAnsi="Arial"/>
                <w:sz w:val="20"/>
                <w:szCs w:val="20"/>
                <w:color w:val="auto"/>
              </w:rPr>
              <w:t>Weighted-</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spacing w:after="0" w:line="220" w:lineRule="exact"/>
              <w:rPr>
                <w:sz w:val="20"/>
                <w:szCs w:val="20"/>
                <w:color w:val="auto"/>
              </w:rPr>
            </w:pPr>
            <w:r>
              <w:rPr>
                <w:rFonts w:ascii="Arial" w:cs="Arial" w:eastAsia="Arial" w:hAnsi="Arial"/>
                <w:sz w:val="20"/>
                <w:szCs w:val="20"/>
                <w:color w:val="auto"/>
              </w:rPr>
              <w:t>Weighted-</w:t>
            </w:r>
          </w:p>
        </w:tc>
      </w:tr>
      <w:tr>
        <w:trPr>
          <w:trHeight w:val="220"/>
        </w:trPr>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spacing w:after="0" w:line="220" w:lineRule="exact"/>
              <w:rPr>
                <w:sz w:val="20"/>
                <w:szCs w:val="20"/>
                <w:color w:val="auto"/>
              </w:rPr>
            </w:pPr>
            <w:r>
              <w:rPr>
                <w:rFonts w:ascii="Arial" w:cs="Arial" w:eastAsia="Arial" w:hAnsi="Arial"/>
                <w:sz w:val="20"/>
                <w:szCs w:val="20"/>
                <w:color w:val="auto"/>
                <w:w w:val="98"/>
              </w:rPr>
              <w:t>Remaining</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80"/>
              <w:spacing w:after="0" w:line="220" w:lineRule="exact"/>
              <w:rPr>
                <w:sz w:val="20"/>
                <w:szCs w:val="20"/>
                <w:color w:val="auto"/>
              </w:rPr>
            </w:pPr>
            <w:r>
              <w:rPr>
                <w:rFonts w:ascii="Arial" w:cs="Arial" w:eastAsia="Arial" w:hAnsi="Arial"/>
                <w:sz w:val="20"/>
                <w:szCs w:val="20"/>
                <w:color w:val="auto"/>
                <w:w w:val="99"/>
              </w:rPr>
              <w:t>Average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40"/>
              <w:spacing w:after="0" w:line="220" w:lineRule="exact"/>
              <w:rPr>
                <w:sz w:val="20"/>
                <w:szCs w:val="20"/>
                <w:color w:val="auto"/>
              </w:rPr>
            </w:pPr>
            <w:r>
              <w:rPr>
                <w:rFonts w:ascii="Arial" w:cs="Arial" w:eastAsia="Arial" w:hAnsi="Arial"/>
                <w:sz w:val="20"/>
                <w:szCs w:val="20"/>
                <w:color w:val="auto"/>
              </w:rPr>
              <w:t>Average</w:t>
            </w:r>
          </w:p>
        </w:tc>
      </w:tr>
      <w:tr>
        <w:trPr>
          <w:trHeight w:val="220"/>
        </w:trPr>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gridSpan w:val="2"/>
          </w:tcPr>
          <w:p>
            <w:pPr>
              <w:jc w:val="center"/>
              <w:ind w:right="160"/>
              <w:spacing w:after="0" w:line="220" w:lineRule="exact"/>
              <w:rPr>
                <w:sz w:val="20"/>
                <w:szCs w:val="20"/>
                <w:color w:val="auto"/>
              </w:rPr>
            </w:pPr>
            <w:r>
              <w:rPr>
                <w:rFonts w:ascii="Arial" w:cs="Arial" w:eastAsia="Arial" w:hAnsi="Arial"/>
                <w:sz w:val="20"/>
                <w:szCs w:val="20"/>
                <w:color w:val="auto"/>
              </w:rPr>
              <w:t>Options</w:t>
            </w:r>
          </w:p>
        </w:tc>
        <w:tc>
          <w:tcPr>
            <w:tcW w:w="1080" w:type="dxa"/>
            <w:vAlign w:val="bottom"/>
          </w:tcPr>
          <w:p>
            <w:pPr>
              <w:jc w:val="center"/>
              <w:spacing w:after="0" w:line="220" w:lineRule="exact"/>
              <w:rPr>
                <w:sz w:val="20"/>
                <w:szCs w:val="20"/>
                <w:color w:val="auto"/>
              </w:rPr>
            </w:pPr>
            <w:r>
              <w:rPr>
                <w:rFonts w:ascii="Arial" w:cs="Arial" w:eastAsia="Arial" w:hAnsi="Arial"/>
                <w:sz w:val="20"/>
                <w:szCs w:val="20"/>
                <w:color w:val="auto"/>
                <w:w w:val="99"/>
              </w:rPr>
              <w:t>Life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300"/>
              <w:spacing w:after="0" w:line="220" w:lineRule="exact"/>
              <w:rPr>
                <w:sz w:val="20"/>
                <w:szCs w:val="20"/>
                <w:color w:val="auto"/>
              </w:rPr>
            </w:pPr>
            <w:r>
              <w:rPr>
                <w:rFonts w:ascii="Arial" w:cs="Arial" w:eastAsia="Arial" w:hAnsi="Arial"/>
                <w:sz w:val="20"/>
                <w:szCs w:val="20"/>
                <w:color w:val="auto"/>
                <w:w w:val="99"/>
              </w:rPr>
              <w:t>Exercise</w:t>
            </w:r>
          </w:p>
        </w:tc>
        <w:tc>
          <w:tcPr>
            <w:tcW w:w="1240" w:type="dxa"/>
            <w:vAlign w:val="bottom"/>
            <w:gridSpan w:val="2"/>
          </w:tcPr>
          <w:p>
            <w:pPr>
              <w:jc w:val="right"/>
              <w:ind w:right="360"/>
              <w:spacing w:after="0" w:line="220" w:lineRule="exact"/>
              <w:rPr>
                <w:sz w:val="20"/>
                <w:szCs w:val="20"/>
                <w:color w:val="auto"/>
              </w:rPr>
            </w:pPr>
            <w:r>
              <w:rPr>
                <w:rFonts w:ascii="Arial" w:cs="Arial" w:eastAsia="Arial" w:hAnsi="Arial"/>
                <w:sz w:val="20"/>
                <w:szCs w:val="20"/>
                <w:color w:val="auto"/>
              </w:rPr>
              <w:t>Options</w:t>
            </w:r>
          </w:p>
        </w:tc>
        <w:tc>
          <w:tcPr>
            <w:tcW w:w="140" w:type="dxa"/>
            <w:vAlign w:val="bottom"/>
          </w:tcPr>
          <w:p>
            <w:pPr>
              <w:spacing w:after="0"/>
              <w:rPr>
                <w:sz w:val="19"/>
                <w:szCs w:val="19"/>
                <w:color w:val="auto"/>
              </w:rPr>
            </w:pPr>
          </w:p>
        </w:tc>
        <w:tc>
          <w:tcPr>
            <w:tcW w:w="940" w:type="dxa"/>
            <w:vAlign w:val="bottom"/>
          </w:tcPr>
          <w:p>
            <w:pPr>
              <w:jc w:val="center"/>
              <w:ind w:right="40"/>
              <w:spacing w:after="0" w:line="220" w:lineRule="exact"/>
              <w:rPr>
                <w:sz w:val="20"/>
                <w:szCs w:val="20"/>
                <w:color w:val="auto"/>
              </w:rPr>
            </w:pPr>
            <w:r>
              <w:rPr>
                <w:rFonts w:ascii="Arial" w:cs="Arial" w:eastAsia="Arial" w:hAnsi="Arial"/>
                <w:sz w:val="20"/>
                <w:szCs w:val="20"/>
                <w:color w:val="auto"/>
                <w:w w:val="99"/>
              </w:rPr>
              <w:t>Exercise</w:t>
            </w:r>
          </w:p>
        </w:tc>
      </w:tr>
      <w:tr>
        <w:trPr>
          <w:trHeight w:val="226"/>
        </w:trPr>
        <w:tc>
          <w:tcPr>
            <w:tcW w:w="3100" w:type="dxa"/>
            <w:vAlign w:val="bottom"/>
            <w:gridSpan w:val="3"/>
          </w:tcPr>
          <w:p>
            <w:pPr>
              <w:spacing w:after="0" w:line="226" w:lineRule="exact"/>
              <w:rPr>
                <w:sz w:val="20"/>
                <w:szCs w:val="20"/>
                <w:color w:val="auto"/>
              </w:rPr>
            </w:pPr>
            <w:r>
              <w:rPr>
                <w:rFonts w:ascii="Arial" w:cs="Arial" w:eastAsia="Arial" w:hAnsi="Arial"/>
                <w:sz w:val="20"/>
                <w:szCs w:val="20"/>
                <w:color w:val="auto"/>
              </w:rPr>
              <w:t>Exercise prices range</w:t>
            </w:r>
          </w:p>
        </w:tc>
        <w:tc>
          <w:tcPr>
            <w:tcW w:w="1220" w:type="dxa"/>
            <w:vAlign w:val="bottom"/>
            <w:gridSpan w:val="2"/>
          </w:tcPr>
          <w:p>
            <w:pPr>
              <w:jc w:val="center"/>
              <w:ind w:right="160"/>
              <w:spacing w:after="0" w:line="226" w:lineRule="exact"/>
              <w:rPr>
                <w:sz w:val="20"/>
                <w:szCs w:val="20"/>
                <w:color w:val="auto"/>
              </w:rPr>
            </w:pPr>
            <w:r>
              <w:rPr>
                <w:rFonts w:ascii="Arial" w:cs="Arial" w:eastAsia="Arial" w:hAnsi="Arial"/>
                <w:sz w:val="20"/>
                <w:szCs w:val="20"/>
                <w:color w:val="auto"/>
                <w:w w:val="98"/>
              </w:rPr>
              <w:t>Outstanding</w:t>
            </w:r>
          </w:p>
        </w:tc>
        <w:tc>
          <w:tcPr>
            <w:tcW w:w="1080" w:type="dxa"/>
            <w:vAlign w:val="bottom"/>
          </w:tcPr>
          <w:p>
            <w:pPr>
              <w:jc w:val="center"/>
              <w:spacing w:after="0" w:line="226" w:lineRule="exact"/>
              <w:rPr>
                <w:sz w:val="20"/>
                <w:szCs w:val="20"/>
                <w:color w:val="auto"/>
              </w:rPr>
            </w:pPr>
            <w:r>
              <w:rPr>
                <w:rFonts w:ascii="Arial" w:cs="Arial" w:eastAsia="Arial" w:hAnsi="Arial"/>
                <w:sz w:val="20"/>
                <w:szCs w:val="20"/>
                <w:color w:val="auto"/>
                <w:w w:val="98"/>
              </w:rPr>
              <w:t>(in years)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80"/>
              <w:spacing w:after="0" w:line="226" w:lineRule="exact"/>
              <w:rPr>
                <w:sz w:val="20"/>
                <w:szCs w:val="20"/>
                <w:color w:val="auto"/>
              </w:rPr>
            </w:pPr>
            <w:r>
              <w:rPr>
                <w:rFonts w:ascii="Arial" w:cs="Arial" w:eastAsia="Arial" w:hAnsi="Arial"/>
                <w:sz w:val="20"/>
                <w:szCs w:val="20"/>
                <w:color w:val="auto"/>
              </w:rPr>
              <w:t>Price</w:t>
            </w:r>
          </w:p>
        </w:tc>
        <w:tc>
          <w:tcPr>
            <w:tcW w:w="1240" w:type="dxa"/>
            <w:vAlign w:val="bottom"/>
            <w:gridSpan w:val="2"/>
          </w:tcPr>
          <w:p>
            <w:pPr>
              <w:jc w:val="right"/>
              <w:ind w:right="180"/>
              <w:spacing w:after="0" w:line="226" w:lineRule="exact"/>
              <w:rPr>
                <w:sz w:val="20"/>
                <w:szCs w:val="20"/>
                <w:color w:val="auto"/>
              </w:rPr>
            </w:pPr>
            <w:r>
              <w:rPr>
                <w:rFonts w:ascii="Arial" w:cs="Arial" w:eastAsia="Arial" w:hAnsi="Arial"/>
                <w:sz w:val="20"/>
                <w:szCs w:val="20"/>
                <w:color w:val="auto"/>
              </w:rPr>
              <w:t>Exercisable</w:t>
            </w:r>
          </w:p>
        </w:tc>
        <w:tc>
          <w:tcPr>
            <w:tcW w:w="140" w:type="dxa"/>
            <w:vAlign w:val="bottom"/>
          </w:tcPr>
          <w:p>
            <w:pPr>
              <w:spacing w:after="0"/>
              <w:rPr>
                <w:sz w:val="19"/>
                <w:szCs w:val="19"/>
                <w:color w:val="auto"/>
              </w:rPr>
            </w:pPr>
          </w:p>
        </w:tc>
        <w:tc>
          <w:tcPr>
            <w:tcW w:w="940" w:type="dxa"/>
            <w:vAlign w:val="bottom"/>
          </w:tcPr>
          <w:p>
            <w:pPr>
              <w:jc w:val="center"/>
              <w:ind w:right="40"/>
              <w:spacing w:after="0" w:line="226" w:lineRule="exact"/>
              <w:rPr>
                <w:sz w:val="20"/>
                <w:szCs w:val="20"/>
                <w:color w:val="auto"/>
              </w:rPr>
            </w:pPr>
            <w:r>
              <w:rPr>
                <w:rFonts w:ascii="Arial" w:cs="Arial" w:eastAsia="Arial" w:hAnsi="Arial"/>
                <w:sz w:val="20"/>
                <w:szCs w:val="20"/>
                <w:color w:val="auto"/>
                <w:w w:val="96"/>
              </w:rPr>
              <w:t>Price</w:t>
            </w:r>
          </w:p>
        </w:tc>
      </w:tr>
      <w:tr>
        <w:trPr>
          <w:trHeight w:val="28"/>
        </w:trPr>
        <w:tc>
          <w:tcPr>
            <w:tcW w:w="1920" w:type="dxa"/>
            <w:vAlign w:val="bottom"/>
            <w:tcBorders>
              <w:bottom w:val="single" w:sz="8" w:color="auto"/>
            </w:tcBorders>
            <w:gridSpan w:val="2"/>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3100" w:type="dxa"/>
            <w:vAlign w:val="bottom"/>
            <w:gridSpan w:val="3"/>
            <w:shd w:val="clear" w:color="auto" w:fill="CCCCCC"/>
          </w:tcPr>
          <w:p>
            <w:pPr>
              <w:jc w:val="right"/>
              <w:ind w:right="180"/>
              <w:spacing w:after="0"/>
              <w:rPr>
                <w:sz w:val="20"/>
                <w:szCs w:val="20"/>
                <w:color w:val="auto"/>
              </w:rPr>
            </w:pPr>
            <w:r>
              <w:rPr>
                <w:rFonts w:ascii="Arial" w:cs="Arial" w:eastAsia="Arial" w:hAnsi="Arial"/>
                <w:sz w:val="20"/>
                <w:szCs w:val="20"/>
                <w:color w:val="auto"/>
                <w:w w:val="98"/>
              </w:rPr>
              <w:t>$38.75 - $41.47 . . . . . . . . . . . . . .</w:t>
            </w: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w:t>
            </w:r>
          </w:p>
        </w:tc>
        <w:tc>
          <w:tcPr>
            <w:tcW w:w="160" w:type="dxa"/>
            <w:vAlign w:val="bottom"/>
            <w:shd w:val="clear" w:color="auto" w:fill="CCCCCC"/>
          </w:tcPr>
          <w:p>
            <w:pPr>
              <w:spacing w:after="0"/>
              <w:rPr>
                <w:sz w:val="23"/>
                <w:szCs w:val="23"/>
                <w:color w:val="auto"/>
              </w:rPr>
            </w:pPr>
          </w:p>
        </w:tc>
        <w:tc>
          <w:tcPr>
            <w:tcW w:w="10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6.6</w:t>
            </w:r>
          </w:p>
        </w:tc>
        <w:tc>
          <w:tcPr>
            <w:tcW w:w="3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39.82</w:t>
            </w:r>
          </w:p>
        </w:tc>
        <w:tc>
          <w:tcPr>
            <w:tcW w:w="124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5</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40.19</w:t>
            </w:r>
          </w:p>
        </w:tc>
      </w:tr>
      <w:tr>
        <w:trPr>
          <w:trHeight w:val="280"/>
        </w:trPr>
        <w:tc>
          <w:tcPr>
            <w:tcW w:w="640" w:type="dxa"/>
            <w:vAlign w:val="bottom"/>
          </w:tcPr>
          <w:p>
            <w:pPr>
              <w:spacing w:after="0"/>
              <w:rPr>
                <w:sz w:val="20"/>
                <w:szCs w:val="20"/>
                <w:color w:val="auto"/>
              </w:rPr>
            </w:pPr>
            <w:r>
              <w:rPr>
                <w:rFonts w:ascii="Arial" w:cs="Arial" w:eastAsia="Arial" w:hAnsi="Arial"/>
                <w:sz w:val="20"/>
                <w:szCs w:val="20"/>
                <w:color w:val="auto"/>
              </w:rPr>
              <w:t>$47.55</w:t>
            </w:r>
          </w:p>
        </w:tc>
        <w:tc>
          <w:tcPr>
            <w:tcW w:w="2460" w:type="dxa"/>
            <w:vAlign w:val="bottom"/>
            <w:gridSpan w:val="2"/>
          </w:tcPr>
          <w:p>
            <w:pPr>
              <w:jc w:val="right"/>
              <w:ind w:right="180"/>
              <w:spacing w:after="0"/>
              <w:rPr>
                <w:sz w:val="20"/>
                <w:szCs w:val="20"/>
                <w:color w:val="auto"/>
              </w:rPr>
            </w:pPr>
            <w:r>
              <w:rPr>
                <w:rFonts w:ascii="Arial" w:cs="Arial" w:eastAsia="Arial" w:hAnsi="Arial"/>
                <w:sz w:val="20"/>
                <w:szCs w:val="20"/>
                <w:color w:val="auto"/>
                <w:w w:val="98"/>
              </w:rPr>
              <w:t>- $69.98 . . . . . . . . . . . . . .</w:t>
            </w:r>
          </w:p>
        </w:tc>
        <w:tc>
          <w:tcPr>
            <w:tcW w:w="1060" w:type="dxa"/>
            <w:vAlign w:val="bottom"/>
          </w:tcPr>
          <w:p>
            <w:pPr>
              <w:jc w:val="right"/>
              <w:spacing w:after="0"/>
              <w:rPr>
                <w:sz w:val="20"/>
                <w:szCs w:val="20"/>
                <w:color w:val="auto"/>
              </w:rPr>
            </w:pPr>
            <w:r>
              <w:rPr>
                <w:rFonts w:ascii="Arial" w:cs="Arial" w:eastAsia="Arial" w:hAnsi="Arial"/>
                <w:sz w:val="20"/>
                <w:szCs w:val="20"/>
                <w:color w:val="auto"/>
              </w:rPr>
              <w:t>2</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20"/>
                <w:szCs w:val="20"/>
                <w:color w:val="auto"/>
              </w:rPr>
              <w:t>62.30</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2</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62.36</w:t>
            </w:r>
          </w:p>
        </w:tc>
      </w:tr>
      <w:tr>
        <w:trPr>
          <w:trHeight w:val="280"/>
        </w:trPr>
        <w:tc>
          <w:tcPr>
            <w:tcW w:w="640" w:type="dxa"/>
            <w:vAlign w:val="bottom"/>
            <w:shd w:val="clear" w:color="auto" w:fill="CCCCCC"/>
          </w:tcPr>
          <w:p>
            <w:pPr>
              <w:spacing w:after="0"/>
              <w:rPr>
                <w:sz w:val="20"/>
                <w:szCs w:val="20"/>
                <w:color w:val="auto"/>
              </w:rPr>
            </w:pPr>
            <w:r>
              <w:rPr>
                <w:rFonts w:ascii="Arial" w:cs="Arial" w:eastAsia="Arial" w:hAnsi="Arial"/>
                <w:sz w:val="20"/>
                <w:szCs w:val="20"/>
                <w:color w:val="auto"/>
              </w:rPr>
              <w:t>$70.31</w:t>
            </w:r>
          </w:p>
        </w:tc>
        <w:tc>
          <w:tcPr>
            <w:tcW w:w="2460" w:type="dxa"/>
            <w:vAlign w:val="bottom"/>
            <w:gridSpan w:val="2"/>
            <w:shd w:val="clear" w:color="auto" w:fill="CCCCCC"/>
          </w:tcPr>
          <w:p>
            <w:pPr>
              <w:jc w:val="right"/>
              <w:ind w:right="180"/>
              <w:spacing w:after="0"/>
              <w:rPr>
                <w:sz w:val="20"/>
                <w:szCs w:val="20"/>
                <w:color w:val="auto"/>
              </w:rPr>
            </w:pPr>
            <w:r>
              <w:rPr>
                <w:rFonts w:ascii="Arial" w:cs="Arial" w:eastAsia="Arial" w:hAnsi="Arial"/>
                <w:sz w:val="20"/>
                <w:szCs w:val="20"/>
                <w:color w:val="auto"/>
                <w:w w:val="98"/>
              </w:rPr>
              <w:t>- $79.85 . . . . . . . . . . . . . .</w:t>
            </w: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w:t>
            </w:r>
          </w:p>
        </w:tc>
        <w:tc>
          <w:tcPr>
            <w:tcW w:w="160" w:type="dxa"/>
            <w:vAlign w:val="bottom"/>
            <w:shd w:val="clear" w:color="auto" w:fill="CCCCCC"/>
          </w:tcPr>
          <w:p>
            <w:pPr>
              <w:spacing w:after="0"/>
              <w:rPr>
                <w:sz w:val="24"/>
                <w:szCs w:val="24"/>
                <w:color w:val="auto"/>
              </w:rPr>
            </w:pPr>
          </w:p>
        </w:tc>
        <w:tc>
          <w:tcPr>
            <w:tcW w:w="10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w:t>
            </w:r>
          </w:p>
        </w:tc>
        <w:tc>
          <w:tcPr>
            <w:tcW w:w="3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74.27</w:t>
            </w:r>
          </w:p>
        </w:tc>
        <w:tc>
          <w:tcPr>
            <w:tcW w:w="124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8</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74.15</w:t>
            </w:r>
          </w:p>
        </w:tc>
      </w:tr>
      <w:tr>
        <w:trPr>
          <w:trHeight w:val="280"/>
        </w:trPr>
        <w:tc>
          <w:tcPr>
            <w:tcW w:w="640" w:type="dxa"/>
            <w:vAlign w:val="bottom"/>
          </w:tcPr>
          <w:p>
            <w:pPr>
              <w:spacing w:after="0"/>
              <w:rPr>
                <w:sz w:val="20"/>
                <w:szCs w:val="20"/>
                <w:color w:val="auto"/>
              </w:rPr>
            </w:pPr>
            <w:r>
              <w:rPr>
                <w:rFonts w:ascii="Arial" w:cs="Arial" w:eastAsia="Arial" w:hAnsi="Arial"/>
                <w:sz w:val="20"/>
                <w:szCs w:val="20"/>
                <w:color w:val="auto"/>
              </w:rPr>
              <w:t>$80.53</w:t>
            </w:r>
          </w:p>
        </w:tc>
        <w:tc>
          <w:tcPr>
            <w:tcW w:w="2460" w:type="dxa"/>
            <w:vAlign w:val="bottom"/>
            <w:gridSpan w:val="2"/>
          </w:tcPr>
          <w:p>
            <w:pPr>
              <w:jc w:val="right"/>
              <w:ind w:right="180"/>
              <w:spacing w:after="0"/>
              <w:rPr>
                <w:sz w:val="20"/>
                <w:szCs w:val="20"/>
                <w:color w:val="auto"/>
              </w:rPr>
            </w:pPr>
            <w:r>
              <w:rPr>
                <w:rFonts w:ascii="Arial" w:cs="Arial" w:eastAsia="Arial" w:hAnsi="Arial"/>
                <w:sz w:val="20"/>
                <w:szCs w:val="20"/>
                <w:color w:val="auto"/>
                <w:w w:val="98"/>
              </w:rPr>
              <w:t>- $88.77 . . . . . . . . . . . . . .</w:t>
            </w:r>
          </w:p>
        </w:tc>
        <w:tc>
          <w:tcPr>
            <w:tcW w:w="1060" w:type="dxa"/>
            <w:vAlign w:val="bottom"/>
          </w:tcPr>
          <w:p>
            <w:pPr>
              <w:jc w:val="right"/>
              <w:spacing w:after="0"/>
              <w:rPr>
                <w:sz w:val="20"/>
                <w:szCs w:val="20"/>
                <w:color w:val="auto"/>
              </w:rPr>
            </w:pPr>
            <w:r>
              <w:rPr>
                <w:rFonts w:ascii="Arial" w:cs="Arial" w:eastAsia="Arial" w:hAnsi="Arial"/>
                <w:sz w:val="20"/>
                <w:szCs w:val="20"/>
                <w:color w:val="auto"/>
              </w:rPr>
              <w:t>8</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3.3</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20"/>
                <w:szCs w:val="20"/>
                <w:color w:val="auto"/>
              </w:rPr>
              <w:t>84.44</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8</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84.45</w:t>
            </w:r>
          </w:p>
        </w:tc>
      </w:tr>
      <w:tr>
        <w:trPr>
          <w:trHeight w:val="280"/>
        </w:trPr>
        <w:tc>
          <w:tcPr>
            <w:tcW w:w="640" w:type="dxa"/>
            <w:vAlign w:val="bottom"/>
            <w:shd w:val="clear" w:color="auto" w:fill="CCCCCC"/>
          </w:tcPr>
          <w:p>
            <w:pPr>
              <w:spacing w:after="0"/>
              <w:rPr>
                <w:sz w:val="20"/>
                <w:szCs w:val="20"/>
                <w:color w:val="auto"/>
              </w:rPr>
            </w:pPr>
            <w:r>
              <w:rPr>
                <w:rFonts w:ascii="Arial" w:cs="Arial" w:eastAsia="Arial" w:hAnsi="Arial"/>
                <w:sz w:val="20"/>
                <w:szCs w:val="20"/>
                <w:color w:val="auto"/>
              </w:rPr>
              <w:t>$91.28</w:t>
            </w:r>
          </w:p>
        </w:tc>
        <w:tc>
          <w:tcPr>
            <w:tcW w:w="2460" w:type="dxa"/>
            <w:vAlign w:val="bottom"/>
            <w:gridSpan w:val="2"/>
            <w:shd w:val="clear" w:color="auto" w:fill="CCCCCC"/>
          </w:tcPr>
          <w:p>
            <w:pPr>
              <w:jc w:val="right"/>
              <w:ind w:right="180"/>
              <w:spacing w:after="0"/>
              <w:rPr>
                <w:sz w:val="20"/>
                <w:szCs w:val="20"/>
                <w:color w:val="auto"/>
              </w:rPr>
            </w:pPr>
            <w:r>
              <w:rPr>
                <w:rFonts w:ascii="Arial" w:cs="Arial" w:eastAsia="Arial" w:hAnsi="Arial"/>
                <w:sz w:val="20"/>
                <w:szCs w:val="20"/>
                <w:color w:val="auto"/>
                <w:w w:val="98"/>
              </w:rPr>
              <w:t>- $114.83 . . . . . . . . . . . . .</w:t>
            </w: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w:t>
            </w:r>
          </w:p>
        </w:tc>
        <w:tc>
          <w:tcPr>
            <w:tcW w:w="160" w:type="dxa"/>
            <w:vAlign w:val="bottom"/>
            <w:shd w:val="clear" w:color="auto" w:fill="CCCCCC"/>
          </w:tcPr>
          <w:p>
            <w:pPr>
              <w:spacing w:after="0"/>
              <w:rPr>
                <w:sz w:val="24"/>
                <w:szCs w:val="24"/>
                <w:color w:val="auto"/>
              </w:rPr>
            </w:pPr>
          </w:p>
        </w:tc>
        <w:tc>
          <w:tcPr>
            <w:tcW w:w="10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1.7</w:t>
            </w:r>
          </w:p>
        </w:tc>
        <w:tc>
          <w:tcPr>
            <w:tcW w:w="30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96.22</w:t>
            </w:r>
          </w:p>
        </w:tc>
        <w:tc>
          <w:tcPr>
            <w:tcW w:w="124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6</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96.21</w:t>
            </w:r>
          </w:p>
        </w:tc>
      </w:tr>
      <w:tr>
        <w:trPr>
          <w:trHeight w:val="70"/>
        </w:trPr>
        <w:tc>
          <w:tcPr>
            <w:tcW w:w="6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72"/>
        </w:trPr>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3.6</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20"/>
                <w:szCs w:val="20"/>
                <w:color w:val="auto"/>
              </w:rPr>
              <w:t>70.31</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29</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76.70</w:t>
            </w:r>
          </w:p>
        </w:tc>
      </w:tr>
      <w:tr>
        <w:trPr>
          <w:trHeight w:val="28"/>
        </w:trPr>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weighted-average remaining contractual life of stock options exercisable as of December 31, 2022 was 2.9 years.</w:t>
      </w:r>
    </w:p>
    <w:p>
      <w:pPr>
        <w:spacing w:after="0" w:line="250"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aggregate intrinsic value of stock options outstanding and stock options exercisable as of December 31, 2022 was $133 million and $49 million, respectively.</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2240" w:h="15840" w:orient="portrait"/>
          <w:cols w:equalWidth="0" w:num="1">
            <w:col w:w="9360"/>
          </w:cols>
          <w:pgMar w:left="1440" w:top="1440" w:right="1440" w:bottom="836" w:gutter="0" w:footer="0" w:header="0"/>
          <w:type w:val="continuous"/>
        </w:sectPr>
      </w:pPr>
    </w:p>
    <w:bookmarkStart w:id="82" w:name="page83"/>
    <w:bookmarkEnd w:id="82"/>
    <w:p>
      <w:pPr>
        <w:spacing w:after="0" w:line="5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Total Stock-based Compensation Expense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summarizes stock-based compensation expense recognized in income: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5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2022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2021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60"/>
              <w:spacing w:after="0"/>
              <w:rPr>
                <w:sz w:val="20"/>
                <w:szCs w:val="20"/>
                <w:color w:val="auto"/>
              </w:rPr>
            </w:pPr>
            <w:r>
              <w:rPr>
                <w:rFonts w:ascii="Arial" w:cs="Arial" w:eastAsia="Arial" w:hAnsi="Arial"/>
                <w:sz w:val="20"/>
                <w:szCs w:val="20"/>
                <w:color w:val="auto"/>
              </w:rPr>
              <w:t>2020</w:t>
            </w:r>
          </w:p>
        </w:tc>
      </w:tr>
      <w:tr>
        <w:trPr>
          <w:trHeight w:val="28"/>
        </w:trPr>
        <w:tc>
          <w:tcPr>
            <w:tcW w:w="5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CCCC"/>
          </w:tcPr>
          <w:p>
            <w:pPr>
              <w:spacing w:after="0"/>
              <w:rPr>
                <w:sz w:val="20"/>
                <w:szCs w:val="20"/>
                <w:color w:val="auto"/>
              </w:rPr>
            </w:pPr>
            <w:r>
              <w:rPr>
                <w:rFonts w:ascii="Arial" w:cs="Arial" w:eastAsia="Arial" w:hAnsi="Arial"/>
                <w:sz w:val="20"/>
                <w:szCs w:val="20"/>
                <w:color w:val="auto"/>
              </w:rPr>
              <w:t>Restricted stock . . . . . . . . . . . . . . . . . . . . . . . . . . . . . . . . . .</w:t>
            </w:r>
          </w:p>
        </w:tc>
        <w:tc>
          <w:tcPr>
            <w:tcW w:w="800" w:type="dxa"/>
            <w:vAlign w:val="bottom"/>
            <w:shd w:val="clear" w:color="auto" w:fill="CCCCCC"/>
          </w:tcPr>
          <w:p>
            <w:pPr>
              <w:jc w:val="right"/>
              <w:ind w:right="600"/>
              <w:spacing w:after="0"/>
              <w:rPr>
                <w:sz w:val="20"/>
                <w:szCs w:val="20"/>
                <w:color w:val="auto"/>
              </w:rPr>
            </w:pPr>
            <w:r>
              <w:rPr>
                <w:rFonts w:ascii="Arial" w:cs="Arial" w:eastAsia="Arial" w:hAnsi="Arial"/>
                <w:sz w:val="20"/>
                <w:szCs w:val="20"/>
                <w:b w:val="1"/>
                <w:bCs w:val="1"/>
                <w:color w:val="auto"/>
                <w:w w:val="71"/>
              </w:rPr>
              <w:t>$</w:t>
            </w:r>
          </w:p>
        </w:tc>
        <w:tc>
          <w:tcPr>
            <w:tcW w:w="3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95"/>
              </w:rPr>
              <w:t>255</w:t>
            </w:r>
          </w:p>
        </w:tc>
        <w:tc>
          <w:tcPr>
            <w:tcW w:w="200" w:type="dxa"/>
            <w:vAlign w:val="bottom"/>
            <w:shd w:val="clear" w:color="auto" w:fill="CCCCCC"/>
          </w:tcPr>
          <w:p>
            <w:pPr>
              <w:spacing w:after="0"/>
              <w:rPr>
                <w:sz w:val="23"/>
                <w:szCs w:val="23"/>
                <w:color w:val="auto"/>
              </w:rPr>
            </w:pPr>
          </w:p>
        </w:tc>
        <w:tc>
          <w:tcPr>
            <w:tcW w:w="800" w:type="dxa"/>
            <w:vAlign w:val="bottom"/>
            <w:shd w:val="clear" w:color="auto" w:fill="CCCCCC"/>
          </w:tcPr>
          <w:p>
            <w:pPr>
              <w:jc w:val="right"/>
              <w:ind w:right="580"/>
              <w:spacing w:after="0"/>
              <w:rPr>
                <w:sz w:val="20"/>
                <w:szCs w:val="20"/>
                <w:color w:val="auto"/>
              </w:rPr>
            </w:pPr>
            <w:r>
              <w:rPr>
                <w:rFonts w:ascii="Arial" w:cs="Arial" w:eastAsia="Arial" w:hAnsi="Arial"/>
                <w:sz w:val="20"/>
                <w:szCs w:val="20"/>
                <w:color w:val="auto"/>
                <w:w w:val="89"/>
              </w:rPr>
              <w:t>$</w:t>
            </w:r>
          </w:p>
        </w:tc>
        <w:tc>
          <w:tcPr>
            <w:tcW w:w="3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254</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293</w:t>
            </w:r>
          </w:p>
        </w:tc>
      </w:tr>
      <w:tr>
        <w:trPr>
          <w:trHeight w:val="280"/>
        </w:trPr>
        <w:tc>
          <w:tcPr>
            <w:tcW w:w="5280" w:type="dxa"/>
            <w:vAlign w:val="bottom"/>
          </w:tcPr>
          <w:p>
            <w:pPr>
              <w:spacing w:after="0"/>
              <w:rPr>
                <w:sz w:val="20"/>
                <w:szCs w:val="20"/>
                <w:color w:val="auto"/>
              </w:rPr>
            </w:pPr>
            <w:r>
              <w:rPr>
                <w:rFonts w:ascii="Arial" w:cs="Arial" w:eastAsia="Arial" w:hAnsi="Arial"/>
                <w:sz w:val="20"/>
                <w:szCs w:val="20"/>
                <w:color w:val="auto"/>
              </w:rPr>
              <w:t>DSPP . . . . . . . . . . . . . . . . . . . . . . . . . . . . . . . . . . . . . . . . . .</w:t>
            </w:r>
          </w:p>
        </w:tc>
        <w:tc>
          <w:tcPr>
            <w:tcW w:w="8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41</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34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0"/>
        </w:trPr>
        <w:tc>
          <w:tcPr>
            <w:tcW w:w="5280" w:type="dxa"/>
            <w:vAlign w:val="bottom"/>
            <w:shd w:val="clear" w:color="auto" w:fill="CCCCCC"/>
          </w:tcPr>
          <w:p>
            <w:pPr>
              <w:spacing w:after="0"/>
              <w:rPr>
                <w:sz w:val="20"/>
                <w:szCs w:val="20"/>
                <w:color w:val="auto"/>
              </w:rPr>
            </w:pPr>
            <w:r>
              <w:rPr>
                <w:rFonts w:ascii="Arial" w:cs="Arial" w:eastAsia="Arial" w:hAnsi="Arial"/>
                <w:sz w:val="20"/>
                <w:szCs w:val="20"/>
                <w:color w:val="auto"/>
              </w:rPr>
              <w:t>Stock options . . . . . . . . . . . . . . . . . . . . . . . . . . . . . . . . . . . .</w:t>
            </w:r>
          </w:p>
        </w:tc>
        <w:tc>
          <w:tcPr>
            <w:tcW w:w="800" w:type="dxa"/>
            <w:vAlign w:val="bottom"/>
            <w:shd w:val="clear" w:color="auto" w:fill="CCCCCC"/>
          </w:tcPr>
          <w:p>
            <w:pPr>
              <w:spacing w:after="0"/>
              <w:rPr>
                <w:sz w:val="24"/>
                <w:szCs w:val="24"/>
                <w:color w:val="auto"/>
              </w:rPr>
            </w:pPr>
          </w:p>
        </w:tc>
        <w:tc>
          <w:tcPr>
            <w:tcW w:w="3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17</w:t>
            </w:r>
          </w:p>
        </w:tc>
        <w:tc>
          <w:tcPr>
            <w:tcW w:w="200" w:type="dxa"/>
            <w:vAlign w:val="bottom"/>
            <w:shd w:val="clear" w:color="auto" w:fill="CCCCCC"/>
          </w:tcPr>
          <w:p>
            <w:pPr>
              <w:spacing w:after="0"/>
              <w:rPr>
                <w:sz w:val="24"/>
                <w:szCs w:val="24"/>
                <w:color w:val="auto"/>
              </w:rPr>
            </w:pPr>
          </w:p>
        </w:tc>
        <w:tc>
          <w:tcPr>
            <w:tcW w:w="800" w:type="dxa"/>
            <w:vAlign w:val="bottom"/>
            <w:shd w:val="clear" w:color="auto" w:fill="CCCCCC"/>
          </w:tcPr>
          <w:p>
            <w:pPr>
              <w:spacing w:after="0"/>
              <w:rPr>
                <w:sz w:val="24"/>
                <w:szCs w:val="24"/>
                <w:color w:val="auto"/>
              </w:rPr>
            </w:pPr>
          </w:p>
        </w:tc>
        <w:tc>
          <w:tcPr>
            <w:tcW w:w="3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36</w:t>
            </w: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75</w:t>
            </w:r>
          </w:p>
        </w:tc>
      </w:tr>
      <w:tr>
        <w:trPr>
          <w:trHeight w:val="70"/>
        </w:trPr>
        <w:tc>
          <w:tcPr>
            <w:tcW w:w="528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72"/>
        </w:trPr>
        <w:tc>
          <w:tcPr>
            <w:tcW w:w="5280" w:type="dxa"/>
            <w:vAlign w:val="bottom"/>
          </w:tcPr>
          <w:p>
            <w:pPr>
              <w:spacing w:after="0"/>
              <w:rPr>
                <w:sz w:val="23"/>
                <w:szCs w:val="23"/>
                <w:color w:val="auto"/>
              </w:rPr>
            </w:pPr>
          </w:p>
        </w:tc>
        <w:tc>
          <w:tcPr>
            <w:tcW w:w="800" w:type="dxa"/>
            <w:vAlign w:val="bottom"/>
          </w:tcPr>
          <w:p>
            <w:pPr>
              <w:jc w:val="right"/>
              <w:ind w:right="600"/>
              <w:spacing w:after="0"/>
              <w:rPr>
                <w:sz w:val="20"/>
                <w:szCs w:val="20"/>
                <w:color w:val="auto"/>
              </w:rPr>
            </w:pPr>
            <w:r>
              <w:rPr>
                <w:rFonts w:ascii="Arial" w:cs="Arial" w:eastAsia="Arial" w:hAnsi="Arial"/>
                <w:sz w:val="20"/>
                <w:szCs w:val="20"/>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w w:val="95"/>
              </w:rPr>
              <w:t>313</w:t>
            </w:r>
          </w:p>
        </w:tc>
        <w:tc>
          <w:tcPr>
            <w:tcW w:w="200" w:type="dxa"/>
            <w:vAlign w:val="bottom"/>
          </w:tcPr>
          <w:p>
            <w:pPr>
              <w:spacing w:after="0"/>
              <w:rPr>
                <w:sz w:val="23"/>
                <w:szCs w:val="23"/>
                <w:color w:val="auto"/>
              </w:rPr>
            </w:pPr>
          </w:p>
        </w:tc>
        <w:tc>
          <w:tcPr>
            <w:tcW w:w="800" w:type="dxa"/>
            <w:vAlign w:val="bottom"/>
          </w:tcPr>
          <w:p>
            <w:pPr>
              <w:jc w:val="right"/>
              <w:ind w:right="580"/>
              <w:spacing w:after="0"/>
              <w:rPr>
                <w:sz w:val="20"/>
                <w:szCs w:val="20"/>
                <w:color w:val="auto"/>
              </w:rPr>
            </w:pPr>
            <w:r>
              <w:rPr>
                <w:rFonts w:ascii="Arial" w:cs="Arial" w:eastAsia="Arial" w:hAnsi="Arial"/>
                <w:sz w:val="20"/>
                <w:szCs w:val="20"/>
                <w:color w:val="auto"/>
                <w:w w:val="89"/>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324</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397</w:t>
            </w:r>
          </w:p>
        </w:tc>
      </w:tr>
      <w:tr>
        <w:trPr>
          <w:trHeight w:val="28"/>
        </w:trPr>
        <w:tc>
          <w:tcPr>
            <w:tcW w:w="5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At December 31, 2022, there was $275 million of total unrecognized compensation cost related to nonvested stock-based compensation arrangements, of which $172 million is expected to be recognized in 2023, $87 million in 2024, $12 million in 2025, and $4 million in 2026.</w:t>
      </w:r>
    </w:p>
    <w:p>
      <w:pPr>
        <w:spacing w:after="0" w:line="24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As of December 31, 2022, approximately 36 million shares of SLB common stock were available for future grants under SLB’s stock-based compensation programs.</w:t>
      </w:r>
    </w:p>
    <w:p>
      <w:pPr>
        <w:spacing w:after="0" w:line="366" w:lineRule="exact"/>
        <w:rPr>
          <w:sz w:val="20"/>
          <w:szCs w:val="20"/>
          <w:color w:val="auto"/>
        </w:rPr>
      </w:pPr>
    </w:p>
    <w:p>
      <w:pPr>
        <w:ind w:left="460" w:hanging="340"/>
        <w:spacing w:after="0"/>
        <w:tabs>
          <w:tab w:leader="none" w:pos="4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Income Taxes</w:t>
      </w:r>
    </w:p>
    <w:p>
      <w:pPr>
        <w:spacing w:after="0" w:line="132"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i w:val="1"/>
          <w:iCs w:val="1"/>
          <w:color w:val="auto"/>
        </w:rPr>
        <w:t xml:space="preserve">Income (loss) before taxes </w:t>
      </w:r>
      <w:r>
        <w:rPr>
          <w:rFonts w:ascii="Arial" w:cs="Arial" w:eastAsia="Arial" w:hAnsi="Arial"/>
          <w:sz w:val="20"/>
          <w:szCs w:val="20"/>
          <w:color w:val="auto"/>
        </w:rPr>
        <w:t>subject to United States and non-United States income taxes was as</w:t>
      </w:r>
      <w:r>
        <w:rPr>
          <w:rFonts w:ascii="Arial" w:cs="Arial" w:eastAsia="Arial" w:hAnsi="Arial"/>
          <w:sz w:val="20"/>
          <w:szCs w:val="20"/>
          <w:i w:val="1"/>
          <w:iCs w:val="1"/>
          <w:color w:val="auto"/>
        </w:rPr>
        <w:t xml:space="preserve"> </w:t>
      </w:r>
      <w:r>
        <w:rPr>
          <w:rFonts w:ascii="Arial" w:cs="Arial" w:eastAsia="Arial" w:hAnsi="Arial"/>
          <w:sz w:val="20"/>
          <w:szCs w:val="20"/>
          <w:color w:val="auto"/>
        </w:rPr>
        <w:t>follows: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4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60"/>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60"/>
              <w:spacing w:after="0"/>
              <w:rPr>
                <w:sz w:val="20"/>
                <w:szCs w:val="20"/>
                <w:color w:val="auto"/>
              </w:rPr>
            </w:pPr>
            <w:r>
              <w:rPr>
                <w:rFonts w:ascii="Arial" w:cs="Arial" w:eastAsia="Arial" w:hAnsi="Arial"/>
                <w:sz w:val="20"/>
                <w:szCs w:val="20"/>
                <w:color w:val="auto"/>
              </w:rPr>
              <w:t>2020</w:t>
            </w:r>
          </w:p>
        </w:tc>
      </w:tr>
      <w:tr>
        <w:trPr>
          <w:trHeight w:val="28"/>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CCCC"/>
          </w:tcPr>
          <w:p>
            <w:pPr>
              <w:spacing w:after="0"/>
              <w:rPr>
                <w:sz w:val="20"/>
                <w:szCs w:val="20"/>
                <w:color w:val="auto"/>
              </w:rPr>
            </w:pPr>
            <w:r>
              <w:rPr>
                <w:rFonts w:ascii="Arial" w:cs="Arial" w:eastAsia="Arial" w:hAnsi="Arial"/>
                <w:sz w:val="20"/>
                <w:szCs w:val="20"/>
                <w:color w:val="auto"/>
              </w:rPr>
              <w:t>United States . . . . . . . . . . . . . . . . . . . . . . . . . . . . . . . . . . . .</w:t>
            </w:r>
          </w:p>
        </w:tc>
        <w:tc>
          <w:tcPr>
            <w:tcW w:w="220" w:type="dxa"/>
            <w:vAlign w:val="bottom"/>
            <w:shd w:val="clear" w:color="auto" w:fill="CCCCCC"/>
          </w:tcPr>
          <w:p>
            <w:pPr>
              <w:jc w:val="right"/>
              <w:ind w:right="20"/>
              <w:spacing w:after="0"/>
              <w:rPr>
                <w:sz w:val="20"/>
                <w:szCs w:val="20"/>
                <w:color w:val="auto"/>
              </w:rPr>
            </w:pPr>
            <w:r>
              <w:rPr>
                <w:rFonts w:ascii="Arial" w:cs="Arial" w:eastAsia="Arial" w:hAnsi="Arial"/>
                <w:sz w:val="20"/>
                <w:szCs w:val="20"/>
                <w:b w:val="1"/>
                <w:bCs w:val="1"/>
                <w:color w:val="auto"/>
                <w:w w:val="71"/>
              </w:rPr>
              <w:t>$</w:t>
            </w:r>
          </w:p>
        </w:tc>
        <w:tc>
          <w:tcPr>
            <w:tcW w:w="11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600</w:t>
            </w:r>
          </w:p>
        </w:tc>
        <w:tc>
          <w:tcPr>
            <w:tcW w:w="240" w:type="dxa"/>
            <w:vAlign w:val="bottom"/>
            <w:shd w:val="clear" w:color="auto" w:fill="CCCCCC"/>
          </w:tcPr>
          <w:p>
            <w:pPr>
              <w:jc w:val="right"/>
              <w:ind w:right="20"/>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30</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(4,394)</w:t>
            </w:r>
          </w:p>
        </w:tc>
      </w:tr>
      <w:tr>
        <w:trPr>
          <w:trHeight w:val="282"/>
        </w:trPr>
        <w:tc>
          <w:tcPr>
            <w:tcW w:w="5280" w:type="dxa"/>
            <w:vAlign w:val="bottom"/>
          </w:tcPr>
          <w:p>
            <w:pPr>
              <w:spacing w:after="0"/>
              <w:rPr>
                <w:sz w:val="20"/>
                <w:szCs w:val="20"/>
                <w:color w:val="auto"/>
              </w:rPr>
            </w:pPr>
            <w:r>
              <w:rPr>
                <w:rFonts w:ascii="Arial" w:cs="Arial" w:eastAsia="Arial" w:hAnsi="Arial"/>
                <w:sz w:val="20"/>
                <w:szCs w:val="20"/>
                <w:color w:val="auto"/>
              </w:rPr>
              <w:t>Outside United States . . . . . . . . . . . . . . . . . . . . . . . . . . . . .</w:t>
            </w: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3,671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2,344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(6,904)</w:t>
            </w:r>
          </w:p>
        </w:tc>
      </w:tr>
      <w:tr>
        <w:trPr>
          <w:trHeight w:val="28"/>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CCCC"/>
          </w:tcPr>
          <w:p>
            <w:pPr>
              <w:spacing w:after="0"/>
              <w:rPr>
                <w:sz w:val="23"/>
                <w:szCs w:val="23"/>
                <w:color w:val="auto"/>
              </w:rPr>
            </w:pPr>
          </w:p>
        </w:tc>
        <w:tc>
          <w:tcPr>
            <w:tcW w:w="220" w:type="dxa"/>
            <w:vAlign w:val="bottom"/>
            <w:shd w:val="clear" w:color="auto" w:fill="CCCCCC"/>
          </w:tcPr>
          <w:p>
            <w:pPr>
              <w:jc w:val="right"/>
              <w:ind w:right="20"/>
              <w:spacing w:after="0"/>
              <w:rPr>
                <w:sz w:val="20"/>
                <w:szCs w:val="20"/>
                <w:color w:val="auto"/>
              </w:rPr>
            </w:pPr>
            <w:r>
              <w:rPr>
                <w:rFonts w:ascii="Arial" w:cs="Arial" w:eastAsia="Arial" w:hAnsi="Arial"/>
                <w:sz w:val="20"/>
                <w:szCs w:val="20"/>
                <w:b w:val="1"/>
                <w:bCs w:val="1"/>
                <w:color w:val="auto"/>
                <w:w w:val="71"/>
              </w:rPr>
              <w:t>$</w:t>
            </w:r>
          </w:p>
        </w:tc>
        <w:tc>
          <w:tcPr>
            <w:tcW w:w="11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4,271</w:t>
            </w:r>
          </w:p>
        </w:tc>
        <w:tc>
          <w:tcPr>
            <w:tcW w:w="240" w:type="dxa"/>
            <w:vAlign w:val="bottom"/>
            <w:shd w:val="clear" w:color="auto" w:fill="CCCCCC"/>
          </w:tcPr>
          <w:p>
            <w:pPr>
              <w:jc w:val="right"/>
              <w:ind w:right="20"/>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2,374</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(11,298)</w:t>
            </w:r>
          </w:p>
        </w:tc>
      </w:tr>
      <w:tr>
        <w:trPr>
          <w:trHeight w:val="70"/>
        </w:trPr>
        <w:tc>
          <w:tcPr>
            <w:tcW w:w="5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recorded net pretax credits of $347 million in 2022 ($379 million of credits in the US and $32 million of net charges outside the US); and $65 million in 2021 ($75 million of credits in the US and $10 million of charges outside the US). SLB recorded net pretax charges of $12.515 billion in 2020 ($3.961 billion in the US and $8.554 billion outside the US). These charges and credits are included in the table above and are more fully described in Note 3 –</w:t>
      </w:r>
      <w:r>
        <w:rPr>
          <w:rFonts w:ascii="Arial" w:cs="Arial" w:eastAsia="Arial" w:hAnsi="Arial"/>
          <w:sz w:val="20"/>
          <w:szCs w:val="20"/>
          <w:i w:val="1"/>
          <w:iCs w:val="1"/>
          <w:color w:val="auto"/>
        </w:rPr>
        <w:t>Charges and Credits</w:t>
      </w:r>
      <w:r>
        <w:rPr>
          <w:rFonts w:ascii="Arial" w:cs="Arial" w:eastAsia="Arial" w:hAnsi="Arial"/>
          <w:sz w:val="20"/>
          <w:szCs w:val="20"/>
          <w:color w:val="auto"/>
        </w:rPr>
        <w:t>.</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2240" w:h="15840" w:orient="portrait"/>
          <w:cols w:equalWidth="0" w:num="1">
            <w:col w:w="9360"/>
          </w:cols>
          <w:pgMar w:left="1440" w:top="1440" w:right="1440" w:bottom="836" w:gutter="0" w:footer="0" w:header="0"/>
          <w:type w:val="continuous"/>
        </w:sectPr>
      </w:pPr>
    </w:p>
    <w:bookmarkStart w:id="83" w:name="page84"/>
    <w:bookmarkEnd w:id="83"/>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components of net deferred tax liabilities were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68"/>
        </w:trPr>
        <w:tc>
          <w:tcPr>
            <w:tcW w:w="6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w:cs="Arial" w:eastAsia="Arial" w:hAnsi="Arial"/>
                <w:sz w:val="20"/>
                <w:szCs w:val="20"/>
                <w:color w:val="auto"/>
              </w:rPr>
              <w:t>2021</w:t>
            </w:r>
          </w:p>
        </w:tc>
      </w:tr>
      <w:tr>
        <w:trPr>
          <w:trHeight w:val="30"/>
        </w:trPr>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w w:val="99"/>
              </w:rPr>
              <w:t>Intangible assets . . . . . . . . . . . . . . . . . . . . . . . .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(780)</w:t>
            </w: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(855)</w:t>
            </w: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w w:val="99"/>
              </w:rPr>
              <w:t>Net operating losses . . . . . . . . . . . . . . . . . . . . . . . . . . . . . . . . . . . . . . . . . . . . .</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326</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427</w:t>
            </w: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rPr>
              <w:t>Research and development credits . . . . . . . . . . . . . . . . . . . . . . . . . . . . . . . . .</w:t>
            </w:r>
          </w:p>
        </w:tc>
        <w:tc>
          <w:tcPr>
            <w:tcW w:w="200" w:type="dxa"/>
            <w:vAlign w:val="bottom"/>
            <w:shd w:val="clear" w:color="auto" w:fill="CCCCCC"/>
          </w:tcPr>
          <w:p>
            <w:pPr>
              <w:spacing w:after="0"/>
              <w:rPr>
                <w:sz w:val="24"/>
                <w:szCs w:val="24"/>
                <w:color w:val="auto"/>
              </w:rPr>
            </w:pPr>
          </w:p>
        </w:tc>
        <w:tc>
          <w:tcPr>
            <w:tcW w:w="10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129</w:t>
            </w: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118</w:t>
            </w: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w w:val="99"/>
              </w:rPr>
              <w:t>Fixed assets, net . . . . . . . . . . . . . . . . . . . . . . . . . . . . . . . . . . . . . . . . . . . . . . . .</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101</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w w:val="99"/>
              </w:rPr>
              <w:t>Inventories . . . . . . . . . . . . . . . . . . . . . . . . . . . . . . . . . . . . . . . . . . . . . . . . . . . . .</w:t>
            </w:r>
          </w:p>
        </w:tc>
        <w:tc>
          <w:tcPr>
            <w:tcW w:w="200" w:type="dxa"/>
            <w:vAlign w:val="bottom"/>
            <w:shd w:val="clear" w:color="auto" w:fill="CCCCCC"/>
          </w:tcPr>
          <w:p>
            <w:pPr>
              <w:spacing w:after="0"/>
              <w:rPr>
                <w:sz w:val="24"/>
                <w:szCs w:val="24"/>
                <w:color w:val="auto"/>
              </w:rPr>
            </w:pPr>
          </w:p>
        </w:tc>
        <w:tc>
          <w:tcPr>
            <w:tcW w:w="10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45</w:t>
            </w: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58</w:t>
            </w: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rPr>
              <w:t>Investments in non-US subsidiaries . . . . . . . . . . . . . . . . . . . . . . . . . . . . . . . . .</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(125)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rPr>
              <w:t>Pension and other postretirement benefits . . . . . . . . . . . . . . . . . . . . . . . . . . .</w:t>
            </w: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(114)</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(136)</w:t>
            </w: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w w:val="98"/>
              </w:rPr>
              <w:t>Other, net . . . . . . . . . . . . . . . . . . . . . . . . . . . . . . . . . . . . . . . . . . . . . . . . . . . . . .</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357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304</w:t>
            </w:r>
          </w:p>
        </w:tc>
      </w:tr>
      <w:tr>
        <w:trPr>
          <w:trHeight w:val="30"/>
        </w:trPr>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684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(61)</w:t>
            </w: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(94)</w:t>
            </w:r>
          </w:p>
        </w:tc>
      </w:tr>
      <w:tr>
        <w:trPr>
          <w:trHeight w:val="70"/>
        </w:trPr>
        <w:tc>
          <w:tcPr>
            <w:tcW w:w="68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Approximately $300 million of the $326 million deferred tax asset relating to net operating losses at December 31, 2022 can be carried forward indefinitely. The vast majority of the remaining balance expires at various dates between 2030 and 2041.</w:t>
      </w:r>
    </w:p>
    <w:p>
      <w:pPr>
        <w:spacing w:after="0" w:line="25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deferred tax balances at December 31, 2022 and 2021 were net of valuation allowances relating to net operating losses in certain countries of $111 million and $133 million, respectively. Additionally, the deferred tax balances were net of valuation allowances relating to the following:</w:t>
      </w:r>
    </w:p>
    <w:p>
      <w:pPr>
        <w:spacing w:after="0" w:line="248"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(Stated in millions)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60"/>
              <w:spacing w:after="0"/>
              <w:rPr>
                <w:sz w:val="20"/>
                <w:szCs w:val="20"/>
                <w:color w:val="auto"/>
              </w:rPr>
            </w:pPr>
            <w:r>
              <w:rPr>
                <w:rFonts w:ascii="Arial" w:cs="Arial" w:eastAsia="Arial" w:hAnsi="Arial"/>
                <w:sz w:val="20"/>
                <w:szCs w:val="20"/>
                <w:b w:val="1"/>
                <w:bCs w:val="1"/>
                <w:color w:val="auto"/>
              </w:rPr>
              <w:t>2022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00"/>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28"/>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CCCC"/>
          </w:tcPr>
          <w:p>
            <w:pPr>
              <w:spacing w:after="0"/>
              <w:rPr>
                <w:sz w:val="20"/>
                <w:szCs w:val="20"/>
                <w:color w:val="auto"/>
              </w:rPr>
            </w:pPr>
            <w:r>
              <w:rPr>
                <w:rFonts w:ascii="Arial" w:cs="Arial" w:eastAsia="Arial" w:hAnsi="Arial"/>
                <w:sz w:val="20"/>
                <w:szCs w:val="20"/>
                <w:color w:val="auto"/>
                <w:w w:val="97"/>
              </w:rPr>
              <w:t>Foreign tax credits . . . . . . . . . . . . . . . . . . . . . . . . . . . . . . . . .</w:t>
            </w:r>
          </w:p>
        </w:tc>
        <w:tc>
          <w:tcPr>
            <w:tcW w:w="320" w:type="dxa"/>
            <w:vAlign w:val="bottom"/>
            <w:shd w:val="clear" w:color="auto" w:fill="CCCCCC"/>
          </w:tcPr>
          <w:p>
            <w:pPr>
              <w:ind w:left="20"/>
              <w:spacing w:after="0"/>
              <w:rPr>
                <w:sz w:val="20"/>
                <w:szCs w:val="20"/>
                <w:color w:val="auto"/>
              </w:rPr>
            </w:pPr>
            <w:r>
              <w:rPr>
                <w:rFonts w:ascii="Arial" w:cs="Arial" w:eastAsia="Arial" w:hAnsi="Arial"/>
                <w:sz w:val="20"/>
                <w:szCs w:val="20"/>
                <w:color w:val="auto"/>
              </w:rPr>
              <w:t>. . .</w:t>
            </w: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color w:val="auto"/>
                <w:w w:val="95"/>
              </w:rPr>
              <w:t>.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3"/>
              </w:rPr>
              <w:t>. .</w:t>
            </w:r>
          </w:p>
        </w:tc>
        <w:tc>
          <w:tcPr>
            <w:tcW w:w="280" w:type="dxa"/>
            <w:vAlign w:val="bottom"/>
            <w:shd w:val="clear" w:color="auto" w:fill="CCCCCC"/>
          </w:tcPr>
          <w:p>
            <w:pPr>
              <w:ind w:left="2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gridSpan w:val="3"/>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181</w:t>
            </w:r>
          </w:p>
        </w:tc>
        <w:tc>
          <w:tcPr>
            <w:tcW w:w="3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82"/>
        </w:trPr>
        <w:tc>
          <w:tcPr>
            <w:tcW w:w="5180" w:type="dxa"/>
            <w:vAlign w:val="bottom"/>
          </w:tcPr>
          <w:p>
            <w:pPr>
              <w:spacing w:after="0"/>
              <w:rPr>
                <w:sz w:val="20"/>
                <w:szCs w:val="20"/>
                <w:color w:val="auto"/>
              </w:rPr>
            </w:pPr>
            <w:r>
              <w:rPr>
                <w:rFonts w:ascii="Arial" w:cs="Arial" w:eastAsia="Arial" w:hAnsi="Arial"/>
                <w:sz w:val="20"/>
                <w:szCs w:val="20"/>
                <w:color w:val="auto"/>
                <w:w w:val="97"/>
              </w:rPr>
              <w:t>Capital losses  . . . . . . . . . . . . . . . . . . . . . . . . . . . . . . . . . . . .</w:t>
            </w:r>
          </w:p>
        </w:tc>
        <w:tc>
          <w:tcPr>
            <w:tcW w:w="320" w:type="dxa"/>
            <w:vAlign w:val="bottom"/>
          </w:tcPr>
          <w:p>
            <w:pPr>
              <w:ind w:left="20"/>
              <w:spacing w:after="0"/>
              <w:rPr>
                <w:sz w:val="20"/>
                <w:szCs w:val="20"/>
                <w:color w:val="auto"/>
              </w:rPr>
            </w:pPr>
            <w:r>
              <w:rPr>
                <w:rFonts w:ascii="Arial" w:cs="Arial" w:eastAsia="Arial" w:hAnsi="Arial"/>
                <w:sz w:val="20"/>
                <w:szCs w:val="20"/>
                <w:color w:val="auto"/>
              </w:rPr>
              <w:t>. . .</w:t>
            </w:r>
          </w:p>
        </w:tc>
        <w:tc>
          <w:tcPr>
            <w:tcW w:w="860" w:type="dxa"/>
            <w:vAlign w:val="bottom"/>
          </w:tcPr>
          <w:p>
            <w:pPr>
              <w:jc w:val="right"/>
              <w:spacing w:after="0"/>
              <w:rPr>
                <w:sz w:val="20"/>
                <w:szCs w:val="20"/>
                <w:color w:val="auto"/>
              </w:rPr>
            </w:pPr>
            <w:r>
              <w:rPr>
                <w:rFonts w:ascii="Arial" w:cs="Arial" w:eastAsia="Arial" w:hAnsi="Arial"/>
                <w:sz w:val="20"/>
                <w:szCs w:val="20"/>
                <w:color w:val="auto"/>
                <w:w w:val="95"/>
              </w:rPr>
              <w:t>. . . . . . . .</w:t>
            </w:r>
          </w:p>
        </w:tc>
        <w:tc>
          <w:tcPr>
            <w:tcW w:w="200" w:type="dxa"/>
            <w:vAlign w:val="bottom"/>
          </w:tcPr>
          <w:p>
            <w:pPr>
              <w:jc w:val="right"/>
              <w:spacing w:after="0"/>
              <w:rPr>
                <w:sz w:val="20"/>
                <w:szCs w:val="20"/>
                <w:color w:val="auto"/>
              </w:rPr>
            </w:pPr>
            <w:r>
              <w:rPr>
                <w:rFonts w:ascii="Arial" w:cs="Arial" w:eastAsia="Arial" w:hAnsi="Arial"/>
                <w:sz w:val="20"/>
                <w:szCs w:val="20"/>
                <w:color w:val="auto"/>
                <w:w w:val="83"/>
              </w:rPr>
              <w:t>. .</w:t>
            </w:r>
          </w:p>
        </w:tc>
        <w:tc>
          <w:tcPr>
            <w:tcW w:w="280" w:type="dxa"/>
            <w:vAlign w:val="bottom"/>
          </w:tcPr>
          <w:p>
            <w:pPr>
              <w:ind w:left="2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529"/>
        </w:trPr>
        <w:tc>
          <w:tcPr>
            <w:tcW w:w="5180" w:type="dxa"/>
            <w:vAlign w:val="bottom"/>
          </w:tcPr>
          <w:p>
            <w:pPr>
              <w:spacing w:after="0"/>
              <w:rPr>
                <w:sz w:val="20"/>
                <w:szCs w:val="20"/>
                <w:color w:val="auto"/>
              </w:rPr>
            </w:pPr>
            <w:r>
              <w:rPr>
                <w:rFonts w:ascii="Arial" w:cs="Arial" w:eastAsia="Arial" w:hAnsi="Arial"/>
                <w:sz w:val="20"/>
                <w:szCs w:val="20"/>
                <w:color w:val="auto"/>
                <w:w w:val="99"/>
              </w:rPr>
              <w:t xml:space="preserve">The components of </w:t>
            </w:r>
            <w:r>
              <w:rPr>
                <w:rFonts w:ascii="Arial" w:cs="Arial" w:eastAsia="Arial" w:hAnsi="Arial"/>
                <w:sz w:val="20"/>
                <w:szCs w:val="20"/>
                <w:i w:val="1"/>
                <w:iCs w:val="1"/>
                <w:color w:val="auto"/>
                <w:w w:val="99"/>
              </w:rPr>
              <w:t>Tax expense (benefit)</w:t>
            </w:r>
            <w:r>
              <w:rPr>
                <w:rFonts w:ascii="Arial" w:cs="Arial" w:eastAsia="Arial" w:hAnsi="Arial"/>
                <w:sz w:val="20"/>
                <w:szCs w:val="20"/>
                <w:color w:val="auto"/>
                <w:w w:val="99"/>
              </w:rPr>
              <w:t xml:space="preserve"> were as follows: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470"/>
        </w:trPr>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26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20"/>
                <w:szCs w:val="20"/>
                <w:color w:val="auto"/>
              </w:rPr>
              <w:t>2021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60"/>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28"/>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CCCC"/>
          </w:tcPr>
          <w:p>
            <w:pPr>
              <w:spacing w:after="0"/>
              <w:rPr>
                <w:sz w:val="20"/>
                <w:szCs w:val="20"/>
                <w:color w:val="auto"/>
              </w:rPr>
            </w:pPr>
            <w:r>
              <w:rPr>
                <w:rFonts w:ascii="Arial" w:cs="Arial" w:eastAsia="Arial" w:hAnsi="Arial"/>
                <w:sz w:val="20"/>
                <w:szCs w:val="20"/>
                <w:color w:val="auto"/>
              </w:rPr>
              <w:t>Current:</w:t>
            </w:r>
          </w:p>
        </w:tc>
        <w:tc>
          <w:tcPr>
            <w:tcW w:w="320" w:type="dxa"/>
            <w:vAlign w:val="bottom"/>
            <w:shd w:val="clear" w:color="auto" w:fill="CCCCCC"/>
          </w:tcPr>
          <w:p>
            <w:pPr>
              <w:spacing w:after="0"/>
              <w:rPr>
                <w:sz w:val="23"/>
                <w:szCs w:val="23"/>
                <w:color w:val="auto"/>
              </w:rPr>
            </w:pPr>
          </w:p>
        </w:tc>
        <w:tc>
          <w:tcPr>
            <w:tcW w:w="86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28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700" w:type="dxa"/>
            <w:vAlign w:val="bottom"/>
            <w:shd w:val="clear" w:color="auto" w:fill="CCCCCC"/>
          </w:tcPr>
          <w:p>
            <w:pPr>
              <w:spacing w:after="0"/>
              <w:rPr>
                <w:sz w:val="23"/>
                <w:szCs w:val="23"/>
                <w:color w:val="auto"/>
              </w:rPr>
            </w:pPr>
          </w:p>
        </w:tc>
        <w:tc>
          <w:tcPr>
            <w:tcW w:w="14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c>
          <w:tcPr>
            <w:tcW w:w="14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88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Arial" w:cs="Arial" w:eastAsia="Arial" w:hAnsi="Arial"/>
                <w:sz w:val="20"/>
                <w:szCs w:val="20"/>
                <w:color w:val="auto"/>
              </w:rPr>
              <w:t>United States-Federal . . . . . . . . . . . . . . . . . . . . . . . . . . . .</w:t>
            </w:r>
          </w:p>
        </w:tc>
        <w:tc>
          <w:tcPr>
            <w:tcW w:w="32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w:t>
            </w:r>
          </w:p>
        </w:tc>
        <w:tc>
          <w:tcPr>
            <w:tcW w:w="2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0"/>
        </w:trPr>
        <w:tc>
          <w:tcPr>
            <w:tcW w:w="5180" w:type="dxa"/>
            <w:vAlign w:val="bottom"/>
            <w:shd w:val="clear" w:color="auto" w:fill="CCCCCC"/>
          </w:tcPr>
          <w:p>
            <w:pPr>
              <w:spacing w:after="0"/>
              <w:rPr>
                <w:sz w:val="20"/>
                <w:szCs w:val="20"/>
                <w:color w:val="auto"/>
              </w:rPr>
            </w:pPr>
            <w:r>
              <w:rPr>
                <w:rFonts w:ascii="Arial" w:cs="Arial" w:eastAsia="Arial" w:hAnsi="Arial"/>
                <w:sz w:val="20"/>
                <w:szCs w:val="20"/>
                <w:color w:val="auto"/>
              </w:rPr>
              <w:t>United States-State . . . . . . . . . . . . . . . . . . . . . . . . . . . . . .</w:t>
            </w:r>
          </w:p>
        </w:tc>
        <w:tc>
          <w:tcPr>
            <w:tcW w:w="320" w:type="dxa"/>
            <w:vAlign w:val="bottom"/>
            <w:shd w:val="clear" w:color="auto" w:fill="CCCCCC"/>
          </w:tcPr>
          <w:p>
            <w:pPr>
              <w:spacing w:after="0"/>
              <w:rPr>
                <w:sz w:val="24"/>
                <w:szCs w:val="24"/>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Arial" w:cs="Arial" w:eastAsia="Arial" w:hAnsi="Arial"/>
                <w:sz w:val="20"/>
                <w:szCs w:val="20"/>
                <w:color w:val="auto"/>
              </w:rPr>
              <w:t>Outside United States . . . . . . . . . . . . . . . . . . . . . . . . . . . .</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813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509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410</w:t>
            </w:r>
          </w:p>
        </w:tc>
        <w:tc>
          <w:tcPr>
            <w:tcW w:w="0" w:type="dxa"/>
            <w:vAlign w:val="bottom"/>
          </w:tcPr>
          <w:p>
            <w:pPr>
              <w:spacing w:after="0"/>
              <w:rPr>
                <w:sz w:val="1"/>
                <w:szCs w:val="1"/>
                <w:color w:val="auto"/>
              </w:rPr>
            </w:pPr>
          </w:p>
        </w:tc>
      </w:tr>
      <w:tr>
        <w:trPr>
          <w:trHeight w:val="280"/>
        </w:trPr>
        <w:tc>
          <w:tcPr>
            <w:tcW w:w="5180" w:type="dxa"/>
            <w:vAlign w:val="bottom"/>
            <w:shd w:val="clear" w:color="auto" w:fill="CCCCCC"/>
          </w:tcPr>
          <w:p>
            <w:pPr>
              <w:spacing w:after="0"/>
              <w:rPr>
                <w:sz w:val="24"/>
                <w:szCs w:val="24"/>
                <w:color w:val="auto"/>
              </w:rPr>
            </w:pPr>
          </w:p>
        </w:tc>
        <w:tc>
          <w:tcPr>
            <w:tcW w:w="320" w:type="dxa"/>
            <w:vAlign w:val="bottom"/>
            <w:shd w:val="clear" w:color="auto" w:fill="CCCCCC"/>
          </w:tcPr>
          <w:p>
            <w:pPr>
              <w:spacing w:after="0"/>
              <w:rPr>
                <w:sz w:val="24"/>
                <w:szCs w:val="24"/>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818</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4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477</w:t>
            </w:r>
          </w:p>
        </w:tc>
        <w:tc>
          <w:tcPr>
            <w:tcW w:w="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436</w:t>
            </w:r>
          </w:p>
        </w:tc>
        <w:tc>
          <w:tcPr>
            <w:tcW w:w="0" w:type="dxa"/>
            <w:vAlign w:val="bottom"/>
          </w:tcPr>
          <w:p>
            <w:pPr>
              <w:spacing w:after="0"/>
              <w:rPr>
                <w:sz w:val="1"/>
                <w:szCs w:val="1"/>
                <w:color w:val="auto"/>
              </w:rPr>
            </w:pPr>
          </w:p>
        </w:tc>
      </w:tr>
      <w:tr>
        <w:trPr>
          <w:trHeight w:val="70"/>
        </w:trPr>
        <w:tc>
          <w:tcPr>
            <w:tcW w:w="5180" w:type="dxa"/>
            <w:vAlign w:val="bottom"/>
            <w:vMerge w:val="restart"/>
          </w:tcPr>
          <w:p>
            <w:pPr>
              <w:spacing w:after="0"/>
              <w:rPr>
                <w:sz w:val="20"/>
                <w:szCs w:val="20"/>
                <w:color w:val="auto"/>
              </w:rPr>
            </w:pPr>
            <w:r>
              <w:rPr>
                <w:rFonts w:ascii="Arial" w:cs="Arial" w:eastAsia="Arial" w:hAnsi="Arial"/>
                <w:sz w:val="20"/>
                <w:szCs w:val="20"/>
                <w:color w:val="auto"/>
              </w:rPr>
              <w:t>Deferred:</w:t>
            </w: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8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180" w:type="dxa"/>
            <w:vAlign w:val="bottom"/>
            <w:shd w:val="clear" w:color="auto" w:fill="CCCCCC"/>
          </w:tcPr>
          <w:p>
            <w:pPr>
              <w:spacing w:after="0"/>
              <w:rPr>
                <w:sz w:val="20"/>
                <w:szCs w:val="20"/>
                <w:color w:val="auto"/>
              </w:rPr>
            </w:pPr>
            <w:r>
              <w:rPr>
                <w:rFonts w:ascii="Arial" w:cs="Arial" w:eastAsia="Arial" w:hAnsi="Arial"/>
                <w:sz w:val="20"/>
                <w:szCs w:val="20"/>
                <w:color w:val="auto"/>
              </w:rPr>
              <w:t>United States-Federal . . . . . . . . . . . . . . . . . . . . . . . . . . . .</w:t>
            </w:r>
          </w:p>
        </w:tc>
        <w:tc>
          <w:tcPr>
            <w:tcW w:w="320" w:type="dxa"/>
            <w:vAlign w:val="bottom"/>
            <w:shd w:val="clear" w:color="auto" w:fill="CCCCCC"/>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98</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(132)</w:t>
            </w:r>
          </w:p>
        </w:tc>
        <w:tc>
          <w:tcPr>
            <w:tcW w:w="14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shd w:val="clear" w:color="auto" w:fill="CCCCCC"/>
          </w:tcPr>
          <w:p>
            <w:pPr>
              <w:spacing w:after="0"/>
              <w:rPr>
                <w:sz w:val="24"/>
                <w:szCs w:val="24"/>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(824)</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Arial" w:cs="Arial" w:eastAsia="Arial" w:hAnsi="Arial"/>
                <w:sz w:val="20"/>
                <w:szCs w:val="20"/>
                <w:color w:val="auto"/>
              </w:rPr>
              <w:t>United States-State . . . . . . . . . . . . . . . . . . . . . . . . . . . . . .</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80"/>
        </w:trPr>
        <w:tc>
          <w:tcPr>
            <w:tcW w:w="5180" w:type="dxa"/>
            <w:vAlign w:val="bottom"/>
            <w:shd w:val="clear" w:color="auto" w:fill="CCCCCC"/>
          </w:tcPr>
          <w:p>
            <w:pPr>
              <w:spacing w:after="0"/>
              <w:rPr>
                <w:sz w:val="20"/>
                <w:szCs w:val="20"/>
                <w:color w:val="auto"/>
              </w:rPr>
            </w:pPr>
            <w:r>
              <w:rPr>
                <w:rFonts w:ascii="Arial" w:cs="Arial" w:eastAsia="Arial" w:hAnsi="Arial"/>
                <w:sz w:val="20"/>
                <w:szCs w:val="20"/>
                <w:color w:val="auto"/>
              </w:rPr>
              <w:t>Outside United States . . . . . . . . . . . . . . . . . . . . . . . . . . . .</w:t>
            </w:r>
          </w:p>
        </w:tc>
        <w:tc>
          <w:tcPr>
            <w:tcW w:w="320" w:type="dxa"/>
            <w:vAlign w:val="bottom"/>
            <w:shd w:val="clear" w:color="auto" w:fill="CCCCCC"/>
          </w:tcPr>
          <w:p>
            <w:pPr>
              <w:spacing w:after="0"/>
              <w:rPr>
                <w:sz w:val="24"/>
                <w:szCs w:val="24"/>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(70)</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(15)</w:t>
            </w:r>
          </w:p>
        </w:tc>
        <w:tc>
          <w:tcPr>
            <w:tcW w:w="14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(563)</w:t>
            </w:r>
          </w:p>
        </w:tc>
        <w:tc>
          <w:tcPr>
            <w:tcW w:w="0" w:type="dxa"/>
            <w:vAlign w:val="bottom"/>
          </w:tcPr>
          <w:p>
            <w:pPr>
              <w:spacing w:after="0"/>
              <w:rPr>
                <w:sz w:val="1"/>
                <w:szCs w:val="1"/>
                <w:color w:val="auto"/>
              </w:rPr>
            </w:pPr>
          </w:p>
        </w:tc>
      </w:tr>
      <w:tr>
        <w:trPr>
          <w:trHeight w:val="280"/>
        </w:trPr>
        <w:tc>
          <w:tcPr>
            <w:tcW w:w="5180" w:type="dxa"/>
            <w:vAlign w:val="bottom"/>
          </w:tcPr>
          <w:p>
            <w:pPr>
              <w:spacing w:after="0"/>
              <w:rPr>
                <w:sz w:val="20"/>
                <w:szCs w:val="20"/>
                <w:color w:val="auto"/>
              </w:rPr>
            </w:pPr>
            <w:r>
              <w:rPr>
                <w:rFonts w:ascii="Arial" w:cs="Arial" w:eastAsia="Arial" w:hAnsi="Arial"/>
                <w:sz w:val="20"/>
                <w:szCs w:val="20"/>
                <w:color w:val="auto"/>
              </w:rPr>
              <w:t>Valuation allowance . . . . . . . . . . . . . . . . . . . . . . . . . . . . . .</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(80)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206</w:t>
            </w:r>
          </w:p>
        </w:tc>
        <w:tc>
          <w:tcPr>
            <w:tcW w:w="0" w:type="dxa"/>
            <w:vAlign w:val="bottom"/>
          </w:tcPr>
          <w:p>
            <w:pPr>
              <w:spacing w:after="0"/>
              <w:rPr>
                <w:sz w:val="1"/>
                <w:szCs w:val="1"/>
                <w:color w:val="auto"/>
              </w:rPr>
            </w:pPr>
          </w:p>
        </w:tc>
      </w:tr>
      <w:tr>
        <w:trPr>
          <w:trHeight w:val="280"/>
        </w:trPr>
        <w:tc>
          <w:tcPr>
            <w:tcW w:w="5180" w:type="dxa"/>
            <w:vAlign w:val="bottom"/>
            <w:shd w:val="clear" w:color="auto" w:fill="CCCCCC"/>
          </w:tcPr>
          <w:p>
            <w:pPr>
              <w:spacing w:after="0"/>
              <w:rPr>
                <w:sz w:val="24"/>
                <w:szCs w:val="24"/>
                <w:color w:val="auto"/>
              </w:rPr>
            </w:pPr>
          </w:p>
        </w:tc>
        <w:tc>
          <w:tcPr>
            <w:tcW w:w="320" w:type="dxa"/>
            <w:vAlign w:val="bottom"/>
            <w:shd w:val="clear" w:color="auto" w:fill="CCCCCC"/>
          </w:tcPr>
          <w:p>
            <w:pPr>
              <w:spacing w:after="0"/>
              <w:rPr>
                <w:sz w:val="24"/>
                <w:szCs w:val="24"/>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(39)</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(31)</w:t>
            </w:r>
          </w:p>
        </w:tc>
        <w:tc>
          <w:tcPr>
            <w:tcW w:w="14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(1,248)</w:t>
            </w:r>
          </w:p>
        </w:tc>
        <w:tc>
          <w:tcPr>
            <w:tcW w:w="0" w:type="dxa"/>
            <w:vAlign w:val="bottom"/>
          </w:tcPr>
          <w:p>
            <w:pPr>
              <w:spacing w:after="0"/>
              <w:rPr>
                <w:sz w:val="1"/>
                <w:szCs w:val="1"/>
                <w:color w:val="auto"/>
              </w:rPr>
            </w:pPr>
          </w:p>
        </w:tc>
      </w:tr>
      <w:tr>
        <w:trPr>
          <w:trHeight w:val="70"/>
        </w:trPr>
        <w:tc>
          <w:tcPr>
            <w:tcW w:w="51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518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779</w:t>
            </w:r>
          </w:p>
        </w:tc>
        <w:tc>
          <w:tcPr>
            <w:tcW w:w="20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446</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(812)</w:t>
            </w:r>
          </w:p>
        </w:tc>
        <w:tc>
          <w:tcPr>
            <w:tcW w:w="0" w:type="dxa"/>
            <w:vAlign w:val="bottom"/>
          </w:tcPr>
          <w:p>
            <w:pPr>
              <w:spacing w:after="0"/>
              <w:rPr>
                <w:sz w:val="1"/>
                <w:szCs w:val="1"/>
                <w:color w:val="auto"/>
              </w:rPr>
            </w:pPr>
          </w:p>
        </w:tc>
      </w:tr>
      <w:tr>
        <w:trPr>
          <w:trHeight w:val="28"/>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9360"/>
          </w:cols>
          <w:pgMar w:left="1440" w:top="1440" w:right="1440" w:bottom="836" w:gutter="0" w:footer="0" w:header="0"/>
          <w:type w:val="continuous"/>
        </w:sectPr>
      </w:pPr>
    </w:p>
    <w:bookmarkStart w:id="84" w:name="page85"/>
    <w:bookmarkEnd w:id="84"/>
    <w:p>
      <w:pPr>
        <w:spacing w:after="0" w:line="5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A reconciliation of the United States statutory federal tax rate to the consolidated effective tax rate follows: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1060" w:type="dxa"/>
            <w:vAlign w:val="bottom"/>
          </w:tcPr>
          <w:p>
            <w:pPr>
              <w:jc w:val="right"/>
              <w:ind w:right="200"/>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ind w:right="200"/>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2020</w:t>
            </w:r>
          </w:p>
        </w:tc>
      </w:tr>
      <w:tr>
        <w:trPr>
          <w:trHeight w:val="28"/>
        </w:trPr>
        <w:tc>
          <w:tcPr>
            <w:tcW w:w="5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5780" w:type="dxa"/>
            <w:vAlign w:val="bottom"/>
            <w:shd w:val="clear" w:color="auto" w:fill="CCCCCC"/>
          </w:tcPr>
          <w:p>
            <w:pPr>
              <w:spacing w:after="0"/>
              <w:rPr>
                <w:sz w:val="20"/>
                <w:szCs w:val="20"/>
                <w:color w:val="auto"/>
              </w:rPr>
            </w:pPr>
            <w:r>
              <w:rPr>
                <w:rFonts w:ascii="Arial" w:cs="Arial" w:eastAsia="Arial" w:hAnsi="Arial"/>
                <w:sz w:val="20"/>
                <w:szCs w:val="20"/>
                <w:color w:val="auto"/>
                <w:w w:val="98"/>
              </w:rPr>
              <w:t>US federal statutory rate . . . . . . . . . . . . . . . . . . . . . . . . . . . . . . . . .</w:t>
            </w: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21%</w:t>
            </w:r>
          </w:p>
        </w:tc>
        <w:tc>
          <w:tcPr>
            <w:tcW w:w="80" w:type="dxa"/>
            <w:vAlign w:val="bottom"/>
            <w:shd w:val="clear" w:color="auto" w:fill="CCCCCC"/>
          </w:tcPr>
          <w:p>
            <w:pPr>
              <w:spacing w:after="0"/>
              <w:rPr>
                <w:sz w:val="23"/>
                <w:szCs w:val="23"/>
                <w:color w:val="auto"/>
              </w:rPr>
            </w:pPr>
          </w:p>
        </w:tc>
        <w:tc>
          <w:tcPr>
            <w:tcW w:w="20" w:type="dxa"/>
            <w:vAlign w:val="bottom"/>
            <w:shd w:val="clear" w:color="auto" w:fill="CCCCCC"/>
          </w:tcPr>
          <w:p>
            <w:pPr>
              <w:spacing w:after="0"/>
              <w:rPr>
                <w:sz w:val="23"/>
                <w:szCs w:val="23"/>
                <w:color w:val="auto"/>
              </w:rPr>
            </w:pPr>
          </w:p>
        </w:tc>
        <w:tc>
          <w:tcPr>
            <w:tcW w:w="114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21%</w:t>
            </w:r>
          </w:p>
        </w:tc>
        <w:tc>
          <w:tcPr>
            <w:tcW w:w="104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21%</w:t>
            </w:r>
          </w:p>
        </w:tc>
      </w:tr>
      <w:tr>
        <w:trPr>
          <w:trHeight w:val="280"/>
        </w:trPr>
        <w:tc>
          <w:tcPr>
            <w:tcW w:w="5780" w:type="dxa"/>
            <w:vAlign w:val="bottom"/>
          </w:tcPr>
          <w:p>
            <w:pPr>
              <w:spacing w:after="0"/>
              <w:rPr>
                <w:sz w:val="20"/>
                <w:szCs w:val="20"/>
                <w:color w:val="auto"/>
              </w:rPr>
            </w:pPr>
            <w:r>
              <w:rPr>
                <w:rFonts w:ascii="Arial" w:cs="Arial" w:eastAsia="Arial" w:hAnsi="Arial"/>
                <w:sz w:val="20"/>
                <w:szCs w:val="20"/>
                <w:color w:val="auto"/>
              </w:rPr>
              <w:t>Charges and credits (See Note 3) . . . . . . . . . . . . . . . . . . . . . . . . .</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ind w:left="740"/>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0"/>
        </w:trPr>
        <w:tc>
          <w:tcPr>
            <w:tcW w:w="5780" w:type="dxa"/>
            <w:vAlign w:val="bottom"/>
            <w:shd w:val="clear" w:color="auto" w:fill="CCCCCC"/>
          </w:tcPr>
          <w:p>
            <w:pPr>
              <w:spacing w:after="0"/>
              <w:rPr>
                <w:sz w:val="20"/>
                <w:szCs w:val="20"/>
                <w:color w:val="auto"/>
              </w:rPr>
            </w:pPr>
            <w:r>
              <w:rPr>
                <w:rFonts w:ascii="Arial" w:cs="Arial" w:eastAsia="Arial" w:hAnsi="Arial"/>
                <w:sz w:val="20"/>
                <w:szCs w:val="20"/>
                <w:color w:val="auto"/>
                <w:w w:val="97"/>
              </w:rPr>
              <w:t>Other  . . . . . . . . . . . . . . . . . . . . . . . . . . . . . . . . . . . . . . . . . . . . . . . .</w:t>
            </w: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w:t>
            </w:r>
          </w:p>
        </w:tc>
        <w:tc>
          <w:tcPr>
            <w:tcW w:w="8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70"/>
        </w:trPr>
        <w:tc>
          <w:tcPr>
            <w:tcW w:w="578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72"/>
        </w:trPr>
        <w:tc>
          <w:tcPr>
            <w:tcW w:w="57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19%</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
        </w:trPr>
        <w:tc>
          <w:tcPr>
            <w:tcW w:w="5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 number of the jurisdictions in which SLB operates have tax laws that are not fully defined and are evolving. SLB’s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215"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A reconciliation of the beginning and ending amount of liabilities associated with uncertain tax positions is as follows: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5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w:cs="Arial" w:eastAsia="Arial" w:hAnsi="Arial"/>
                <w:sz w:val="20"/>
                <w:szCs w:val="20"/>
                <w:b w:val="1"/>
                <w:bCs w:val="1"/>
                <w:color w:val="auto"/>
              </w:rPr>
              <w:t>2022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02"/>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w:cs="Arial" w:eastAsia="Arial" w:hAnsi="Arial"/>
                <w:sz w:val="20"/>
                <w:szCs w:val="20"/>
                <w:color w:val="auto"/>
              </w:rPr>
              <w:t>2020</w:t>
            </w:r>
          </w:p>
        </w:tc>
      </w:tr>
      <w:tr>
        <w:trPr>
          <w:trHeight w:val="28"/>
        </w:trPr>
        <w:tc>
          <w:tcPr>
            <w:tcW w:w="5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5780" w:type="dxa"/>
            <w:vAlign w:val="bottom"/>
            <w:shd w:val="clear" w:color="auto" w:fill="CCCCCC"/>
          </w:tcPr>
          <w:p>
            <w:pPr>
              <w:spacing w:after="0"/>
              <w:rPr>
                <w:sz w:val="20"/>
                <w:szCs w:val="20"/>
                <w:color w:val="auto"/>
              </w:rPr>
            </w:pPr>
            <w:r>
              <w:rPr>
                <w:rFonts w:ascii="Arial" w:cs="Arial" w:eastAsia="Arial" w:hAnsi="Arial"/>
                <w:sz w:val="20"/>
                <w:szCs w:val="20"/>
                <w:color w:val="auto"/>
                <w:w w:val="99"/>
              </w:rPr>
              <w:t>Balance at beginning of year . . . . . . . . . . . . . . . . . . . . . . . . . . . . .</w:t>
            </w:r>
          </w:p>
        </w:tc>
        <w:tc>
          <w:tcPr>
            <w:tcW w:w="2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1,001</w:t>
            </w:r>
          </w:p>
        </w:tc>
        <w:tc>
          <w:tcPr>
            <w:tcW w:w="12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1,271</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1,301</w:t>
            </w:r>
          </w:p>
        </w:tc>
      </w:tr>
      <w:tr>
        <w:trPr>
          <w:trHeight w:val="280"/>
        </w:trPr>
        <w:tc>
          <w:tcPr>
            <w:tcW w:w="5780" w:type="dxa"/>
            <w:vAlign w:val="bottom"/>
          </w:tcPr>
          <w:p>
            <w:pPr>
              <w:spacing w:after="0"/>
              <w:rPr>
                <w:sz w:val="20"/>
                <w:szCs w:val="20"/>
                <w:color w:val="auto"/>
              </w:rPr>
            </w:pPr>
            <w:r>
              <w:rPr>
                <w:rFonts w:ascii="Arial" w:cs="Arial" w:eastAsia="Arial" w:hAnsi="Arial"/>
                <w:sz w:val="20"/>
                <w:szCs w:val="20"/>
                <w:color w:val="auto"/>
              </w:rPr>
              <w:t>Additions based on tax positions related to the current year . . . .</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38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0"/>
        </w:trPr>
        <w:tc>
          <w:tcPr>
            <w:tcW w:w="5780" w:type="dxa"/>
            <w:vAlign w:val="bottom"/>
            <w:shd w:val="clear" w:color="auto" w:fill="CCCCCC"/>
          </w:tcPr>
          <w:p>
            <w:pPr>
              <w:spacing w:after="0"/>
              <w:rPr>
                <w:sz w:val="20"/>
                <w:szCs w:val="20"/>
                <w:color w:val="auto"/>
              </w:rPr>
            </w:pPr>
            <w:r>
              <w:rPr>
                <w:rFonts w:ascii="Arial" w:cs="Arial" w:eastAsia="Arial" w:hAnsi="Arial"/>
                <w:sz w:val="20"/>
                <w:szCs w:val="20"/>
                <w:color w:val="auto"/>
              </w:rPr>
              <w:t>Additions for tax positions of prior years . . . . . . . . . . . . . . . . . . . .</w:t>
            </w:r>
          </w:p>
        </w:tc>
        <w:tc>
          <w:tcPr>
            <w:tcW w:w="22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64</w:t>
            </w:r>
          </w:p>
        </w:tc>
        <w:tc>
          <w:tcPr>
            <w:tcW w:w="1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19</w:t>
            </w: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78</w:t>
            </w:r>
          </w:p>
        </w:tc>
      </w:tr>
      <w:tr>
        <w:trPr>
          <w:trHeight w:val="280"/>
        </w:trPr>
        <w:tc>
          <w:tcPr>
            <w:tcW w:w="5780" w:type="dxa"/>
            <w:vAlign w:val="bottom"/>
          </w:tcPr>
          <w:p>
            <w:pPr>
              <w:spacing w:after="0"/>
              <w:rPr>
                <w:sz w:val="20"/>
                <w:szCs w:val="20"/>
                <w:color w:val="auto"/>
              </w:rPr>
            </w:pPr>
            <w:r>
              <w:rPr>
                <w:rFonts w:ascii="Arial" w:cs="Arial" w:eastAsia="Arial" w:hAnsi="Arial"/>
                <w:sz w:val="20"/>
                <w:szCs w:val="20"/>
                <w:color w:val="auto"/>
                <w:w w:val="99"/>
              </w:rPr>
              <w:t>Impact of changes in exchange rates  . . . . . . . . . . . . . . . . . . . . . .</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0"/>
        </w:trPr>
        <w:tc>
          <w:tcPr>
            <w:tcW w:w="5780" w:type="dxa"/>
            <w:vAlign w:val="bottom"/>
            <w:shd w:val="clear" w:color="auto" w:fill="CCCCCC"/>
          </w:tcPr>
          <w:p>
            <w:pPr>
              <w:spacing w:after="0"/>
              <w:rPr>
                <w:sz w:val="20"/>
                <w:szCs w:val="20"/>
                <w:color w:val="auto"/>
              </w:rPr>
            </w:pPr>
            <w:r>
              <w:rPr>
                <w:rFonts w:ascii="Arial" w:cs="Arial" w:eastAsia="Arial" w:hAnsi="Arial"/>
                <w:sz w:val="20"/>
                <w:szCs w:val="20"/>
                <w:color w:val="auto"/>
                <w:w w:val="99"/>
              </w:rPr>
              <w:t>Settlements with tax authorities . . . . . . . . . . . . . . . . . . . . . . . . . . .</w:t>
            </w:r>
          </w:p>
        </w:tc>
        <w:tc>
          <w:tcPr>
            <w:tcW w:w="22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(37)</w:t>
            </w:r>
          </w:p>
        </w:tc>
        <w:tc>
          <w:tcPr>
            <w:tcW w:w="1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(49)</w:t>
            </w:r>
          </w:p>
        </w:tc>
        <w:tc>
          <w:tcPr>
            <w:tcW w:w="1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(15)</w:t>
            </w:r>
          </w:p>
        </w:tc>
      </w:tr>
      <w:tr>
        <w:trPr>
          <w:trHeight w:val="280"/>
        </w:trPr>
        <w:tc>
          <w:tcPr>
            <w:tcW w:w="5780" w:type="dxa"/>
            <w:vAlign w:val="bottom"/>
          </w:tcPr>
          <w:p>
            <w:pPr>
              <w:spacing w:after="0"/>
              <w:rPr>
                <w:sz w:val="20"/>
                <w:szCs w:val="20"/>
                <w:color w:val="auto"/>
              </w:rPr>
            </w:pPr>
            <w:r>
              <w:rPr>
                <w:rFonts w:ascii="Arial" w:cs="Arial" w:eastAsia="Arial" w:hAnsi="Arial"/>
                <w:sz w:val="20"/>
                <w:szCs w:val="20"/>
                <w:color w:val="auto"/>
              </w:rPr>
              <w:t>Reductions for tax positions of prior years  . . . . . . . . . . . . . . . . . .</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0"/>
        </w:trPr>
        <w:tc>
          <w:tcPr>
            <w:tcW w:w="5780" w:type="dxa"/>
            <w:vAlign w:val="bottom"/>
            <w:shd w:val="clear" w:color="auto" w:fill="CCCCCC"/>
          </w:tcPr>
          <w:p>
            <w:pPr>
              <w:spacing w:after="0"/>
              <w:rPr>
                <w:sz w:val="20"/>
                <w:szCs w:val="20"/>
                <w:color w:val="auto"/>
              </w:rPr>
            </w:pPr>
            <w:r>
              <w:rPr>
                <w:rFonts w:ascii="Arial" w:cs="Arial" w:eastAsia="Arial" w:hAnsi="Arial"/>
                <w:sz w:val="20"/>
                <w:szCs w:val="20"/>
                <w:color w:val="auto"/>
              </w:rPr>
              <w:t>Reductions due to the lapse of statute of limitations  . . . . . . . . . .</w:t>
            </w:r>
          </w:p>
        </w:tc>
        <w:tc>
          <w:tcPr>
            <w:tcW w:w="22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(44)</w:t>
            </w:r>
          </w:p>
        </w:tc>
        <w:tc>
          <w:tcPr>
            <w:tcW w:w="1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(26)</w:t>
            </w:r>
          </w:p>
        </w:tc>
        <w:tc>
          <w:tcPr>
            <w:tcW w:w="1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(79)</w:t>
            </w:r>
          </w:p>
        </w:tc>
      </w:tr>
      <w:tr>
        <w:trPr>
          <w:trHeight w:val="70"/>
        </w:trPr>
        <w:tc>
          <w:tcPr>
            <w:tcW w:w="57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72"/>
        </w:trPr>
        <w:tc>
          <w:tcPr>
            <w:tcW w:w="57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893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1,001</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1,271</w:t>
            </w:r>
          </w:p>
        </w:tc>
      </w:tr>
      <w:tr>
        <w:trPr>
          <w:trHeight w:val="28"/>
        </w:trPr>
        <w:tc>
          <w:tcPr>
            <w:tcW w:w="5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 xml:space="preserve">The amounts above exclude accrued interest and penalties of $155 million, $164 million and $184 million at December 31, 2022, 2021 and 2020, respectively. SLB classifies interest and penalties relating to uncertain tax positions within </w:t>
      </w:r>
      <w:r>
        <w:rPr>
          <w:rFonts w:ascii="Arial" w:cs="Arial" w:eastAsia="Arial" w:hAnsi="Arial"/>
          <w:sz w:val="20"/>
          <w:szCs w:val="20"/>
          <w:i w:val="1"/>
          <w:iCs w:val="1"/>
          <w:color w:val="auto"/>
        </w:rPr>
        <w:t>Tax expense (benefit)</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 Statement of</w:t>
      </w:r>
      <w:r>
        <w:rPr>
          <w:rFonts w:ascii="Arial" w:cs="Arial" w:eastAsia="Arial" w:hAnsi="Arial"/>
          <w:sz w:val="20"/>
          <w:szCs w:val="20"/>
          <w:color w:val="auto"/>
        </w:rPr>
        <w:t xml:space="preserve"> </w:t>
      </w:r>
      <w:r>
        <w:rPr>
          <w:rFonts w:ascii="Arial" w:cs="Arial" w:eastAsia="Arial" w:hAnsi="Arial"/>
          <w:sz w:val="20"/>
          <w:szCs w:val="20"/>
          <w:i w:val="1"/>
          <w:iCs w:val="1"/>
          <w:color w:val="auto"/>
        </w:rPr>
        <w:t>Income (Loss)</w:t>
      </w:r>
      <w:r>
        <w:rPr>
          <w:rFonts w:ascii="Arial" w:cs="Arial" w:eastAsia="Arial" w:hAnsi="Arial"/>
          <w:sz w:val="20"/>
          <w:szCs w:val="20"/>
          <w:color w:val="auto"/>
        </w:rPr>
        <w:t>.</w:t>
      </w:r>
    </w:p>
    <w:p>
      <w:pPr>
        <w:spacing w:after="0" w:line="21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following table summarizes the tax years that are either currently under audit or remain open and subject to examination by the tax authorities in the most significant jurisdictions in which SLB operates:</w:t>
      </w:r>
    </w:p>
    <w:p>
      <w:pPr>
        <w:spacing w:after="0" w:line="211"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highlight w:val="lightGray"/>
        </w:rPr>
        <w:t>Canada  . . . . . . . . . . . . . . . . . . . . . . . . . . . . . . . . . . . . . . . . . . . . .</w:t>
      </w:r>
      <w:r>
        <w:rPr>
          <w:sz w:val="20"/>
          <w:szCs w:val="20"/>
          <w:color w:val="auto"/>
        </w:rPr>
        <w:tab/>
      </w:r>
      <w:r>
        <w:rPr>
          <w:rFonts w:ascii="Arial" w:cs="Arial" w:eastAsia="Arial" w:hAnsi="Arial"/>
          <w:sz w:val="19"/>
          <w:szCs w:val="19"/>
          <w:color w:val="auto"/>
          <w:highlight w:val="lightGray"/>
        </w:rPr>
        <w:t>2014 - 2022</w:t>
      </w:r>
    </w:p>
    <w:p>
      <w:pPr>
        <w:spacing w:after="0" w:line="50"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rPr>
        <w:t>Ecuador . . . . . . . . . . . . . . . . . . . . . . . . . . . . . . . . . . . . . . . . . . . . .</w:t>
      </w:r>
      <w:r>
        <w:rPr>
          <w:sz w:val="20"/>
          <w:szCs w:val="20"/>
          <w:color w:val="auto"/>
        </w:rPr>
        <w:tab/>
      </w:r>
      <w:r>
        <w:rPr>
          <w:rFonts w:ascii="Arial" w:cs="Arial" w:eastAsia="Arial" w:hAnsi="Arial"/>
          <w:sz w:val="19"/>
          <w:szCs w:val="19"/>
          <w:color w:val="auto"/>
        </w:rPr>
        <w:t>2018 - 2022</w:t>
      </w:r>
    </w:p>
    <w:p>
      <w:pPr>
        <w:spacing w:after="0" w:line="50"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highlight w:val="lightGray"/>
        </w:rPr>
        <w:t>Mexico . . . . . . . . . . . . . . . . . . . . . . . . . . . . . . . . . . . . . . . . . . . . . .</w:t>
      </w:r>
      <w:r>
        <w:rPr>
          <w:sz w:val="20"/>
          <w:szCs w:val="20"/>
          <w:color w:val="auto"/>
        </w:rPr>
        <w:tab/>
      </w:r>
      <w:r>
        <w:rPr>
          <w:rFonts w:ascii="Arial" w:cs="Arial" w:eastAsia="Arial" w:hAnsi="Arial"/>
          <w:sz w:val="19"/>
          <w:szCs w:val="19"/>
          <w:color w:val="auto"/>
          <w:highlight w:val="lightGray"/>
        </w:rPr>
        <w:t>2013 - 2022</w:t>
      </w:r>
    </w:p>
    <w:p>
      <w:pPr>
        <w:spacing w:after="0" w:line="50"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rPr>
        <w:t>Norway . . . . . . . . . . . . . . . . . . . . . . . . . . . . . . . . . . . . . . . . . . . . . .</w:t>
      </w:r>
      <w:r>
        <w:rPr>
          <w:sz w:val="20"/>
          <w:szCs w:val="20"/>
          <w:color w:val="auto"/>
        </w:rPr>
        <w:tab/>
      </w:r>
      <w:r>
        <w:rPr>
          <w:rFonts w:ascii="Arial" w:cs="Arial" w:eastAsia="Arial" w:hAnsi="Arial"/>
          <w:sz w:val="19"/>
          <w:szCs w:val="19"/>
          <w:color w:val="auto"/>
        </w:rPr>
        <w:t>2017 - 2022</w:t>
      </w:r>
    </w:p>
    <w:p>
      <w:pPr>
        <w:spacing w:after="0" w:line="50"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highlight w:val="lightGray"/>
        </w:rPr>
        <w:t>Russia . . . . . . . . . . . . . . . . . . . . . . . . . . . . . . . . . . . . . . . . . . . . . .</w:t>
      </w:r>
      <w:r>
        <w:rPr>
          <w:sz w:val="20"/>
          <w:szCs w:val="20"/>
          <w:color w:val="auto"/>
        </w:rPr>
        <w:tab/>
      </w:r>
      <w:r>
        <w:rPr>
          <w:rFonts w:ascii="Arial" w:cs="Arial" w:eastAsia="Arial" w:hAnsi="Arial"/>
          <w:sz w:val="19"/>
          <w:szCs w:val="19"/>
          <w:color w:val="auto"/>
          <w:highlight w:val="lightGray"/>
        </w:rPr>
        <w:t>2019 - 2022</w:t>
      </w:r>
    </w:p>
    <w:p>
      <w:pPr>
        <w:spacing w:after="0" w:line="48"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rPr>
        <w:t>Saudi Arabia . . . . . . . . . . . . . . . . . . . . . . . . . . . . . . . . . . . . . . . . .</w:t>
      </w:r>
      <w:r>
        <w:rPr>
          <w:sz w:val="20"/>
          <w:szCs w:val="20"/>
          <w:color w:val="auto"/>
        </w:rPr>
        <w:tab/>
      </w:r>
      <w:r>
        <w:rPr>
          <w:rFonts w:ascii="Arial" w:cs="Arial" w:eastAsia="Arial" w:hAnsi="Arial"/>
          <w:sz w:val="19"/>
          <w:szCs w:val="19"/>
          <w:color w:val="auto"/>
        </w:rPr>
        <w:t>2016 - 2022</w:t>
      </w:r>
    </w:p>
    <w:p>
      <w:pPr>
        <w:spacing w:after="0" w:line="50"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highlight w:val="lightGray"/>
        </w:rPr>
        <w:t>United Kingdom . . . . . . . . . . . . . . . . . . . . . . . . . . . . . . . . . . . . . . .</w:t>
      </w:r>
      <w:r>
        <w:rPr>
          <w:sz w:val="20"/>
          <w:szCs w:val="20"/>
          <w:color w:val="auto"/>
        </w:rPr>
        <w:tab/>
      </w:r>
      <w:r>
        <w:rPr>
          <w:rFonts w:ascii="Arial" w:cs="Arial" w:eastAsia="Arial" w:hAnsi="Arial"/>
          <w:sz w:val="19"/>
          <w:szCs w:val="19"/>
          <w:color w:val="auto"/>
          <w:highlight w:val="lightGray"/>
        </w:rPr>
        <w:t>2017 - 2022</w:t>
      </w:r>
    </w:p>
    <w:p>
      <w:pPr>
        <w:spacing w:after="0" w:line="50" w:lineRule="exact"/>
        <w:rPr>
          <w:sz w:val="20"/>
          <w:szCs w:val="20"/>
          <w:color w:val="auto"/>
        </w:rPr>
      </w:pPr>
    </w:p>
    <w:p>
      <w:pPr>
        <w:ind w:left="120"/>
        <w:spacing w:after="0"/>
        <w:tabs>
          <w:tab w:leader="none" w:pos="5860" w:val="left"/>
        </w:tabs>
        <w:rPr>
          <w:sz w:val="20"/>
          <w:szCs w:val="20"/>
          <w:color w:val="auto"/>
        </w:rPr>
      </w:pPr>
      <w:r>
        <w:rPr>
          <w:rFonts w:ascii="Arial" w:cs="Arial" w:eastAsia="Arial" w:hAnsi="Arial"/>
          <w:sz w:val="20"/>
          <w:szCs w:val="20"/>
          <w:color w:val="auto"/>
        </w:rPr>
        <w:t>United States . . . . . . . . . . . . . . . . . . . . . . . . . . . . . . . . . . . . . . . . .</w:t>
      </w:r>
      <w:r>
        <w:rPr>
          <w:sz w:val="20"/>
          <w:szCs w:val="20"/>
          <w:color w:val="auto"/>
        </w:rPr>
        <w:tab/>
      </w:r>
      <w:r>
        <w:rPr>
          <w:rFonts w:ascii="Arial" w:cs="Arial" w:eastAsia="Arial" w:hAnsi="Arial"/>
          <w:sz w:val="19"/>
          <w:szCs w:val="19"/>
          <w:color w:val="auto"/>
        </w:rPr>
        <w:t>2017 - 2022</w:t>
      </w:r>
    </w:p>
    <w:p>
      <w:pPr>
        <w:sectPr>
          <w:pgSz w:w="12240" w:h="15840" w:orient="portrait"/>
          <w:cols w:equalWidth="0" w:num="1">
            <w:col w:w="9360"/>
          </w:cols>
          <w:pgMar w:left="1440" w:top="1440" w:right="1440" w:bottom="836"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9360"/>
          </w:cols>
          <w:pgMar w:left="1440" w:top="1440" w:right="1440" w:bottom="836" w:gutter="0" w:footer="0" w:header="0"/>
          <w:type w:val="continuous"/>
        </w:sectPr>
      </w:pPr>
    </w:p>
    <w:bookmarkStart w:id="85" w:name="page86"/>
    <w:bookmarkEnd w:id="85"/>
    <w:p>
      <w:pPr>
        <w:spacing w:after="0" w:line="52" w:lineRule="exact"/>
        <w:rPr>
          <w:sz w:val="20"/>
          <w:szCs w:val="20"/>
          <w:color w:val="auto"/>
        </w:rPr>
      </w:pPr>
    </w:p>
    <w:p>
      <w:pPr>
        <w:ind w:left="460" w:hanging="340"/>
        <w:spacing w:after="0"/>
        <w:tabs>
          <w:tab w:leader="none" w:pos="4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Leases</w:t>
      </w:r>
    </w:p>
    <w:p>
      <w:pPr>
        <w:spacing w:after="0" w:line="92"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SLB’s leasing activities primarily consist of operating leases for administrative offices, manufacturing facilities, research centers, service centers, sales offices, and certain equipment. Total operating lease expense, which approximates cash paid and includes short-term leases, was $1.2 billion in both 2022 and 2021 and $1.4 billion in 2020.</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Maturities of operating lease liabilities as of December 31, 2022 were as follows:</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4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284"/>
        </w:trPr>
        <w:tc>
          <w:tcPr>
            <w:tcW w:w="5480" w:type="dxa"/>
            <w:vAlign w:val="bottom"/>
            <w:shd w:val="clear" w:color="auto" w:fill="CCCCCC"/>
          </w:tcPr>
          <w:p>
            <w:pPr>
              <w:spacing w:after="0"/>
              <w:rPr>
                <w:sz w:val="20"/>
                <w:szCs w:val="20"/>
                <w:color w:val="auto"/>
              </w:rPr>
            </w:pPr>
            <w:r>
              <w:rPr>
                <w:rFonts w:ascii="Arial" w:cs="Arial" w:eastAsia="Arial" w:hAnsi="Arial"/>
                <w:sz w:val="20"/>
                <w:szCs w:val="20"/>
                <w:color w:val="auto"/>
              </w:rPr>
              <w:t>2023 . . . . . . . . . . . . . . . . . . . . . . . . . . . . . . . . . . . . . . . . . . . . .</w:t>
            </w:r>
          </w:p>
        </w:tc>
        <w:tc>
          <w:tcPr>
            <w:tcW w:w="520" w:type="dxa"/>
            <w:vAlign w:val="bottom"/>
            <w:shd w:val="clear" w:color="auto" w:fill="CCCCCC"/>
          </w:tcPr>
          <w:p>
            <w:pPr>
              <w:jc w:val="right"/>
              <w:ind w:right="323"/>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165</w:t>
            </w:r>
          </w:p>
        </w:tc>
        <w:tc>
          <w:tcPr>
            <w:tcW w:w="0" w:type="dxa"/>
            <w:vAlign w:val="bottom"/>
          </w:tcPr>
          <w:p>
            <w:pPr>
              <w:spacing w:after="0"/>
              <w:rPr>
                <w:sz w:val="1"/>
                <w:szCs w:val="1"/>
                <w:color w:val="auto"/>
              </w:rPr>
            </w:pPr>
          </w:p>
        </w:tc>
      </w:tr>
      <w:tr>
        <w:trPr>
          <w:trHeight w:val="280"/>
        </w:trPr>
        <w:tc>
          <w:tcPr>
            <w:tcW w:w="5480" w:type="dxa"/>
            <w:vAlign w:val="bottom"/>
          </w:tcPr>
          <w:p>
            <w:pPr>
              <w:spacing w:after="0"/>
              <w:rPr>
                <w:sz w:val="20"/>
                <w:szCs w:val="20"/>
                <w:color w:val="auto"/>
              </w:rPr>
            </w:pPr>
            <w:r>
              <w:rPr>
                <w:rFonts w:ascii="Arial" w:cs="Arial" w:eastAsia="Arial" w:hAnsi="Arial"/>
                <w:sz w:val="20"/>
                <w:szCs w:val="20"/>
                <w:color w:val="auto"/>
              </w:rPr>
              <w:t>2024 . . . . . . . . . . . . . . . . . . . . . . . . . . . . . . . . . . . . . . . . . . . . .</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134</w:t>
            </w:r>
          </w:p>
        </w:tc>
        <w:tc>
          <w:tcPr>
            <w:tcW w:w="0" w:type="dxa"/>
            <w:vAlign w:val="bottom"/>
          </w:tcPr>
          <w:p>
            <w:pPr>
              <w:spacing w:after="0"/>
              <w:rPr>
                <w:sz w:val="1"/>
                <w:szCs w:val="1"/>
                <w:color w:val="auto"/>
              </w:rPr>
            </w:pPr>
          </w:p>
        </w:tc>
      </w:tr>
      <w:tr>
        <w:trPr>
          <w:trHeight w:val="280"/>
        </w:trPr>
        <w:tc>
          <w:tcPr>
            <w:tcW w:w="5480" w:type="dxa"/>
            <w:vAlign w:val="bottom"/>
            <w:shd w:val="clear" w:color="auto" w:fill="CCCCCC"/>
          </w:tcPr>
          <w:p>
            <w:pPr>
              <w:spacing w:after="0"/>
              <w:rPr>
                <w:sz w:val="20"/>
                <w:szCs w:val="20"/>
                <w:color w:val="auto"/>
              </w:rPr>
            </w:pPr>
            <w:r>
              <w:rPr>
                <w:rFonts w:ascii="Arial" w:cs="Arial" w:eastAsia="Arial" w:hAnsi="Arial"/>
                <w:sz w:val="20"/>
                <w:szCs w:val="20"/>
                <w:color w:val="auto"/>
              </w:rPr>
              <w:t>2025 . . . . . . . . . . . . . . . . . . . . . . . . . . . . . . . . . . . . . . . . . . . . .</w:t>
            </w:r>
          </w:p>
        </w:tc>
        <w:tc>
          <w:tcPr>
            <w:tcW w:w="520" w:type="dxa"/>
            <w:vAlign w:val="bottom"/>
            <w:shd w:val="clear" w:color="auto" w:fill="CCCCCC"/>
          </w:tcPr>
          <w:p>
            <w:pPr>
              <w:spacing w:after="0"/>
              <w:rPr>
                <w:sz w:val="24"/>
                <w:szCs w:val="24"/>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80"/>
        </w:trPr>
        <w:tc>
          <w:tcPr>
            <w:tcW w:w="5480" w:type="dxa"/>
            <w:vAlign w:val="bottom"/>
          </w:tcPr>
          <w:p>
            <w:pPr>
              <w:spacing w:after="0"/>
              <w:rPr>
                <w:sz w:val="20"/>
                <w:szCs w:val="20"/>
                <w:color w:val="auto"/>
              </w:rPr>
            </w:pPr>
            <w:r>
              <w:rPr>
                <w:rFonts w:ascii="Arial" w:cs="Arial" w:eastAsia="Arial" w:hAnsi="Arial"/>
                <w:sz w:val="20"/>
                <w:szCs w:val="20"/>
                <w:color w:val="auto"/>
              </w:rPr>
              <w:t>2026 . . . . . . . . . . . . . . . . . . . . . . . . . . . . . . . . . . . . . . . . . . . . .</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80"/>
        </w:trPr>
        <w:tc>
          <w:tcPr>
            <w:tcW w:w="5480" w:type="dxa"/>
            <w:vAlign w:val="bottom"/>
            <w:shd w:val="clear" w:color="auto" w:fill="CCCCCC"/>
          </w:tcPr>
          <w:p>
            <w:pPr>
              <w:spacing w:after="0"/>
              <w:rPr>
                <w:sz w:val="20"/>
                <w:szCs w:val="20"/>
                <w:color w:val="auto"/>
              </w:rPr>
            </w:pPr>
            <w:r>
              <w:rPr>
                <w:rFonts w:ascii="Arial" w:cs="Arial" w:eastAsia="Arial" w:hAnsi="Arial"/>
                <w:sz w:val="20"/>
                <w:szCs w:val="20"/>
                <w:color w:val="auto"/>
              </w:rPr>
              <w:t>2027 . . . . . . . . . . . . . . . . . . . . . . . . . . . . . . . . . . . . . . . . . . . . .</w:t>
            </w:r>
          </w:p>
        </w:tc>
        <w:tc>
          <w:tcPr>
            <w:tcW w:w="520" w:type="dxa"/>
            <w:vAlign w:val="bottom"/>
            <w:shd w:val="clear" w:color="auto" w:fill="CCCCCC"/>
          </w:tcPr>
          <w:p>
            <w:pPr>
              <w:spacing w:after="0"/>
              <w:rPr>
                <w:sz w:val="24"/>
                <w:szCs w:val="24"/>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80"/>
        </w:trPr>
        <w:tc>
          <w:tcPr>
            <w:tcW w:w="5480" w:type="dxa"/>
            <w:vAlign w:val="bottom"/>
          </w:tcPr>
          <w:p>
            <w:pPr>
              <w:spacing w:after="0"/>
              <w:rPr>
                <w:sz w:val="20"/>
                <w:szCs w:val="20"/>
                <w:color w:val="auto"/>
              </w:rPr>
            </w:pPr>
            <w:r>
              <w:rPr>
                <w:rFonts w:ascii="Arial" w:cs="Arial" w:eastAsia="Arial" w:hAnsi="Arial"/>
                <w:sz w:val="20"/>
                <w:szCs w:val="20"/>
                <w:color w:val="auto"/>
                <w:w w:val="99"/>
              </w:rPr>
              <w:t>Thereafter . . . . . . . . . . . . . . . . . . . . . . . . . . . . . . . . . . . . . . . . .</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262</w:t>
            </w:r>
          </w:p>
        </w:tc>
        <w:tc>
          <w:tcPr>
            <w:tcW w:w="0" w:type="dxa"/>
            <w:vAlign w:val="bottom"/>
          </w:tcPr>
          <w:p>
            <w:pPr>
              <w:spacing w:after="0"/>
              <w:rPr>
                <w:sz w:val="1"/>
                <w:szCs w:val="1"/>
                <w:color w:val="auto"/>
              </w:rPr>
            </w:pPr>
          </w:p>
        </w:tc>
      </w:tr>
      <w:tr>
        <w:trPr>
          <w:trHeight w:val="70"/>
        </w:trPr>
        <w:tc>
          <w:tcPr>
            <w:tcW w:w="54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CCCC"/>
          </w:tcPr>
          <w:p>
            <w:pPr>
              <w:spacing w:after="0"/>
              <w:rPr>
                <w:sz w:val="20"/>
                <w:szCs w:val="20"/>
                <w:color w:val="auto"/>
              </w:rPr>
            </w:pPr>
            <w:r>
              <w:rPr>
                <w:rFonts w:ascii="Arial" w:cs="Arial" w:eastAsia="Arial" w:hAnsi="Arial"/>
                <w:sz w:val="20"/>
                <w:szCs w:val="20"/>
                <w:color w:val="auto"/>
              </w:rPr>
              <w:t>Total lease payments  . . . . . . . . . . . . . . . . . . . . . . . . . . . . . . .</w:t>
            </w:r>
          </w:p>
        </w:tc>
        <w:tc>
          <w:tcPr>
            <w:tcW w:w="520" w:type="dxa"/>
            <w:vAlign w:val="bottom"/>
            <w:shd w:val="clear" w:color="auto" w:fill="CCCCCC"/>
          </w:tcPr>
          <w:p>
            <w:pPr>
              <w:jc w:val="right"/>
              <w:ind w:right="323"/>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812</w:t>
            </w:r>
          </w:p>
        </w:tc>
        <w:tc>
          <w:tcPr>
            <w:tcW w:w="0" w:type="dxa"/>
            <w:vAlign w:val="bottom"/>
          </w:tcPr>
          <w:p>
            <w:pPr>
              <w:spacing w:after="0"/>
              <w:rPr>
                <w:sz w:val="1"/>
                <w:szCs w:val="1"/>
                <w:color w:val="auto"/>
              </w:rPr>
            </w:pPr>
          </w:p>
        </w:tc>
      </w:tr>
      <w:tr>
        <w:trPr>
          <w:trHeight w:val="282"/>
        </w:trPr>
        <w:tc>
          <w:tcPr>
            <w:tcW w:w="5480" w:type="dxa"/>
            <w:vAlign w:val="bottom"/>
          </w:tcPr>
          <w:p>
            <w:pPr>
              <w:spacing w:after="0"/>
              <w:rPr>
                <w:sz w:val="20"/>
                <w:szCs w:val="20"/>
                <w:color w:val="auto"/>
              </w:rPr>
            </w:pPr>
            <w:r>
              <w:rPr>
                <w:rFonts w:ascii="Arial" w:cs="Arial" w:eastAsia="Arial" w:hAnsi="Arial"/>
                <w:sz w:val="20"/>
                <w:szCs w:val="20"/>
                <w:color w:val="auto"/>
              </w:rPr>
              <w:t>Less: Interest . . . . . . . . . . . . . . . . . . . . . . . . . . . . . . . . . . . . . .</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CCCC"/>
          </w:tcPr>
          <w:p>
            <w:pPr>
              <w:spacing w:after="0"/>
              <w:rPr>
                <w:sz w:val="23"/>
                <w:szCs w:val="23"/>
                <w:color w:val="auto"/>
              </w:rPr>
            </w:pPr>
          </w:p>
        </w:tc>
        <w:tc>
          <w:tcPr>
            <w:tcW w:w="520" w:type="dxa"/>
            <w:vAlign w:val="bottom"/>
            <w:shd w:val="clear" w:color="auto" w:fill="CCCCCC"/>
          </w:tcPr>
          <w:p>
            <w:pPr>
              <w:jc w:val="right"/>
              <w:ind w:right="323"/>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699</w:t>
            </w:r>
          </w:p>
        </w:tc>
        <w:tc>
          <w:tcPr>
            <w:tcW w:w="0" w:type="dxa"/>
            <w:vAlign w:val="bottom"/>
          </w:tcPr>
          <w:p>
            <w:pPr>
              <w:spacing w:after="0"/>
              <w:rPr>
                <w:sz w:val="1"/>
                <w:szCs w:val="1"/>
                <w:color w:val="auto"/>
              </w:rPr>
            </w:pPr>
          </w:p>
        </w:tc>
      </w:tr>
      <w:tr>
        <w:trPr>
          <w:trHeight w:val="70"/>
        </w:trPr>
        <w:tc>
          <w:tcPr>
            <w:tcW w:w="548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Amounts recognized in balance sheet:</w:t>
            </w:r>
          </w:p>
        </w:tc>
        <w:tc>
          <w:tcPr>
            <w:tcW w:w="5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80" w:type="dxa"/>
            <w:vAlign w:val="bottom"/>
            <w:vMerge w:val="continue"/>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48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 xml:space="preserve">Accounts payable and accrued liabilities </w:t>
            </w:r>
            <w:r>
              <w:rPr>
                <w:rFonts w:ascii="Arial" w:cs="Arial" w:eastAsia="Arial" w:hAnsi="Arial"/>
                <w:sz w:val="20"/>
                <w:szCs w:val="20"/>
                <w:color w:val="auto"/>
              </w:rPr>
              <w:t>. . . . . . . . . . . . . . . .</w:t>
            </w:r>
          </w:p>
        </w:tc>
        <w:tc>
          <w:tcPr>
            <w:tcW w:w="520" w:type="dxa"/>
            <w:vAlign w:val="bottom"/>
            <w:shd w:val="clear" w:color="auto" w:fill="CCCCCC"/>
          </w:tcPr>
          <w:p>
            <w:pPr>
              <w:jc w:val="right"/>
              <w:ind w:right="323"/>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82"/>
        </w:trPr>
        <w:tc>
          <w:tcPr>
            <w:tcW w:w="5480" w:type="dxa"/>
            <w:vAlign w:val="bottom"/>
          </w:tcPr>
          <w:p>
            <w:pPr>
              <w:spacing w:after="0"/>
              <w:rPr>
                <w:sz w:val="20"/>
                <w:szCs w:val="20"/>
                <w:color w:val="auto"/>
              </w:rPr>
            </w:pPr>
            <w:r>
              <w:rPr>
                <w:rFonts w:ascii="Arial" w:cs="Arial" w:eastAsia="Arial" w:hAnsi="Arial"/>
                <w:sz w:val="20"/>
                <w:szCs w:val="20"/>
                <w:i w:val="1"/>
                <w:iCs w:val="1"/>
                <w:color w:val="auto"/>
              </w:rPr>
              <w:t xml:space="preserve">Other Liabilities </w:t>
            </w:r>
            <w:r>
              <w:rPr>
                <w:rFonts w:ascii="Arial" w:cs="Arial" w:eastAsia="Arial" w:hAnsi="Arial"/>
                <w:sz w:val="20"/>
                <w:szCs w:val="20"/>
                <w:color w:val="auto"/>
              </w:rPr>
              <w:t>. . . . . . . . . . . . . . . . . . . . . . . . . . . . . . . . . . . .</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539</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CCCC"/>
          </w:tcPr>
          <w:p>
            <w:pPr>
              <w:spacing w:after="0"/>
              <w:rPr>
                <w:sz w:val="23"/>
                <w:szCs w:val="23"/>
                <w:color w:val="auto"/>
              </w:rPr>
            </w:pPr>
          </w:p>
        </w:tc>
        <w:tc>
          <w:tcPr>
            <w:tcW w:w="520" w:type="dxa"/>
            <w:vAlign w:val="bottom"/>
            <w:shd w:val="clear" w:color="auto" w:fill="CCCCCC"/>
          </w:tcPr>
          <w:p>
            <w:pPr>
              <w:jc w:val="right"/>
              <w:ind w:right="323"/>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699</w:t>
            </w:r>
          </w:p>
        </w:tc>
        <w:tc>
          <w:tcPr>
            <w:tcW w:w="0" w:type="dxa"/>
            <w:vAlign w:val="bottom"/>
          </w:tcPr>
          <w:p>
            <w:pPr>
              <w:spacing w:after="0"/>
              <w:rPr>
                <w:sz w:val="1"/>
                <w:szCs w:val="1"/>
                <w:color w:val="auto"/>
              </w:rPr>
            </w:pPr>
          </w:p>
        </w:tc>
      </w:tr>
      <w:tr>
        <w:trPr>
          <w:trHeight w:val="70"/>
        </w:trPr>
        <w:tc>
          <w:tcPr>
            <w:tcW w:w="54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weighted-average remaining lease term as of December 31, 2022 was 10 years. The weighted-average discount rate used to determine the operating lease liability as of December 31, 2022 was 3.3%.</w:t>
      </w:r>
    </w:p>
    <w:p>
      <w:pPr>
        <w:spacing w:after="0" w:line="239" w:lineRule="exact"/>
        <w:rPr>
          <w:sz w:val="20"/>
          <w:szCs w:val="20"/>
          <w:color w:val="auto"/>
        </w:rPr>
      </w:pPr>
    </w:p>
    <w:p>
      <w:pPr>
        <w:ind w:left="460" w:hanging="340"/>
        <w:spacing w:after="0"/>
        <w:tabs>
          <w:tab w:leader="none" w:pos="4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Contingencies</w:t>
      </w:r>
    </w:p>
    <w:p>
      <w:pPr>
        <w:spacing w:after="0" w:line="92"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41" w:lineRule="exact"/>
        <w:rPr>
          <w:sz w:val="20"/>
          <w:szCs w:val="20"/>
          <w:color w:val="auto"/>
        </w:rPr>
      </w:pPr>
    </w:p>
    <w:p>
      <w:pPr>
        <w:ind w:left="460" w:hanging="340"/>
        <w:spacing w:after="0"/>
        <w:tabs>
          <w:tab w:leader="none" w:pos="46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Segment Information</w:t>
      </w:r>
    </w:p>
    <w:p>
      <w:pPr>
        <w:spacing w:after="0" w:line="92"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SLB is organized under four Divisions that combine and integrate SLB’s technologies, enhancing the Company’s ability to support the emerging long-term growth opportunities in each of these market segments.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four Divisions, representing SLB’s segments, are:</w:t>
      </w:r>
    </w:p>
    <w:p>
      <w:pPr>
        <w:spacing w:after="0" w:line="88" w:lineRule="exact"/>
        <w:rPr>
          <w:sz w:val="20"/>
          <w:szCs w:val="20"/>
          <w:color w:val="auto"/>
        </w:rPr>
      </w:pPr>
    </w:p>
    <w:p>
      <w:pPr>
        <w:ind w:left="840" w:right="120" w:hanging="360"/>
        <w:spacing w:after="0" w:line="248" w:lineRule="auto"/>
        <w:tabs>
          <w:tab w:leader="none" w:pos="840"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Digital &amp; Integration </w:t>
      </w:r>
      <w:r>
        <w:rPr>
          <w:rFonts w:ascii="Arial" w:cs="Arial" w:eastAsia="Arial" w:hAnsi="Arial"/>
          <w:sz w:val="20"/>
          <w:szCs w:val="20"/>
          <w:color w:val="auto"/>
        </w:rPr>
        <w:t>– Combines SLB’s industry-leading digital solutions and data products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its integrated offering of Asset Performance Solutions.</w:t>
      </w:r>
    </w:p>
    <w:p>
      <w:pPr>
        <w:spacing w:after="0" w:line="4" w:lineRule="exact"/>
        <w:rPr>
          <w:rFonts w:ascii="Arial" w:cs="Arial" w:eastAsia="Arial" w:hAnsi="Arial"/>
          <w:sz w:val="20"/>
          <w:szCs w:val="20"/>
          <w:color w:val="auto"/>
        </w:rPr>
      </w:pPr>
    </w:p>
    <w:p>
      <w:pPr>
        <w:ind w:left="840" w:right="120" w:hanging="360"/>
        <w:spacing w:after="0" w:line="248" w:lineRule="auto"/>
        <w:tabs>
          <w:tab w:leader="none" w:pos="840"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Reservoir Performance </w:t>
      </w:r>
      <w:r>
        <w:rPr>
          <w:rFonts w:ascii="Arial" w:cs="Arial" w:eastAsia="Arial" w:hAnsi="Arial"/>
          <w:sz w:val="20"/>
          <w:szCs w:val="20"/>
          <w:color w:val="auto"/>
        </w:rPr>
        <w:t>– Consists of reservoir-centric technologies and services that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critical to optimizing reservoir productivity and performance.</w:t>
      </w:r>
    </w:p>
    <w:p>
      <w:pPr>
        <w:spacing w:after="0" w:line="4" w:lineRule="exact"/>
        <w:rPr>
          <w:rFonts w:ascii="Arial" w:cs="Arial" w:eastAsia="Arial" w:hAnsi="Arial"/>
          <w:sz w:val="20"/>
          <w:szCs w:val="20"/>
          <w:color w:val="auto"/>
        </w:rPr>
      </w:pPr>
    </w:p>
    <w:p>
      <w:pPr>
        <w:ind w:left="840" w:right="120" w:hanging="360"/>
        <w:spacing w:after="0" w:line="248" w:lineRule="auto"/>
        <w:tabs>
          <w:tab w:leader="none" w:pos="840"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Well Construction </w:t>
      </w:r>
      <w:r>
        <w:rPr>
          <w:rFonts w:ascii="Arial" w:cs="Arial" w:eastAsia="Arial" w:hAnsi="Arial"/>
          <w:sz w:val="20"/>
          <w:szCs w:val="20"/>
          <w:color w:val="auto"/>
        </w:rPr>
        <w:t>– Combines the full portfolio of products and services to optimize well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placement and performance, maximize drilling efficiency, and improve wellbore assurance.</w:t>
      </w:r>
    </w:p>
    <w:p>
      <w:pPr>
        <w:spacing w:after="0" w:line="4" w:lineRule="exact"/>
        <w:rPr>
          <w:rFonts w:ascii="Arial" w:cs="Arial" w:eastAsia="Arial" w:hAnsi="Arial"/>
          <w:sz w:val="20"/>
          <w:szCs w:val="20"/>
          <w:color w:val="auto"/>
        </w:rPr>
      </w:pPr>
    </w:p>
    <w:p>
      <w:pPr>
        <w:jc w:val="both"/>
        <w:ind w:left="840" w:right="120" w:hanging="360"/>
        <w:spacing w:after="0" w:line="249" w:lineRule="auto"/>
        <w:tabs>
          <w:tab w:leader="none" w:pos="840"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Production Systems </w:t>
      </w:r>
      <w:r>
        <w:rPr>
          <w:rFonts w:ascii="Arial" w:cs="Arial" w:eastAsia="Arial" w:hAnsi="Arial"/>
          <w:sz w:val="20"/>
          <w:szCs w:val="20"/>
          <w:color w:val="auto"/>
        </w:rPr>
        <w:t>– Develops technologies and provides expertise that enhance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production and recovery from subsurface reservoirs to the surface, into pipelines, and to refineries.</w:t>
      </w:r>
    </w:p>
    <w:p>
      <w:pPr>
        <w:sectPr>
          <w:pgSz w:w="12240" w:h="15840" w:orient="portrait"/>
          <w:cols w:equalWidth="0" w:num="1">
            <w:col w:w="9360"/>
          </w:cols>
          <w:pgMar w:left="1440" w:top="1440" w:right="1440" w:bottom="836"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9360"/>
          </w:cols>
          <w:pgMar w:left="1440" w:top="1440" w:right="1440" w:bottom="836" w:gutter="0" w:footer="0" w:header="0"/>
          <w:type w:val="continuous"/>
        </w:sectPr>
      </w:pPr>
    </w:p>
    <w:bookmarkStart w:id="86" w:name="page87"/>
    <w:bookmarkEnd w:id="86"/>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Financial information by segment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20"/>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3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1"/>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Depreciation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0"/>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280"/>
              <w:spacing w:after="0" w:line="180" w:lineRule="exact"/>
              <w:rPr>
                <w:sz w:val="20"/>
                <w:szCs w:val="20"/>
                <w:color w:val="auto"/>
              </w:rPr>
            </w:pPr>
            <w:r>
              <w:rPr>
                <w:rFonts w:ascii="Arial" w:cs="Arial" w:eastAsia="Arial" w:hAnsi="Arial"/>
                <w:sz w:val="16"/>
                <w:szCs w:val="16"/>
                <w:b w:val="1"/>
                <w:bCs w:val="1"/>
                <w:color w:val="auto"/>
                <w:w w:val="98"/>
              </w:rPr>
              <w:t>Pretax</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20"/>
              <w:spacing w:after="0" w:line="180" w:lineRule="exact"/>
              <w:rPr>
                <w:sz w:val="20"/>
                <w:szCs w:val="20"/>
                <w:color w:val="auto"/>
              </w:rPr>
            </w:pPr>
            <w:r>
              <w:rPr>
                <w:rFonts w:ascii="Arial" w:cs="Arial" w:eastAsia="Arial" w:hAnsi="Arial"/>
                <w:sz w:val="16"/>
                <w:szCs w:val="16"/>
                <w:b w:val="1"/>
                <w:bCs w:val="1"/>
                <w:color w:val="auto"/>
              </w:rPr>
              <w:t>and</w:t>
            </w:r>
          </w:p>
        </w:tc>
        <w:tc>
          <w:tcPr>
            <w:tcW w:w="100" w:type="dxa"/>
            <w:vAlign w:val="bottom"/>
          </w:tcPr>
          <w:p>
            <w:pPr>
              <w:spacing w:after="0"/>
              <w:rPr>
                <w:sz w:val="15"/>
                <w:szCs w:val="15"/>
                <w:color w:val="auto"/>
              </w:rPr>
            </w:pPr>
          </w:p>
        </w:tc>
        <w:tc>
          <w:tcPr>
            <w:tcW w:w="1020" w:type="dxa"/>
            <w:vAlign w:val="bottom"/>
          </w:tcPr>
          <w:p>
            <w:pPr>
              <w:jc w:val="center"/>
              <w:ind w:right="20"/>
              <w:spacing w:after="0" w:line="180" w:lineRule="exact"/>
              <w:rPr>
                <w:sz w:val="20"/>
                <w:szCs w:val="20"/>
                <w:color w:val="auto"/>
              </w:rPr>
            </w:pPr>
            <w:r>
              <w:rPr>
                <w:rFonts w:ascii="Arial" w:cs="Arial" w:eastAsia="Arial" w:hAnsi="Arial"/>
                <w:sz w:val="16"/>
                <w:szCs w:val="16"/>
                <w:b w:val="1"/>
                <w:bCs w:val="1"/>
                <w:color w:val="auto"/>
                <w:w w:val="97"/>
              </w:rPr>
              <w:t>Capital</w:t>
            </w:r>
          </w:p>
        </w:tc>
      </w:tr>
      <w:tr>
        <w:trPr>
          <w:trHeight w:val="181"/>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320"/>
              <w:spacing w:after="0" w:line="181" w:lineRule="exact"/>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5"/>
                <w:szCs w:val="15"/>
                <w:color w:val="auto"/>
              </w:rPr>
            </w:pPr>
          </w:p>
        </w:tc>
        <w:tc>
          <w:tcPr>
            <w:tcW w:w="1040" w:type="dxa"/>
            <w:vAlign w:val="bottom"/>
            <w:gridSpan w:val="3"/>
          </w:tcPr>
          <w:p>
            <w:pPr>
              <w:jc w:val="center"/>
              <w:ind w:right="280"/>
              <w:spacing w:after="0" w:line="181" w:lineRule="exact"/>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5"/>
                <w:szCs w:val="15"/>
                <w:color w:val="auto"/>
              </w:rPr>
            </w:pPr>
          </w:p>
        </w:tc>
        <w:tc>
          <w:tcPr>
            <w:tcW w:w="102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Assets</w:t>
            </w:r>
          </w:p>
        </w:tc>
        <w:tc>
          <w:tcPr>
            <w:tcW w:w="108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5"/>
                <w:szCs w:val="15"/>
                <w:color w:val="auto"/>
              </w:rPr>
            </w:pPr>
          </w:p>
        </w:tc>
        <w:tc>
          <w:tcPr>
            <w:tcW w:w="1020" w:type="dxa"/>
            <w:vAlign w:val="bottom"/>
          </w:tcPr>
          <w:p>
            <w:pPr>
              <w:jc w:val="center"/>
              <w:ind w:right="20"/>
              <w:spacing w:after="0" w:line="181" w:lineRule="exact"/>
              <w:rPr>
                <w:sz w:val="20"/>
                <w:szCs w:val="20"/>
                <w:color w:val="auto"/>
              </w:rPr>
            </w:pPr>
            <w:r>
              <w:rPr>
                <w:rFonts w:ascii="Arial" w:cs="Arial" w:eastAsia="Arial" w:hAnsi="Arial"/>
                <w:sz w:val="16"/>
                <w:szCs w:val="16"/>
                <w:b w:val="1"/>
                <w:bCs w:val="1"/>
                <w:color w:val="auto"/>
                <w:w w:val="98"/>
              </w:rPr>
              <w:t>Investments</w:t>
            </w:r>
          </w:p>
        </w:tc>
      </w:tr>
      <w:tr>
        <w:trPr>
          <w:trHeight w:val="38"/>
        </w:trPr>
        <w:tc>
          <w:tcPr>
            <w:tcW w:w="3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0"/>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Digital &amp; Integration  . . . . . . . . . . . . . . . . . . . .</w:t>
            </w:r>
          </w:p>
        </w:tc>
        <w:tc>
          <w:tcPr>
            <w:tcW w:w="160" w:type="dxa"/>
            <w:vAlign w:val="bottom"/>
            <w:shd w:val="clear" w:color="auto" w:fill="CCCCC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3,725</w:t>
            </w:r>
          </w:p>
        </w:tc>
        <w:tc>
          <w:tcPr>
            <w:tcW w:w="180" w:type="dxa"/>
            <w:vAlign w:val="bottom"/>
            <w:shd w:val="clear" w:color="auto" w:fill="CCCC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3"/>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1,357</w:t>
            </w:r>
          </w:p>
        </w:tc>
        <w:tc>
          <w:tcPr>
            <w:tcW w:w="200" w:type="dxa"/>
            <w:vAlign w:val="bottom"/>
            <w:shd w:val="clear" w:color="auto" w:fill="CCCCCC"/>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3,132</w:t>
            </w:r>
          </w:p>
        </w:tc>
        <w:tc>
          <w:tcPr>
            <w:tcW w:w="220" w:type="dxa"/>
            <w:vAlign w:val="bottom"/>
            <w:shd w:val="clear" w:color="auto" w:fill="CCCCC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504</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689</w:t>
            </w:r>
          </w:p>
        </w:tc>
      </w:tr>
      <w:tr>
        <w:trPr>
          <w:trHeight w:val="216"/>
        </w:trPr>
        <w:tc>
          <w:tcPr>
            <w:tcW w:w="3260" w:type="dxa"/>
            <w:vAlign w:val="bottom"/>
          </w:tcPr>
          <w:p>
            <w:pPr>
              <w:jc w:val="right"/>
              <w:ind w:right="20"/>
              <w:spacing w:after="0"/>
              <w:rPr>
                <w:sz w:val="20"/>
                <w:szCs w:val="20"/>
                <w:color w:val="auto"/>
              </w:rPr>
            </w:pPr>
            <w:r>
              <w:rPr>
                <w:rFonts w:ascii="Arial" w:cs="Arial" w:eastAsia="Arial" w:hAnsi="Arial"/>
                <w:sz w:val="16"/>
                <w:szCs w:val="16"/>
                <w:color w:val="auto"/>
                <w:w w:val="96"/>
              </w:rPr>
              <w:t>Reservoir Performance . . . . . . . . . . . . . . . . . .</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5,553</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881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3,159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478</w:t>
            </w: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Well Construction . . . . . . . . . . . . . . . . . . . . . .</w:t>
            </w:r>
          </w:p>
        </w:tc>
        <w:tc>
          <w:tcPr>
            <w:tcW w:w="160" w:type="dxa"/>
            <w:vAlign w:val="bottom"/>
            <w:shd w:val="clear" w:color="auto" w:fill="CCCCCC"/>
          </w:tcPr>
          <w:p>
            <w:pPr>
              <w:spacing w:after="0"/>
              <w:rPr>
                <w:sz w:val="19"/>
                <w:szCs w:val="19"/>
                <w:color w:val="auto"/>
              </w:rPr>
            </w:pPr>
          </w:p>
        </w:tc>
        <w:tc>
          <w:tcPr>
            <w:tcW w:w="106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11,397</w:t>
            </w:r>
          </w:p>
        </w:tc>
        <w:tc>
          <w:tcPr>
            <w:tcW w:w="180" w:type="dxa"/>
            <w:vAlign w:val="bottom"/>
            <w:shd w:val="clear" w:color="auto" w:fill="CCCCCC"/>
          </w:tcPr>
          <w:p>
            <w:pPr>
              <w:spacing w:after="0"/>
              <w:rPr>
                <w:sz w:val="19"/>
                <w:szCs w:val="19"/>
                <w:color w:val="auto"/>
              </w:rPr>
            </w:pPr>
          </w:p>
        </w:tc>
        <w:tc>
          <w:tcPr>
            <w:tcW w:w="1040" w:type="dxa"/>
            <w:vAlign w:val="bottom"/>
            <w:gridSpan w:val="3"/>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2,202</w:t>
            </w: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6,481</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687</w:t>
            </w:r>
          </w:p>
        </w:tc>
      </w:tr>
      <w:tr>
        <w:trPr>
          <w:trHeight w:val="216"/>
        </w:trPr>
        <w:tc>
          <w:tcPr>
            <w:tcW w:w="3260" w:type="dxa"/>
            <w:vAlign w:val="bottom"/>
          </w:tcPr>
          <w:p>
            <w:pPr>
              <w:jc w:val="right"/>
              <w:ind w:right="20"/>
              <w:spacing w:after="0"/>
              <w:rPr>
                <w:sz w:val="20"/>
                <w:szCs w:val="20"/>
                <w:color w:val="auto"/>
              </w:rPr>
            </w:pPr>
            <w:r>
              <w:rPr>
                <w:rFonts w:ascii="Arial" w:cs="Arial" w:eastAsia="Arial" w:hAnsi="Arial"/>
                <w:sz w:val="16"/>
                <w:szCs w:val="16"/>
                <w:color w:val="auto"/>
                <w:w w:val="98"/>
              </w:rPr>
              <w:t>Production Systems . . . . . . . . . . . . . . . . . . . .</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7,862</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748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5,603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346</w:t>
            </w: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8"/>
              </w:rPr>
              <w:t>Eliminations &amp; other . . . . . . . . . . . . . . . . . . . .</w:t>
            </w:r>
          </w:p>
        </w:tc>
        <w:tc>
          <w:tcPr>
            <w:tcW w:w="160" w:type="dxa"/>
            <w:vAlign w:val="bottom"/>
            <w:shd w:val="clear" w:color="auto" w:fill="CCCCCC"/>
          </w:tcPr>
          <w:p>
            <w:pPr>
              <w:spacing w:after="0"/>
              <w:rPr>
                <w:sz w:val="19"/>
                <w:szCs w:val="19"/>
                <w:color w:val="auto"/>
              </w:rPr>
            </w:pPr>
          </w:p>
        </w:tc>
        <w:tc>
          <w:tcPr>
            <w:tcW w:w="1060" w:type="dxa"/>
            <w:vAlign w:val="bottom"/>
            <w:gridSpan w:val="2"/>
            <w:shd w:val="clear" w:color="auto" w:fill="CCCCCC"/>
          </w:tcPr>
          <w:p>
            <w:pPr>
              <w:jc w:val="right"/>
              <w:ind w:right="40"/>
              <w:spacing w:after="0"/>
              <w:rPr>
                <w:sz w:val="20"/>
                <w:szCs w:val="20"/>
                <w:color w:val="auto"/>
              </w:rPr>
            </w:pPr>
            <w:r>
              <w:rPr>
                <w:rFonts w:ascii="Arial" w:cs="Arial" w:eastAsia="Arial" w:hAnsi="Arial"/>
                <w:sz w:val="16"/>
                <w:szCs w:val="16"/>
                <w:b w:val="1"/>
                <w:bCs w:val="1"/>
                <w:color w:val="auto"/>
              </w:rPr>
              <w:t>(446)</w:t>
            </w:r>
          </w:p>
        </w:tc>
        <w:tc>
          <w:tcPr>
            <w:tcW w:w="180" w:type="dxa"/>
            <w:vAlign w:val="bottom"/>
            <w:shd w:val="clear" w:color="auto" w:fill="CCCCCC"/>
          </w:tcPr>
          <w:p>
            <w:pPr>
              <w:spacing w:after="0"/>
              <w:rPr>
                <w:sz w:val="19"/>
                <w:szCs w:val="19"/>
                <w:color w:val="auto"/>
              </w:rPr>
            </w:pPr>
          </w:p>
        </w:tc>
        <w:tc>
          <w:tcPr>
            <w:tcW w:w="1040" w:type="dxa"/>
            <w:vAlign w:val="bottom"/>
            <w:gridSpan w:val="3"/>
            <w:shd w:val="clear" w:color="auto" w:fill="CCCCCC"/>
          </w:tcPr>
          <w:p>
            <w:pPr>
              <w:jc w:val="right"/>
              <w:ind w:right="40"/>
              <w:spacing w:after="0"/>
              <w:rPr>
                <w:sz w:val="20"/>
                <w:szCs w:val="20"/>
                <w:color w:val="auto"/>
              </w:rPr>
            </w:pPr>
            <w:r>
              <w:rPr>
                <w:rFonts w:ascii="Arial" w:cs="Arial" w:eastAsia="Arial" w:hAnsi="Arial"/>
                <w:sz w:val="16"/>
                <w:szCs w:val="16"/>
                <w:b w:val="1"/>
                <w:bCs w:val="1"/>
                <w:color w:val="auto"/>
              </w:rPr>
              <w:t>(177)</w:t>
            </w: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1,426</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102</w:t>
            </w:r>
          </w:p>
        </w:tc>
      </w:tr>
      <w:tr>
        <w:trPr>
          <w:trHeight w:val="70"/>
        </w:trPr>
        <w:tc>
          <w:tcPr>
            <w:tcW w:w="3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6"/>
        </w:trPr>
        <w:tc>
          <w:tcPr>
            <w:tcW w:w="3260" w:type="dxa"/>
            <w:vAlign w:val="bottom"/>
          </w:tcPr>
          <w:p>
            <w:pPr>
              <w:jc w:val="right"/>
              <w:ind w:right="20"/>
              <w:spacing w:after="0"/>
              <w:rPr>
                <w:sz w:val="20"/>
                <w:szCs w:val="20"/>
                <w:color w:val="auto"/>
              </w:rPr>
            </w:pPr>
            <w:r>
              <w:rPr>
                <w:rFonts w:ascii="Arial" w:cs="Arial" w:eastAsia="Arial" w:hAnsi="Arial"/>
                <w:sz w:val="16"/>
                <w:szCs w:val="16"/>
                <w:color w:val="auto"/>
              </w:rPr>
              <w:t>Pretax segment operating income . . . . .</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5,011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8"/>
              </w:rPr>
              <w:t>Goodwill and intangible assets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380" w:type="dxa"/>
            <w:vAlign w:val="bottom"/>
            <w:shd w:val="clear" w:color="auto" w:fill="CCCCCC"/>
          </w:tcPr>
          <w:p>
            <w:pPr>
              <w:spacing w:after="0"/>
              <w:rPr>
                <w:sz w:val="19"/>
                <w:szCs w:val="19"/>
                <w:color w:val="auto"/>
              </w:rPr>
            </w:pPr>
          </w:p>
        </w:tc>
        <w:tc>
          <w:tcPr>
            <w:tcW w:w="5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15,974</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16"/>
        </w:trPr>
        <w:tc>
          <w:tcPr>
            <w:tcW w:w="3260" w:type="dxa"/>
            <w:vAlign w:val="bottom"/>
          </w:tcPr>
          <w:p>
            <w:pPr>
              <w:jc w:val="right"/>
              <w:ind w:right="20"/>
              <w:spacing w:after="0"/>
              <w:rPr>
                <w:sz w:val="20"/>
                <w:szCs w:val="20"/>
                <w:color w:val="auto"/>
              </w:rPr>
            </w:pPr>
            <w:r>
              <w:rPr>
                <w:rFonts w:ascii="Arial" w:cs="Arial" w:eastAsia="Arial" w:hAnsi="Arial"/>
                <w:sz w:val="16"/>
                <w:szCs w:val="16"/>
                <w:color w:val="auto"/>
                <w:w w:val="99"/>
              </w:rPr>
              <w:t>Cash and short-term investments . . . . . . . .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2,897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All other assets . . . .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380" w:type="dxa"/>
            <w:vAlign w:val="bottom"/>
            <w:shd w:val="clear" w:color="auto" w:fill="CCCCCC"/>
          </w:tcPr>
          <w:p>
            <w:pPr>
              <w:spacing w:after="0"/>
              <w:rPr>
                <w:sz w:val="19"/>
                <w:szCs w:val="19"/>
                <w:color w:val="auto"/>
              </w:rPr>
            </w:pPr>
          </w:p>
        </w:tc>
        <w:tc>
          <w:tcPr>
            <w:tcW w:w="5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4,463</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20"/>
        </w:trPr>
        <w:tc>
          <w:tcPr>
            <w:tcW w:w="3260" w:type="dxa"/>
            <w:vAlign w:val="bottom"/>
          </w:tcPr>
          <w:p>
            <w:pPr>
              <w:jc w:val="right"/>
              <w:ind w:right="20"/>
              <w:spacing w:after="0" w:line="220" w:lineRule="exact"/>
              <w:rPr>
                <w:sz w:val="20"/>
                <w:szCs w:val="20"/>
                <w:color w:val="auto"/>
              </w:rPr>
            </w:pPr>
            <w:r>
              <w:rPr>
                <w:rFonts w:ascii="Arial" w:cs="Arial" w:eastAsia="Arial" w:hAnsi="Arial"/>
                <w:sz w:val="16"/>
                <w:szCs w:val="16"/>
                <w:color w:val="auto"/>
                <w:w w:val="95"/>
              </w:rPr>
              <w:t xml:space="preserve">Corporate &amp; other </w:t>
            </w:r>
            <w:r>
              <w:rPr>
                <w:rFonts w:ascii="Arial" w:cs="Arial" w:eastAsia="Arial" w:hAnsi="Arial"/>
                <w:sz w:val="20"/>
                <w:szCs w:val="20"/>
                <w:color w:val="auto"/>
                <w:w w:val="95"/>
                <w:vertAlign w:val="superscript"/>
              </w:rPr>
              <w:t>(1)</w:t>
            </w:r>
            <w:r>
              <w:rPr>
                <w:rFonts w:ascii="Arial" w:cs="Arial" w:eastAsia="Arial" w:hAnsi="Arial"/>
                <w:sz w:val="16"/>
                <w:szCs w:val="16"/>
                <w:color w:val="auto"/>
                <w:w w:val="95"/>
              </w:rPr>
              <w:t xml:space="preserve">  . . . . . . . . . . . . . . . . . . .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(637)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3260" w:type="dxa"/>
            <w:vAlign w:val="bottom"/>
            <w:shd w:val="clear" w:color="auto" w:fill="CCCCCC"/>
          </w:tcPr>
          <w:p>
            <w:pPr>
              <w:jc w:val="right"/>
              <w:ind w:right="20"/>
              <w:spacing w:after="0" w:line="220" w:lineRule="exact"/>
              <w:rPr>
                <w:sz w:val="20"/>
                <w:szCs w:val="20"/>
                <w:color w:val="auto"/>
              </w:rPr>
            </w:pPr>
            <w:r>
              <w:rPr>
                <w:rFonts w:ascii="Arial" w:cs="Arial" w:eastAsia="Arial" w:hAnsi="Arial"/>
                <w:sz w:val="16"/>
                <w:szCs w:val="16"/>
                <w:color w:val="auto"/>
                <w:w w:val="95"/>
              </w:rPr>
              <w:t xml:space="preserve">Interest income </w:t>
            </w:r>
            <w:r>
              <w:rPr>
                <w:rFonts w:ascii="Arial" w:cs="Arial" w:eastAsia="Arial" w:hAnsi="Arial"/>
                <w:sz w:val="20"/>
                <w:szCs w:val="20"/>
                <w:color w:val="auto"/>
                <w:w w:val="95"/>
                <w:vertAlign w:val="superscript"/>
              </w:rPr>
              <w:t>(2)</w:t>
            </w:r>
            <w:r>
              <w:rPr>
                <w:rFonts w:ascii="Arial" w:cs="Arial" w:eastAsia="Arial" w:hAnsi="Arial"/>
                <w:sz w:val="16"/>
                <w:szCs w:val="16"/>
                <w:color w:val="auto"/>
                <w:w w:val="95"/>
              </w:rPr>
              <w:t xml:space="preserve">  . .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9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20"/>
        </w:trPr>
        <w:tc>
          <w:tcPr>
            <w:tcW w:w="3260" w:type="dxa"/>
            <w:vAlign w:val="bottom"/>
          </w:tcPr>
          <w:p>
            <w:pPr>
              <w:jc w:val="right"/>
              <w:ind w:right="20"/>
              <w:spacing w:after="0" w:line="220" w:lineRule="exact"/>
              <w:rPr>
                <w:sz w:val="20"/>
                <w:szCs w:val="20"/>
                <w:color w:val="auto"/>
              </w:rPr>
            </w:pPr>
            <w:r>
              <w:rPr>
                <w:rFonts w:ascii="Arial" w:cs="Arial" w:eastAsia="Arial" w:hAnsi="Arial"/>
                <w:sz w:val="16"/>
                <w:szCs w:val="16"/>
                <w:color w:val="auto"/>
                <w:w w:val="95"/>
              </w:rPr>
              <w:t xml:space="preserve">Interest expense </w:t>
            </w:r>
            <w:r>
              <w:rPr>
                <w:rFonts w:ascii="Arial" w:cs="Arial" w:eastAsia="Arial" w:hAnsi="Arial"/>
                <w:sz w:val="20"/>
                <w:szCs w:val="20"/>
                <w:color w:val="auto"/>
                <w:w w:val="95"/>
                <w:vertAlign w:val="superscript"/>
              </w:rPr>
              <w:t>(3)</w:t>
            </w:r>
            <w:r>
              <w:rPr>
                <w:rFonts w:ascii="Arial" w:cs="Arial" w:eastAsia="Arial" w:hAnsi="Arial"/>
                <w:sz w:val="16"/>
                <w:szCs w:val="16"/>
                <w:color w:val="auto"/>
                <w:w w:val="95"/>
              </w:rPr>
              <w:t xml:space="preserve">  . . . . . . . . . . . . . . . . . . . .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(477)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3260" w:type="dxa"/>
            <w:vAlign w:val="bottom"/>
            <w:shd w:val="clear" w:color="auto" w:fill="CCCCCC"/>
          </w:tcPr>
          <w:p>
            <w:pPr>
              <w:jc w:val="right"/>
              <w:ind w:right="20"/>
              <w:spacing w:after="0" w:line="220" w:lineRule="exact"/>
              <w:rPr>
                <w:sz w:val="20"/>
                <w:szCs w:val="20"/>
                <w:color w:val="auto"/>
              </w:rPr>
            </w:pPr>
            <w:r>
              <w:rPr>
                <w:rFonts w:ascii="Arial" w:cs="Arial" w:eastAsia="Arial" w:hAnsi="Arial"/>
                <w:sz w:val="16"/>
                <w:szCs w:val="16"/>
                <w:color w:val="auto"/>
                <w:w w:val="95"/>
              </w:rPr>
              <w:t xml:space="preserve">Charges &amp; credits </w:t>
            </w:r>
            <w:r>
              <w:rPr>
                <w:rFonts w:ascii="Arial" w:cs="Arial" w:eastAsia="Arial" w:hAnsi="Arial"/>
                <w:sz w:val="20"/>
                <w:szCs w:val="20"/>
                <w:color w:val="auto"/>
                <w:w w:val="95"/>
                <w:vertAlign w:val="superscript"/>
              </w:rPr>
              <w:t>(4)</w:t>
            </w:r>
            <w:r>
              <w:rPr>
                <w:rFonts w:ascii="Arial" w:cs="Arial" w:eastAsia="Arial" w:hAnsi="Arial"/>
                <w:sz w:val="16"/>
                <w:szCs w:val="16"/>
                <w:color w:val="auto"/>
                <w:w w:val="95"/>
              </w:rPr>
              <w:t xml:space="preserve">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6"/>
                <w:szCs w:val="16"/>
                <w:b w:val="1"/>
                <w:bCs w:val="1"/>
                <w:color w:val="auto"/>
              </w:rPr>
              <w:t>347</w:t>
            </w: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9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70"/>
        </w:trPr>
        <w:tc>
          <w:tcPr>
            <w:tcW w:w="32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02"/>
        </w:trPr>
        <w:tc>
          <w:tcPr>
            <w:tcW w:w="32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28,091</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4,271</w:t>
            </w: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43,135</w:t>
            </w: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2,147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2,302</w:t>
            </w:r>
          </w:p>
        </w:tc>
      </w:tr>
      <w:tr>
        <w:trPr>
          <w:trHeight w:val="38"/>
        </w:trPr>
        <w:tc>
          <w:tcPr>
            <w:tcW w:w="3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442"/>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20"/>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3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2"/>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0"/>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280"/>
              <w:spacing w:after="0" w:line="180" w:lineRule="exact"/>
              <w:rPr>
                <w:sz w:val="20"/>
                <w:szCs w:val="20"/>
                <w:color w:val="auto"/>
              </w:rPr>
            </w:pPr>
            <w:r>
              <w:rPr>
                <w:rFonts w:ascii="Arial" w:cs="Arial" w:eastAsia="Arial" w:hAnsi="Arial"/>
                <w:sz w:val="16"/>
                <w:szCs w:val="16"/>
                <w:color w:val="auto"/>
              </w:rPr>
              <w:t>Pretax</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20"/>
              <w:spacing w:after="0" w:line="180" w:lineRule="exact"/>
              <w:rPr>
                <w:sz w:val="20"/>
                <w:szCs w:val="20"/>
                <w:color w:val="auto"/>
              </w:rPr>
            </w:pPr>
            <w:r>
              <w:rPr>
                <w:rFonts w:ascii="Arial" w:cs="Arial" w:eastAsia="Arial" w:hAnsi="Arial"/>
                <w:sz w:val="16"/>
                <w:szCs w:val="16"/>
                <w:color w:val="auto"/>
                <w:w w:val="97"/>
              </w:rPr>
              <w:t>and</w:t>
            </w:r>
          </w:p>
        </w:tc>
        <w:tc>
          <w:tcPr>
            <w:tcW w:w="100" w:type="dxa"/>
            <w:vAlign w:val="bottom"/>
          </w:tcPr>
          <w:p>
            <w:pPr>
              <w:spacing w:after="0"/>
              <w:rPr>
                <w:sz w:val="15"/>
                <w:szCs w:val="15"/>
                <w:color w:val="auto"/>
              </w:rPr>
            </w:pPr>
          </w:p>
        </w:tc>
        <w:tc>
          <w:tcPr>
            <w:tcW w:w="1020" w:type="dxa"/>
            <w:vAlign w:val="bottom"/>
          </w:tcPr>
          <w:p>
            <w:pPr>
              <w:jc w:val="center"/>
              <w:ind w:right="20"/>
              <w:spacing w:after="0" w:line="180" w:lineRule="exact"/>
              <w:rPr>
                <w:sz w:val="20"/>
                <w:szCs w:val="20"/>
                <w:color w:val="auto"/>
              </w:rPr>
            </w:pPr>
            <w:r>
              <w:rPr>
                <w:rFonts w:ascii="Arial" w:cs="Arial" w:eastAsia="Arial" w:hAnsi="Arial"/>
                <w:sz w:val="16"/>
                <w:szCs w:val="16"/>
                <w:color w:val="auto"/>
                <w:w w:val="96"/>
              </w:rPr>
              <w:t>Capital</w:t>
            </w:r>
          </w:p>
        </w:tc>
      </w:tr>
      <w:tr>
        <w:trPr>
          <w:trHeight w:val="180"/>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340"/>
              <w:spacing w:after="0" w:line="180" w:lineRule="exact"/>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5"/>
                <w:szCs w:val="15"/>
                <w:color w:val="auto"/>
              </w:rPr>
            </w:pPr>
          </w:p>
        </w:tc>
        <w:tc>
          <w:tcPr>
            <w:tcW w:w="1040" w:type="dxa"/>
            <w:vAlign w:val="bottom"/>
            <w:gridSpan w:val="3"/>
          </w:tcPr>
          <w:p>
            <w:pPr>
              <w:jc w:val="center"/>
              <w:ind w:right="280"/>
              <w:spacing w:after="0" w:line="180" w:lineRule="exact"/>
              <w:rPr>
                <w:sz w:val="20"/>
                <w:szCs w:val="20"/>
                <w:color w:val="auto"/>
              </w:rPr>
            </w:pPr>
            <w:r>
              <w:rPr>
                <w:rFonts w:ascii="Arial" w:cs="Arial" w:eastAsia="Arial" w:hAnsi="Arial"/>
                <w:sz w:val="16"/>
                <w:szCs w:val="16"/>
                <w:color w:val="auto"/>
                <w:w w:val="99"/>
              </w:rPr>
              <w:t>Income</w:t>
            </w:r>
          </w:p>
        </w:tc>
        <w:tc>
          <w:tcPr>
            <w:tcW w:w="200" w:type="dxa"/>
            <w:vAlign w:val="bottom"/>
          </w:tcPr>
          <w:p>
            <w:pPr>
              <w:spacing w:after="0"/>
              <w:rPr>
                <w:sz w:val="15"/>
                <w:szCs w:val="15"/>
                <w:color w:val="auto"/>
              </w:rPr>
            </w:pPr>
          </w:p>
        </w:tc>
        <w:tc>
          <w:tcPr>
            <w:tcW w:w="102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Assets</w:t>
            </w:r>
          </w:p>
        </w:tc>
        <w:tc>
          <w:tcPr>
            <w:tcW w:w="1080" w:type="dxa"/>
            <w:vAlign w:val="bottom"/>
            <w:gridSpan w:val="3"/>
          </w:tcPr>
          <w:p>
            <w:pPr>
              <w:jc w:val="center"/>
              <w:ind w:right="100"/>
              <w:spacing w:after="0" w:line="180" w:lineRule="exact"/>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5"/>
                <w:szCs w:val="15"/>
                <w:color w:val="auto"/>
              </w:rPr>
            </w:pPr>
          </w:p>
        </w:tc>
        <w:tc>
          <w:tcPr>
            <w:tcW w:w="1020" w:type="dxa"/>
            <w:vAlign w:val="bottom"/>
          </w:tcPr>
          <w:p>
            <w:pPr>
              <w:jc w:val="center"/>
              <w:ind w:right="20"/>
              <w:spacing w:after="0" w:line="180" w:lineRule="exact"/>
              <w:rPr>
                <w:sz w:val="20"/>
                <w:szCs w:val="20"/>
                <w:color w:val="auto"/>
              </w:rPr>
            </w:pPr>
            <w:r>
              <w:rPr>
                <w:rFonts w:ascii="Arial" w:cs="Arial" w:eastAsia="Arial" w:hAnsi="Arial"/>
                <w:sz w:val="16"/>
                <w:szCs w:val="16"/>
                <w:color w:val="auto"/>
              </w:rPr>
              <w:t>Investments</w:t>
            </w:r>
          </w:p>
        </w:tc>
      </w:tr>
      <w:tr>
        <w:trPr>
          <w:trHeight w:val="38"/>
        </w:trPr>
        <w:tc>
          <w:tcPr>
            <w:tcW w:w="3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0"/>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Digital &amp; Integration  . . . . . . . . . . . . . . . . . . . .</w:t>
            </w:r>
          </w:p>
        </w:tc>
        <w:tc>
          <w:tcPr>
            <w:tcW w:w="160" w:type="dxa"/>
            <w:vAlign w:val="bottom"/>
            <w:shd w:val="clear" w:color="auto" w:fill="CCCCC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3,290</w:t>
            </w:r>
          </w:p>
        </w:tc>
        <w:tc>
          <w:tcPr>
            <w:tcW w:w="180" w:type="dxa"/>
            <w:vAlign w:val="bottom"/>
            <w:shd w:val="clear" w:color="auto" w:fill="CCCCC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CCCC"/>
          </w:tcPr>
          <w:p>
            <w:pPr>
              <w:jc w:val="right"/>
              <w:ind w:right="100"/>
              <w:spacing w:after="0"/>
              <w:rPr>
                <w:sz w:val="20"/>
                <w:szCs w:val="20"/>
                <w:color w:val="auto"/>
              </w:rPr>
            </w:pPr>
            <w:r>
              <w:rPr>
                <w:rFonts w:ascii="Arial" w:cs="Arial" w:eastAsia="Arial" w:hAnsi="Arial"/>
                <w:sz w:val="16"/>
                <w:szCs w:val="16"/>
                <w:color w:val="auto"/>
              </w:rPr>
              <w:t>1,141</w:t>
            </w:r>
          </w:p>
        </w:tc>
        <w:tc>
          <w:tcPr>
            <w:tcW w:w="20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3,134</w:t>
            </w:r>
          </w:p>
        </w:tc>
        <w:tc>
          <w:tcPr>
            <w:tcW w:w="220" w:type="dxa"/>
            <w:vAlign w:val="bottom"/>
            <w:shd w:val="clear" w:color="auto" w:fill="CCCCC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516</w:t>
            </w:r>
          </w:p>
        </w:tc>
      </w:tr>
      <w:tr>
        <w:trPr>
          <w:trHeight w:val="216"/>
        </w:trPr>
        <w:tc>
          <w:tcPr>
            <w:tcW w:w="3260" w:type="dxa"/>
            <w:vAlign w:val="bottom"/>
          </w:tcPr>
          <w:p>
            <w:pPr>
              <w:jc w:val="right"/>
              <w:ind w:right="20"/>
              <w:spacing w:after="0"/>
              <w:rPr>
                <w:sz w:val="20"/>
                <w:szCs w:val="20"/>
                <w:color w:val="auto"/>
              </w:rPr>
            </w:pPr>
            <w:r>
              <w:rPr>
                <w:rFonts w:ascii="Arial" w:cs="Arial" w:eastAsia="Arial" w:hAnsi="Arial"/>
                <w:sz w:val="16"/>
                <w:szCs w:val="16"/>
                <w:color w:val="auto"/>
                <w:w w:val="96"/>
              </w:rPr>
              <w:t>Reservoir Performance . . . . . . . . . . . . . . . . . .</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4,599</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2,923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Well Construction . . . . . . . . . . . . . . . . . . . . . .</w:t>
            </w:r>
          </w:p>
        </w:tc>
        <w:tc>
          <w:tcPr>
            <w:tcW w:w="160" w:type="dxa"/>
            <w:vAlign w:val="bottom"/>
            <w:shd w:val="clear" w:color="auto" w:fill="CCCCCC"/>
          </w:tcPr>
          <w:p>
            <w:pPr>
              <w:spacing w:after="0"/>
              <w:rPr>
                <w:sz w:val="19"/>
                <w:szCs w:val="19"/>
                <w:color w:val="auto"/>
              </w:rPr>
            </w:pPr>
          </w:p>
        </w:tc>
        <w:tc>
          <w:tcPr>
            <w:tcW w:w="106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8,706</w:t>
            </w:r>
          </w:p>
        </w:tc>
        <w:tc>
          <w:tcPr>
            <w:tcW w:w="180" w:type="dxa"/>
            <w:vAlign w:val="bottom"/>
            <w:shd w:val="clear" w:color="auto" w:fill="CCCCCC"/>
          </w:tcPr>
          <w:p>
            <w:pPr>
              <w:spacing w:after="0"/>
              <w:rPr>
                <w:sz w:val="19"/>
                <w:szCs w:val="19"/>
                <w:color w:val="auto"/>
              </w:rPr>
            </w:pPr>
          </w:p>
        </w:tc>
        <w:tc>
          <w:tcPr>
            <w:tcW w:w="1040" w:type="dxa"/>
            <w:vAlign w:val="bottom"/>
            <w:gridSpan w:val="3"/>
            <w:shd w:val="clear" w:color="auto" w:fill="CCCCCC"/>
          </w:tcPr>
          <w:p>
            <w:pPr>
              <w:jc w:val="right"/>
              <w:ind w:right="100"/>
              <w:spacing w:after="0"/>
              <w:rPr>
                <w:sz w:val="20"/>
                <w:szCs w:val="20"/>
                <w:color w:val="auto"/>
              </w:rPr>
            </w:pPr>
            <w:r>
              <w:rPr>
                <w:rFonts w:ascii="Arial" w:cs="Arial" w:eastAsia="Arial" w:hAnsi="Arial"/>
                <w:sz w:val="16"/>
                <w:szCs w:val="16"/>
                <w:color w:val="auto"/>
              </w:rPr>
              <w:t>1,195</w:t>
            </w: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4,714</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424</w:t>
            </w:r>
          </w:p>
        </w:tc>
      </w:tr>
      <w:tr>
        <w:trPr>
          <w:trHeight w:val="216"/>
        </w:trPr>
        <w:tc>
          <w:tcPr>
            <w:tcW w:w="3260" w:type="dxa"/>
            <w:vAlign w:val="bottom"/>
          </w:tcPr>
          <w:p>
            <w:pPr>
              <w:jc w:val="right"/>
              <w:ind w:right="20"/>
              <w:spacing w:after="0"/>
              <w:rPr>
                <w:sz w:val="20"/>
                <w:szCs w:val="20"/>
                <w:color w:val="auto"/>
              </w:rPr>
            </w:pPr>
            <w:r>
              <w:rPr>
                <w:rFonts w:ascii="Arial" w:cs="Arial" w:eastAsia="Arial" w:hAnsi="Arial"/>
                <w:sz w:val="16"/>
                <w:szCs w:val="16"/>
                <w:color w:val="auto"/>
                <w:w w:val="98"/>
              </w:rPr>
              <w:t>Production Systems . . . . . . . . . . . . . . . . . . . .</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6,710</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4,684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8"/>
              </w:rPr>
              <w:t>Eliminations &amp; other . . . . . . . . . . . . . . . . . . . .</w:t>
            </w:r>
          </w:p>
        </w:tc>
        <w:tc>
          <w:tcPr>
            <w:tcW w:w="160" w:type="dxa"/>
            <w:vAlign w:val="bottom"/>
            <w:shd w:val="clear" w:color="auto" w:fill="CCCCCC"/>
          </w:tcPr>
          <w:p>
            <w:pPr>
              <w:spacing w:after="0"/>
              <w:rPr>
                <w:sz w:val="19"/>
                <w:szCs w:val="19"/>
                <w:color w:val="auto"/>
              </w:rPr>
            </w:pPr>
          </w:p>
        </w:tc>
        <w:tc>
          <w:tcPr>
            <w:tcW w:w="1060" w:type="dxa"/>
            <w:vAlign w:val="bottom"/>
            <w:gridSpan w:val="2"/>
            <w:shd w:val="clear" w:color="auto" w:fill="CCCCCC"/>
          </w:tcPr>
          <w:p>
            <w:pPr>
              <w:jc w:val="right"/>
              <w:ind w:right="40"/>
              <w:spacing w:after="0"/>
              <w:rPr>
                <w:sz w:val="20"/>
                <w:szCs w:val="20"/>
                <w:color w:val="auto"/>
              </w:rPr>
            </w:pPr>
            <w:r>
              <w:rPr>
                <w:rFonts w:ascii="Arial" w:cs="Arial" w:eastAsia="Arial" w:hAnsi="Arial"/>
                <w:sz w:val="16"/>
                <w:szCs w:val="16"/>
                <w:color w:val="auto"/>
              </w:rPr>
              <w:t>(376)</w:t>
            </w:r>
          </w:p>
        </w:tc>
        <w:tc>
          <w:tcPr>
            <w:tcW w:w="180" w:type="dxa"/>
            <w:vAlign w:val="bottom"/>
            <w:shd w:val="clear" w:color="auto" w:fill="CCCCCC"/>
          </w:tcPr>
          <w:p>
            <w:pPr>
              <w:spacing w:after="0"/>
              <w:rPr>
                <w:sz w:val="19"/>
                <w:szCs w:val="19"/>
                <w:color w:val="auto"/>
              </w:rPr>
            </w:pPr>
          </w:p>
        </w:tc>
        <w:tc>
          <w:tcPr>
            <w:tcW w:w="1040" w:type="dxa"/>
            <w:vAlign w:val="bottom"/>
            <w:gridSpan w:val="3"/>
            <w:shd w:val="clear" w:color="auto" w:fill="CCCCCC"/>
          </w:tcPr>
          <w:p>
            <w:pPr>
              <w:jc w:val="right"/>
              <w:ind w:right="40"/>
              <w:spacing w:after="0"/>
              <w:rPr>
                <w:sz w:val="20"/>
                <w:szCs w:val="20"/>
                <w:color w:val="auto"/>
              </w:rPr>
            </w:pPr>
            <w:r>
              <w:rPr>
                <w:rFonts w:ascii="Arial" w:cs="Arial" w:eastAsia="Arial" w:hAnsi="Arial"/>
                <w:sz w:val="16"/>
                <w:szCs w:val="16"/>
                <w:color w:val="auto"/>
              </w:rPr>
              <w:t>(253)</w:t>
            </w: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1,501</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99</w:t>
            </w:r>
          </w:p>
        </w:tc>
      </w:tr>
      <w:tr>
        <w:trPr>
          <w:trHeight w:val="70"/>
        </w:trPr>
        <w:tc>
          <w:tcPr>
            <w:tcW w:w="3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6"/>
        </w:trPr>
        <w:tc>
          <w:tcPr>
            <w:tcW w:w="3260" w:type="dxa"/>
            <w:vAlign w:val="bottom"/>
          </w:tcPr>
          <w:p>
            <w:pPr>
              <w:jc w:val="right"/>
              <w:ind w:right="20"/>
              <w:spacing w:after="0"/>
              <w:rPr>
                <w:sz w:val="20"/>
                <w:szCs w:val="20"/>
                <w:color w:val="auto"/>
              </w:rPr>
            </w:pPr>
            <w:r>
              <w:rPr>
                <w:rFonts w:ascii="Arial" w:cs="Arial" w:eastAsia="Arial" w:hAnsi="Arial"/>
                <w:sz w:val="16"/>
                <w:szCs w:val="16"/>
                <w:color w:val="auto"/>
              </w:rPr>
              <w:t>Pretax segment operating income . . . . .</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3,365</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8"/>
              </w:rPr>
              <w:t>Goodwill and intangible assets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380" w:type="dxa"/>
            <w:vAlign w:val="bottom"/>
            <w:shd w:val="clear" w:color="auto" w:fill="CCCCCC"/>
          </w:tcPr>
          <w:p>
            <w:pPr>
              <w:spacing w:after="0"/>
              <w:rPr>
                <w:sz w:val="19"/>
                <w:szCs w:val="19"/>
                <w:color w:val="auto"/>
              </w:rPr>
            </w:pPr>
          </w:p>
        </w:tc>
        <w:tc>
          <w:tcPr>
            <w:tcW w:w="5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16,201</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16"/>
        </w:trPr>
        <w:tc>
          <w:tcPr>
            <w:tcW w:w="3260" w:type="dxa"/>
            <w:vAlign w:val="bottom"/>
          </w:tcPr>
          <w:p>
            <w:pPr>
              <w:jc w:val="right"/>
              <w:ind w:right="20"/>
              <w:spacing w:after="0"/>
              <w:rPr>
                <w:sz w:val="20"/>
                <w:szCs w:val="20"/>
                <w:color w:val="auto"/>
              </w:rPr>
            </w:pPr>
            <w:r>
              <w:rPr>
                <w:rFonts w:ascii="Arial" w:cs="Arial" w:eastAsia="Arial" w:hAnsi="Arial"/>
                <w:sz w:val="16"/>
                <w:szCs w:val="16"/>
                <w:color w:val="auto"/>
                <w:w w:val="99"/>
              </w:rPr>
              <w:t>Cash and short-term investments . . . . . . . .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3,139</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326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All other assets . . . .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380" w:type="dxa"/>
            <w:vAlign w:val="bottom"/>
            <w:shd w:val="clear" w:color="auto" w:fill="CCCCCC"/>
          </w:tcPr>
          <w:p>
            <w:pPr>
              <w:spacing w:after="0"/>
              <w:rPr>
                <w:sz w:val="19"/>
                <w:szCs w:val="19"/>
                <w:color w:val="auto"/>
              </w:rPr>
            </w:pPr>
          </w:p>
        </w:tc>
        <w:tc>
          <w:tcPr>
            <w:tcW w:w="5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5,215</w:t>
            </w: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20"/>
        </w:trPr>
        <w:tc>
          <w:tcPr>
            <w:tcW w:w="3260" w:type="dxa"/>
            <w:vAlign w:val="bottom"/>
          </w:tcPr>
          <w:p>
            <w:pPr>
              <w:jc w:val="right"/>
              <w:ind w:right="20"/>
              <w:spacing w:after="0" w:line="220" w:lineRule="exact"/>
              <w:rPr>
                <w:sz w:val="20"/>
                <w:szCs w:val="20"/>
                <w:color w:val="auto"/>
              </w:rPr>
            </w:pPr>
            <w:r>
              <w:rPr>
                <w:rFonts w:ascii="Arial" w:cs="Arial" w:eastAsia="Arial" w:hAnsi="Arial"/>
                <w:sz w:val="16"/>
                <w:szCs w:val="16"/>
                <w:color w:val="auto"/>
                <w:w w:val="95"/>
              </w:rPr>
              <w:t xml:space="preserve">Corporate &amp; other </w:t>
            </w:r>
            <w:r>
              <w:rPr>
                <w:rFonts w:ascii="Arial" w:cs="Arial" w:eastAsia="Arial" w:hAnsi="Arial"/>
                <w:sz w:val="20"/>
                <w:szCs w:val="20"/>
                <w:color w:val="auto"/>
                <w:w w:val="95"/>
                <w:vertAlign w:val="superscript"/>
              </w:rPr>
              <w:t>(1)</w:t>
            </w:r>
            <w:r>
              <w:rPr>
                <w:rFonts w:ascii="Arial" w:cs="Arial" w:eastAsia="Arial" w:hAnsi="Arial"/>
                <w:sz w:val="16"/>
                <w:szCs w:val="16"/>
                <w:color w:val="auto"/>
                <w:w w:val="95"/>
              </w:rPr>
              <w:t xml:space="preserve">  . . . . . . . . . . . . . . . . . . .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(573)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3260" w:type="dxa"/>
            <w:vAlign w:val="bottom"/>
            <w:shd w:val="clear" w:color="auto" w:fill="CCCCCC"/>
          </w:tcPr>
          <w:p>
            <w:pPr>
              <w:jc w:val="right"/>
              <w:ind w:right="20"/>
              <w:spacing w:after="0" w:line="220" w:lineRule="exact"/>
              <w:rPr>
                <w:sz w:val="20"/>
                <w:szCs w:val="20"/>
                <w:color w:val="auto"/>
              </w:rPr>
            </w:pPr>
            <w:r>
              <w:rPr>
                <w:rFonts w:ascii="Arial" w:cs="Arial" w:eastAsia="Arial" w:hAnsi="Arial"/>
                <w:sz w:val="16"/>
                <w:szCs w:val="16"/>
                <w:color w:val="auto"/>
                <w:w w:val="95"/>
              </w:rPr>
              <w:t xml:space="preserve">Interest income </w:t>
            </w:r>
            <w:r>
              <w:rPr>
                <w:rFonts w:ascii="Arial" w:cs="Arial" w:eastAsia="Arial" w:hAnsi="Arial"/>
                <w:sz w:val="20"/>
                <w:szCs w:val="20"/>
                <w:color w:val="auto"/>
                <w:w w:val="95"/>
                <w:vertAlign w:val="superscript"/>
              </w:rPr>
              <w:t>(2)</w:t>
            </w:r>
            <w:r>
              <w:rPr>
                <w:rFonts w:ascii="Arial" w:cs="Arial" w:eastAsia="Arial" w:hAnsi="Arial"/>
                <w:sz w:val="16"/>
                <w:szCs w:val="16"/>
                <w:color w:val="auto"/>
                <w:w w:val="95"/>
              </w:rPr>
              <w:t xml:space="preserve">  . .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9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20"/>
        </w:trPr>
        <w:tc>
          <w:tcPr>
            <w:tcW w:w="3260" w:type="dxa"/>
            <w:vAlign w:val="bottom"/>
          </w:tcPr>
          <w:p>
            <w:pPr>
              <w:jc w:val="right"/>
              <w:ind w:right="20"/>
              <w:spacing w:after="0" w:line="220" w:lineRule="exact"/>
              <w:rPr>
                <w:sz w:val="20"/>
                <w:szCs w:val="20"/>
                <w:color w:val="auto"/>
              </w:rPr>
            </w:pPr>
            <w:r>
              <w:rPr>
                <w:rFonts w:ascii="Arial" w:cs="Arial" w:eastAsia="Arial" w:hAnsi="Arial"/>
                <w:sz w:val="16"/>
                <w:szCs w:val="16"/>
                <w:color w:val="auto"/>
                <w:w w:val="95"/>
              </w:rPr>
              <w:t xml:space="preserve">Interest expense </w:t>
            </w:r>
            <w:r>
              <w:rPr>
                <w:rFonts w:ascii="Arial" w:cs="Arial" w:eastAsia="Arial" w:hAnsi="Arial"/>
                <w:sz w:val="20"/>
                <w:szCs w:val="20"/>
                <w:color w:val="auto"/>
                <w:w w:val="95"/>
                <w:vertAlign w:val="superscript"/>
              </w:rPr>
              <w:t>(3)</w:t>
            </w:r>
            <w:r>
              <w:rPr>
                <w:rFonts w:ascii="Arial" w:cs="Arial" w:eastAsia="Arial" w:hAnsi="Arial"/>
                <w:sz w:val="16"/>
                <w:szCs w:val="16"/>
                <w:color w:val="auto"/>
                <w:w w:val="95"/>
              </w:rPr>
              <w:t xml:space="preserve">  . . . . . . . . . . . . . . . . . . . .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(514)</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3260" w:type="dxa"/>
            <w:vAlign w:val="bottom"/>
            <w:shd w:val="clear" w:color="auto" w:fill="CCCCCC"/>
          </w:tcPr>
          <w:p>
            <w:pPr>
              <w:jc w:val="right"/>
              <w:ind w:right="20"/>
              <w:spacing w:after="0" w:line="220" w:lineRule="exact"/>
              <w:rPr>
                <w:sz w:val="20"/>
                <w:szCs w:val="20"/>
                <w:color w:val="auto"/>
              </w:rPr>
            </w:pPr>
            <w:r>
              <w:rPr>
                <w:rFonts w:ascii="Arial" w:cs="Arial" w:eastAsia="Arial" w:hAnsi="Arial"/>
                <w:sz w:val="16"/>
                <w:szCs w:val="16"/>
                <w:color w:val="auto"/>
                <w:w w:val="95"/>
              </w:rPr>
              <w:t xml:space="preserve">Charges &amp; credits </w:t>
            </w:r>
            <w:r>
              <w:rPr>
                <w:rFonts w:ascii="Arial" w:cs="Arial" w:eastAsia="Arial" w:hAnsi="Arial"/>
                <w:sz w:val="20"/>
                <w:szCs w:val="20"/>
                <w:color w:val="auto"/>
                <w:w w:val="95"/>
                <w:vertAlign w:val="superscript"/>
              </w:rPr>
              <w:t>(4)</w:t>
            </w:r>
            <w:r>
              <w:rPr>
                <w:rFonts w:ascii="Arial" w:cs="Arial" w:eastAsia="Arial" w:hAnsi="Arial"/>
                <w:sz w:val="16"/>
                <w:szCs w:val="16"/>
                <w:color w:val="auto"/>
                <w:w w:val="95"/>
              </w:rPr>
              <w:t xml:space="preserve">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940" w:type="dxa"/>
            <w:vAlign w:val="bottom"/>
            <w:gridSpan w:val="2"/>
            <w:shd w:val="clear" w:color="auto" w:fill="CCCCC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9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2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70"/>
        </w:trPr>
        <w:tc>
          <w:tcPr>
            <w:tcW w:w="32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02"/>
        </w:trPr>
        <w:tc>
          <w:tcPr>
            <w:tcW w:w="32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22,929</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2,374</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41,511</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1,654</w:t>
            </w:r>
          </w:p>
        </w:tc>
      </w:tr>
      <w:tr>
        <w:trPr>
          <w:trHeight w:val="38"/>
        </w:trPr>
        <w:tc>
          <w:tcPr>
            <w:tcW w:w="3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9360"/>
          </w:cols>
          <w:pgMar w:left="1440" w:top="1440" w:right="1440" w:bottom="836" w:gutter="0" w:footer="0" w:header="0"/>
          <w:type w:val="continuous"/>
        </w:sectPr>
      </w:pPr>
    </w:p>
    <w:bookmarkStart w:id="87" w:name="page88"/>
    <w:bookmarkEnd w:id="87"/>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20"/>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3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2"/>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6"/>
                <w:szCs w:val="16"/>
                <w:color w:val="auto"/>
                <w:w w:val="99"/>
              </w:rPr>
              <w:t>Pretax</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0"/>
        </w:trPr>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center"/>
              <w:ind w:right="380"/>
              <w:spacing w:after="0" w:line="180" w:lineRule="exact"/>
              <w:rPr>
                <w:sz w:val="20"/>
                <w:szCs w:val="20"/>
                <w:color w:val="auto"/>
              </w:rPr>
            </w:pPr>
            <w:r>
              <w:rPr>
                <w:rFonts w:ascii="Arial" w:cs="Arial" w:eastAsia="Arial" w:hAnsi="Arial"/>
                <w:sz w:val="16"/>
                <w:szCs w:val="16"/>
                <w:color w:val="auto"/>
                <w:w w:val="99"/>
              </w:rPr>
              <w:t>Income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80" w:lineRule="exact"/>
              <w:rPr>
                <w:sz w:val="20"/>
                <w:szCs w:val="20"/>
                <w:color w:val="auto"/>
              </w:rPr>
            </w:pPr>
            <w:r>
              <w:rPr>
                <w:rFonts w:ascii="Arial" w:cs="Arial" w:eastAsia="Arial" w:hAnsi="Arial"/>
                <w:sz w:val="16"/>
                <w:szCs w:val="16"/>
                <w:color w:val="auto"/>
              </w:rPr>
              <w:t>and</w:t>
            </w:r>
          </w:p>
        </w:tc>
        <w:tc>
          <w:tcPr>
            <w:tcW w:w="100" w:type="dxa"/>
            <w:vAlign w:val="bottom"/>
          </w:tcPr>
          <w:p>
            <w:pPr>
              <w:spacing w:after="0"/>
              <w:rPr>
                <w:sz w:val="15"/>
                <w:szCs w:val="15"/>
                <w:color w:val="auto"/>
              </w:rPr>
            </w:pPr>
          </w:p>
        </w:tc>
        <w:tc>
          <w:tcPr>
            <w:tcW w:w="1020" w:type="dxa"/>
            <w:vAlign w:val="bottom"/>
          </w:tcPr>
          <w:p>
            <w:pPr>
              <w:jc w:val="right"/>
              <w:ind w:right="240"/>
              <w:spacing w:after="0" w:line="180" w:lineRule="exact"/>
              <w:rPr>
                <w:sz w:val="20"/>
                <w:szCs w:val="20"/>
                <w:color w:val="auto"/>
              </w:rPr>
            </w:pPr>
            <w:r>
              <w:rPr>
                <w:rFonts w:ascii="Arial" w:cs="Arial" w:eastAsia="Arial" w:hAnsi="Arial"/>
                <w:sz w:val="16"/>
                <w:szCs w:val="16"/>
                <w:color w:val="auto"/>
              </w:rPr>
              <w:t>Capital</w:t>
            </w:r>
          </w:p>
        </w:tc>
      </w:tr>
      <w:tr>
        <w:trPr>
          <w:trHeight w:val="180"/>
        </w:trPr>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340"/>
              <w:spacing w:after="0" w:line="180" w:lineRule="exact"/>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5"/>
                <w:szCs w:val="15"/>
                <w:color w:val="auto"/>
              </w:rPr>
            </w:pPr>
          </w:p>
        </w:tc>
        <w:tc>
          <w:tcPr>
            <w:tcW w:w="940" w:type="dxa"/>
            <w:vAlign w:val="bottom"/>
            <w:gridSpan w:val="2"/>
          </w:tcPr>
          <w:p>
            <w:pPr>
              <w:jc w:val="center"/>
              <w:ind w:right="380"/>
              <w:spacing w:after="0" w:line="180" w:lineRule="exact"/>
              <w:rPr>
                <w:sz w:val="20"/>
                <w:szCs w:val="20"/>
                <w:color w:val="auto"/>
              </w:rPr>
            </w:pPr>
            <w:r>
              <w:rPr>
                <w:rFonts w:ascii="Arial" w:cs="Arial" w:eastAsia="Arial" w:hAnsi="Arial"/>
                <w:sz w:val="16"/>
                <w:szCs w:val="16"/>
                <w:color w:val="auto"/>
                <w:w w:val="98"/>
              </w:rPr>
              <w:t>(Loss)</w:t>
            </w:r>
          </w:p>
        </w:tc>
        <w:tc>
          <w:tcPr>
            <w:tcW w:w="200" w:type="dxa"/>
            <w:vAlign w:val="bottom"/>
          </w:tcPr>
          <w:p>
            <w:pPr>
              <w:spacing w:after="0"/>
              <w:rPr>
                <w:sz w:val="15"/>
                <w:szCs w:val="15"/>
                <w:color w:val="auto"/>
              </w:rPr>
            </w:pPr>
          </w:p>
        </w:tc>
        <w:tc>
          <w:tcPr>
            <w:tcW w:w="102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80" w:lineRule="exact"/>
              <w:rPr>
                <w:sz w:val="20"/>
                <w:szCs w:val="20"/>
                <w:color w:val="auto"/>
              </w:rPr>
            </w:pPr>
            <w:r>
              <w:rPr>
                <w:rFonts w:ascii="Arial" w:cs="Arial" w:eastAsia="Arial" w:hAnsi="Arial"/>
                <w:sz w:val="16"/>
                <w:szCs w:val="16"/>
                <w:color w:val="auto"/>
                <w:w w:val="98"/>
              </w:rPr>
              <w:t>Amortization</w:t>
            </w:r>
          </w:p>
        </w:tc>
        <w:tc>
          <w:tcPr>
            <w:tcW w:w="100" w:type="dxa"/>
            <w:vAlign w:val="bottom"/>
          </w:tcPr>
          <w:p>
            <w:pPr>
              <w:spacing w:after="0"/>
              <w:rPr>
                <w:sz w:val="15"/>
                <w:szCs w:val="15"/>
                <w:color w:val="auto"/>
              </w:rPr>
            </w:pPr>
          </w:p>
        </w:tc>
        <w:tc>
          <w:tcPr>
            <w:tcW w:w="1020" w:type="dxa"/>
            <w:vAlign w:val="bottom"/>
          </w:tcPr>
          <w:p>
            <w:pPr>
              <w:jc w:val="right"/>
              <w:ind w:right="40"/>
              <w:spacing w:after="0" w:line="180" w:lineRule="exact"/>
              <w:rPr>
                <w:sz w:val="20"/>
                <w:szCs w:val="20"/>
                <w:color w:val="auto"/>
              </w:rPr>
            </w:pPr>
            <w:r>
              <w:rPr>
                <w:rFonts w:ascii="Arial" w:cs="Arial" w:eastAsia="Arial" w:hAnsi="Arial"/>
                <w:sz w:val="16"/>
                <w:szCs w:val="16"/>
                <w:color w:val="auto"/>
              </w:rPr>
              <w:t>Investments</w:t>
            </w:r>
          </w:p>
        </w:tc>
      </w:tr>
      <w:tr>
        <w:trPr>
          <w:trHeight w:val="38"/>
        </w:trPr>
        <w:tc>
          <w:tcPr>
            <w:tcW w:w="3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0"/>
        </w:trPr>
        <w:tc>
          <w:tcPr>
            <w:tcW w:w="312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Digital &amp; Integration . . . . . . . . . . . . . . . . . . .</w:t>
            </w:r>
          </w:p>
        </w:tc>
        <w:tc>
          <w:tcPr>
            <w:tcW w:w="160" w:type="dxa"/>
            <w:vAlign w:val="bottom"/>
            <w:shd w:val="clear" w:color="auto" w:fill="CCCCC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3,067</w:t>
            </w:r>
          </w:p>
        </w:tc>
        <w:tc>
          <w:tcPr>
            <w:tcW w:w="280" w:type="dxa"/>
            <w:vAlign w:val="bottom"/>
            <w:shd w:val="clear" w:color="auto" w:fill="CCCCC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CCCC"/>
          </w:tcPr>
          <w:p>
            <w:pPr>
              <w:spacing w:after="0"/>
              <w:rPr>
                <w:sz w:val="18"/>
                <w:szCs w:val="18"/>
                <w:color w:val="auto"/>
              </w:rPr>
            </w:pPr>
          </w:p>
        </w:tc>
        <w:tc>
          <w:tcPr>
            <w:tcW w:w="200" w:type="dxa"/>
            <w:vAlign w:val="bottom"/>
            <w:shd w:val="clear" w:color="auto" w:fill="CCCCC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3,595</w:t>
            </w:r>
          </w:p>
        </w:tc>
        <w:tc>
          <w:tcPr>
            <w:tcW w:w="100" w:type="dxa"/>
            <w:vAlign w:val="bottom"/>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413</w:t>
            </w:r>
          </w:p>
        </w:tc>
      </w:tr>
      <w:tr>
        <w:trPr>
          <w:trHeight w:val="216"/>
        </w:trPr>
        <w:tc>
          <w:tcPr>
            <w:tcW w:w="3120" w:type="dxa"/>
            <w:vAlign w:val="bottom"/>
          </w:tcPr>
          <w:p>
            <w:pPr>
              <w:jc w:val="right"/>
              <w:ind w:right="20"/>
              <w:spacing w:after="0"/>
              <w:rPr>
                <w:sz w:val="20"/>
                <w:szCs w:val="20"/>
                <w:color w:val="auto"/>
              </w:rPr>
            </w:pPr>
            <w:r>
              <w:rPr>
                <w:rFonts w:ascii="Arial" w:cs="Arial" w:eastAsia="Arial" w:hAnsi="Arial"/>
                <w:sz w:val="16"/>
                <w:szCs w:val="16"/>
                <w:color w:val="auto"/>
                <w:w w:val="97"/>
              </w:rPr>
              <w:t>Reservoir Performance . . . . . . . . . . . . . . . .</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5,602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24"/>
        </w:trPr>
        <w:tc>
          <w:tcPr>
            <w:tcW w:w="312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Well Construction  . . . . . . . . . . . . . . . . . . . .</w:t>
            </w:r>
          </w:p>
        </w:tc>
        <w:tc>
          <w:tcPr>
            <w:tcW w:w="160" w:type="dxa"/>
            <w:vAlign w:val="bottom"/>
            <w:shd w:val="clear" w:color="auto" w:fill="CCCCCC"/>
          </w:tcPr>
          <w:p>
            <w:pPr>
              <w:spacing w:after="0"/>
              <w:rPr>
                <w:sz w:val="19"/>
                <w:szCs w:val="19"/>
                <w:color w:val="auto"/>
              </w:rPr>
            </w:pPr>
          </w:p>
        </w:tc>
        <w:tc>
          <w:tcPr>
            <w:tcW w:w="106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8,614</w:t>
            </w:r>
          </w:p>
        </w:tc>
        <w:tc>
          <w:tcPr>
            <w:tcW w:w="280" w:type="dxa"/>
            <w:vAlign w:val="bottom"/>
            <w:shd w:val="clear" w:color="auto" w:fill="CCCCCC"/>
          </w:tcPr>
          <w:p>
            <w:pPr>
              <w:spacing w:after="0"/>
              <w:rPr>
                <w:sz w:val="19"/>
                <w:szCs w:val="19"/>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4,768</w:t>
            </w: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420</w:t>
            </w:r>
          </w:p>
        </w:tc>
      </w:tr>
      <w:tr>
        <w:trPr>
          <w:trHeight w:val="216"/>
        </w:trPr>
        <w:tc>
          <w:tcPr>
            <w:tcW w:w="3120" w:type="dxa"/>
            <w:vAlign w:val="bottom"/>
          </w:tcPr>
          <w:p>
            <w:pPr>
              <w:jc w:val="right"/>
              <w:ind w:right="20"/>
              <w:spacing w:after="0"/>
              <w:rPr>
                <w:sz w:val="20"/>
                <w:szCs w:val="20"/>
                <w:color w:val="auto"/>
              </w:rPr>
            </w:pPr>
            <w:r>
              <w:rPr>
                <w:rFonts w:ascii="Arial" w:cs="Arial" w:eastAsia="Arial" w:hAnsi="Arial"/>
                <w:sz w:val="16"/>
                <w:szCs w:val="16"/>
                <w:color w:val="auto"/>
                <w:w w:val="97"/>
              </w:rPr>
              <w:t>Production Systems  . . . . . . . . . . . . . . . . . .</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6,650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4,665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24"/>
        </w:trPr>
        <w:tc>
          <w:tcPr>
            <w:tcW w:w="312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7"/>
              </w:rPr>
              <w:t>Eliminations &amp; other  . . . . . . . . . . . . . . . . . .</w:t>
            </w:r>
          </w:p>
        </w:tc>
        <w:tc>
          <w:tcPr>
            <w:tcW w:w="160" w:type="dxa"/>
            <w:vAlign w:val="bottom"/>
            <w:shd w:val="clear" w:color="auto" w:fill="CCCCCC"/>
          </w:tcPr>
          <w:p>
            <w:pPr>
              <w:spacing w:after="0"/>
              <w:rPr>
                <w:sz w:val="19"/>
                <w:szCs w:val="19"/>
                <w:color w:val="auto"/>
              </w:rPr>
            </w:pPr>
          </w:p>
        </w:tc>
        <w:tc>
          <w:tcPr>
            <w:tcW w:w="1060" w:type="dxa"/>
            <w:vAlign w:val="bottom"/>
            <w:gridSpan w:val="2"/>
            <w:shd w:val="clear" w:color="auto" w:fill="CCCCCC"/>
          </w:tcPr>
          <w:p>
            <w:pPr>
              <w:jc w:val="right"/>
              <w:ind w:right="60"/>
              <w:spacing w:after="0"/>
              <w:rPr>
                <w:sz w:val="20"/>
                <w:szCs w:val="20"/>
                <w:color w:val="auto"/>
              </w:rPr>
            </w:pPr>
            <w:r>
              <w:rPr>
                <w:rFonts w:ascii="Arial" w:cs="Arial" w:eastAsia="Arial" w:hAnsi="Arial"/>
                <w:sz w:val="16"/>
                <w:szCs w:val="16"/>
                <w:color w:val="auto"/>
              </w:rPr>
              <w:t>(332)</w:t>
            </w:r>
          </w:p>
        </w:tc>
        <w:tc>
          <w:tcPr>
            <w:tcW w:w="280" w:type="dxa"/>
            <w:vAlign w:val="bottom"/>
            <w:shd w:val="clear" w:color="auto" w:fill="CCCCCC"/>
          </w:tcPr>
          <w:p>
            <w:pPr>
              <w:spacing w:after="0"/>
              <w:rPr>
                <w:sz w:val="19"/>
                <w:szCs w:val="19"/>
                <w:color w:val="auto"/>
              </w:rPr>
            </w:pPr>
          </w:p>
        </w:tc>
        <w:tc>
          <w:tcPr>
            <w:tcW w:w="940" w:type="dxa"/>
            <w:vAlign w:val="bottom"/>
            <w:gridSpan w:val="2"/>
            <w:shd w:val="clear" w:color="auto" w:fill="CCCCCC"/>
          </w:tcPr>
          <w:p>
            <w:pPr>
              <w:jc w:val="right"/>
              <w:ind w:right="40"/>
              <w:spacing w:after="0"/>
              <w:rPr>
                <w:sz w:val="20"/>
                <w:szCs w:val="20"/>
                <w:color w:val="auto"/>
              </w:rPr>
            </w:pPr>
            <w:r>
              <w:rPr>
                <w:rFonts w:ascii="Arial" w:cs="Arial" w:eastAsia="Arial" w:hAnsi="Arial"/>
                <w:sz w:val="16"/>
                <w:szCs w:val="16"/>
                <w:color w:val="auto"/>
              </w:rPr>
              <w:t>(172)</w:t>
            </w:r>
          </w:p>
        </w:tc>
        <w:tc>
          <w:tcPr>
            <w:tcW w:w="200" w:type="dxa"/>
            <w:vAlign w:val="bottom"/>
            <w:shd w:val="clear" w:color="auto" w:fill="CCCCCC"/>
          </w:tcPr>
          <w:p>
            <w:pPr>
              <w:spacing w:after="0"/>
              <w:rPr>
                <w:sz w:val="19"/>
                <w:szCs w:val="19"/>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63</w:t>
            </w:r>
          </w:p>
        </w:tc>
      </w:tr>
      <w:tr>
        <w:trPr>
          <w:trHeight w:val="70"/>
        </w:trPr>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6"/>
        </w:trPr>
        <w:tc>
          <w:tcPr>
            <w:tcW w:w="3120" w:type="dxa"/>
            <w:vAlign w:val="bottom"/>
          </w:tcPr>
          <w:p>
            <w:pPr>
              <w:jc w:val="right"/>
              <w:ind w:right="20"/>
              <w:spacing w:after="0"/>
              <w:rPr>
                <w:sz w:val="20"/>
                <w:szCs w:val="20"/>
                <w:color w:val="auto"/>
              </w:rPr>
            </w:pPr>
            <w:r>
              <w:rPr>
                <w:rFonts w:ascii="Arial" w:cs="Arial" w:eastAsia="Arial" w:hAnsi="Arial"/>
                <w:sz w:val="16"/>
                <w:szCs w:val="16"/>
                <w:color w:val="auto"/>
              </w:rPr>
              <w:t>Pretax segment operating income  . . .</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2,401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312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8"/>
              </w:rPr>
              <w:t>Goodwill and intangible assets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80" w:type="dxa"/>
            <w:vAlign w:val="bottom"/>
            <w:shd w:val="clear" w:color="auto" w:fill="CCCCCC"/>
          </w:tcPr>
          <w:p>
            <w:pPr>
              <w:spacing w:after="0"/>
              <w:rPr>
                <w:sz w:val="19"/>
                <w:szCs w:val="19"/>
                <w:color w:val="auto"/>
              </w:rPr>
            </w:pPr>
          </w:p>
        </w:tc>
        <w:tc>
          <w:tcPr>
            <w:tcW w:w="84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16,436</w:t>
            </w: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16"/>
        </w:trPr>
        <w:tc>
          <w:tcPr>
            <w:tcW w:w="3120" w:type="dxa"/>
            <w:vAlign w:val="bottom"/>
          </w:tcPr>
          <w:p>
            <w:pPr>
              <w:jc w:val="right"/>
              <w:ind w:right="20"/>
              <w:spacing w:after="0"/>
              <w:rPr>
                <w:sz w:val="20"/>
                <w:szCs w:val="20"/>
                <w:color w:val="auto"/>
              </w:rPr>
            </w:pPr>
            <w:r>
              <w:rPr>
                <w:rFonts w:ascii="Arial" w:cs="Arial" w:eastAsia="Arial" w:hAnsi="Arial"/>
                <w:sz w:val="16"/>
                <w:szCs w:val="16"/>
                <w:color w:val="auto"/>
                <w:w w:val="99"/>
              </w:rPr>
              <w:t>Cash and short-term investments  . . . . . .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312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w w:val="96"/>
              </w:rPr>
              <w:t>All other assets  . .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80" w:type="dxa"/>
            <w:vAlign w:val="bottom"/>
            <w:shd w:val="clear" w:color="auto" w:fill="CCCCCC"/>
          </w:tcPr>
          <w:p>
            <w:pPr>
              <w:spacing w:after="0"/>
              <w:rPr>
                <w:sz w:val="19"/>
                <w:szCs w:val="19"/>
                <w:color w:val="auto"/>
              </w:rPr>
            </w:pPr>
          </w:p>
        </w:tc>
        <w:tc>
          <w:tcPr>
            <w:tcW w:w="84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5,535</w:t>
            </w: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20"/>
        </w:trPr>
        <w:tc>
          <w:tcPr>
            <w:tcW w:w="3120" w:type="dxa"/>
            <w:vAlign w:val="bottom"/>
          </w:tcPr>
          <w:p>
            <w:pPr>
              <w:jc w:val="right"/>
              <w:ind w:right="20"/>
              <w:spacing w:after="0" w:line="220" w:lineRule="exact"/>
              <w:rPr>
                <w:sz w:val="20"/>
                <w:szCs w:val="20"/>
                <w:color w:val="auto"/>
              </w:rPr>
            </w:pPr>
            <w:r>
              <w:rPr>
                <w:rFonts w:ascii="Arial" w:cs="Arial" w:eastAsia="Arial" w:hAnsi="Arial"/>
                <w:sz w:val="16"/>
                <w:szCs w:val="16"/>
                <w:color w:val="auto"/>
                <w:w w:val="95"/>
              </w:rPr>
              <w:t xml:space="preserve">Corporate &amp; other </w:t>
            </w:r>
            <w:r>
              <w:rPr>
                <w:rFonts w:ascii="Arial" w:cs="Arial" w:eastAsia="Arial" w:hAnsi="Arial"/>
                <w:sz w:val="20"/>
                <w:szCs w:val="20"/>
                <w:color w:val="auto"/>
                <w:w w:val="95"/>
                <w:vertAlign w:val="superscript"/>
              </w:rPr>
              <w:t>(1)</w:t>
            </w:r>
            <w:r>
              <w:rPr>
                <w:rFonts w:ascii="Arial" w:cs="Arial" w:eastAsia="Arial" w:hAnsi="Arial"/>
                <w:sz w:val="16"/>
                <w:szCs w:val="16"/>
                <w:color w:val="auto"/>
                <w:w w:val="95"/>
              </w:rPr>
              <w:t xml:space="preserve">  . . . . . . . . . . . . . . . . .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(681)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3120" w:type="dxa"/>
            <w:vAlign w:val="bottom"/>
            <w:shd w:val="clear" w:color="auto" w:fill="CCCCCC"/>
          </w:tcPr>
          <w:p>
            <w:pPr>
              <w:jc w:val="right"/>
              <w:ind w:right="20"/>
              <w:spacing w:after="0" w:line="220" w:lineRule="exact"/>
              <w:rPr>
                <w:sz w:val="20"/>
                <w:szCs w:val="20"/>
                <w:color w:val="auto"/>
              </w:rPr>
            </w:pPr>
            <w:r>
              <w:rPr>
                <w:rFonts w:ascii="Arial" w:cs="Arial" w:eastAsia="Arial" w:hAnsi="Arial"/>
                <w:sz w:val="16"/>
                <w:szCs w:val="16"/>
                <w:color w:val="auto"/>
                <w:w w:val="95"/>
              </w:rPr>
              <w:t xml:space="preserve">Interest income </w:t>
            </w:r>
            <w:r>
              <w:rPr>
                <w:rFonts w:ascii="Arial" w:cs="Arial" w:eastAsia="Arial" w:hAnsi="Arial"/>
                <w:sz w:val="20"/>
                <w:szCs w:val="20"/>
                <w:color w:val="auto"/>
                <w:w w:val="95"/>
                <w:vertAlign w:val="superscript"/>
              </w:rPr>
              <w:t>(2)</w:t>
            </w:r>
            <w:r>
              <w:rPr>
                <w:rFonts w:ascii="Arial" w:cs="Arial" w:eastAsia="Arial" w:hAnsi="Arial"/>
                <w:sz w:val="16"/>
                <w:szCs w:val="16"/>
                <w:color w:val="auto"/>
                <w:w w:val="95"/>
              </w:rPr>
              <w:t xml:space="preserve">  . .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80" w:type="dxa"/>
            <w:vAlign w:val="bottom"/>
            <w:shd w:val="clear" w:color="auto" w:fill="CCCCCC"/>
          </w:tcPr>
          <w:p>
            <w:pPr>
              <w:spacing w:after="0"/>
              <w:rPr>
                <w:sz w:val="19"/>
                <w:szCs w:val="19"/>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9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220"/>
        </w:trPr>
        <w:tc>
          <w:tcPr>
            <w:tcW w:w="3120" w:type="dxa"/>
            <w:vAlign w:val="bottom"/>
          </w:tcPr>
          <w:p>
            <w:pPr>
              <w:jc w:val="right"/>
              <w:ind w:right="20"/>
              <w:spacing w:after="0" w:line="220" w:lineRule="exact"/>
              <w:rPr>
                <w:sz w:val="20"/>
                <w:szCs w:val="20"/>
                <w:color w:val="auto"/>
              </w:rPr>
            </w:pPr>
            <w:r>
              <w:rPr>
                <w:rFonts w:ascii="Arial" w:cs="Arial" w:eastAsia="Arial" w:hAnsi="Arial"/>
                <w:sz w:val="16"/>
                <w:szCs w:val="16"/>
                <w:color w:val="auto"/>
                <w:w w:val="95"/>
              </w:rPr>
              <w:t xml:space="preserve">Interest expense </w:t>
            </w:r>
            <w:r>
              <w:rPr>
                <w:rFonts w:ascii="Arial" w:cs="Arial" w:eastAsia="Arial" w:hAnsi="Arial"/>
                <w:sz w:val="20"/>
                <w:szCs w:val="20"/>
                <w:color w:val="auto"/>
                <w:w w:val="95"/>
                <w:vertAlign w:val="superscript"/>
              </w:rPr>
              <w:t>(3)</w:t>
            </w:r>
            <w:r>
              <w:rPr>
                <w:rFonts w:ascii="Arial" w:cs="Arial" w:eastAsia="Arial" w:hAnsi="Arial"/>
                <w:sz w:val="16"/>
                <w:szCs w:val="16"/>
                <w:color w:val="auto"/>
                <w:w w:val="95"/>
              </w:rPr>
              <w:t xml:space="preserve">  . . . . . . . . . . . . . . . . . .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(534)</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3120" w:type="dxa"/>
            <w:vAlign w:val="bottom"/>
            <w:shd w:val="clear" w:color="auto" w:fill="CCCCCC"/>
          </w:tcPr>
          <w:p>
            <w:pPr>
              <w:jc w:val="right"/>
              <w:ind w:right="20"/>
              <w:spacing w:after="0" w:line="220" w:lineRule="exact"/>
              <w:rPr>
                <w:sz w:val="20"/>
                <w:szCs w:val="20"/>
                <w:color w:val="auto"/>
              </w:rPr>
            </w:pPr>
            <w:r>
              <w:rPr>
                <w:rFonts w:ascii="Arial" w:cs="Arial" w:eastAsia="Arial" w:hAnsi="Arial"/>
                <w:sz w:val="16"/>
                <w:szCs w:val="16"/>
                <w:color w:val="auto"/>
                <w:w w:val="95"/>
              </w:rPr>
              <w:t xml:space="preserve">Charges &amp; credits </w:t>
            </w:r>
            <w:r>
              <w:rPr>
                <w:rFonts w:ascii="Arial" w:cs="Arial" w:eastAsia="Arial" w:hAnsi="Arial"/>
                <w:sz w:val="20"/>
                <w:szCs w:val="20"/>
                <w:color w:val="auto"/>
                <w:w w:val="95"/>
                <w:vertAlign w:val="superscript"/>
              </w:rPr>
              <w:t>(4)</w:t>
            </w:r>
            <w:r>
              <w:rPr>
                <w:rFonts w:ascii="Arial" w:cs="Arial" w:eastAsia="Arial" w:hAnsi="Arial"/>
                <w:sz w:val="16"/>
                <w:szCs w:val="16"/>
                <w:color w:val="auto"/>
                <w:w w:val="95"/>
              </w:rPr>
              <w:t xml:space="preserve">  . . . . . . . . . . . . . . . . . .</w:t>
            </w:r>
          </w:p>
        </w:tc>
        <w:tc>
          <w:tcPr>
            <w:tcW w:w="160" w:type="dxa"/>
            <w:vAlign w:val="bottom"/>
            <w:shd w:val="clear" w:color="auto" w:fill="CCCCCC"/>
          </w:tcPr>
          <w:p>
            <w:pPr>
              <w:spacing w:after="0"/>
              <w:rPr>
                <w:sz w:val="19"/>
                <w:szCs w:val="19"/>
                <w:color w:val="auto"/>
              </w:rPr>
            </w:pPr>
          </w:p>
        </w:tc>
        <w:tc>
          <w:tcPr>
            <w:tcW w:w="9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280" w:type="dxa"/>
            <w:vAlign w:val="bottom"/>
            <w:shd w:val="clear" w:color="auto" w:fill="CCCCCC"/>
          </w:tcPr>
          <w:p>
            <w:pPr>
              <w:spacing w:after="0"/>
              <w:rPr>
                <w:sz w:val="19"/>
                <w:szCs w:val="19"/>
                <w:color w:val="auto"/>
              </w:rPr>
            </w:pPr>
          </w:p>
        </w:tc>
        <w:tc>
          <w:tcPr>
            <w:tcW w:w="940" w:type="dxa"/>
            <w:vAlign w:val="bottom"/>
            <w:gridSpan w:val="2"/>
            <w:shd w:val="clear" w:color="auto" w:fill="CCCCCC"/>
          </w:tcPr>
          <w:p>
            <w:pPr>
              <w:jc w:val="right"/>
              <w:ind w:right="40"/>
              <w:spacing w:after="0"/>
              <w:rPr>
                <w:sz w:val="20"/>
                <w:szCs w:val="20"/>
                <w:color w:val="auto"/>
              </w:rPr>
            </w:pPr>
            <w:r>
              <w:rPr>
                <w:rFonts w:ascii="Arial" w:cs="Arial" w:eastAsia="Arial" w:hAnsi="Arial"/>
                <w:sz w:val="16"/>
                <w:szCs w:val="16"/>
                <w:color w:val="auto"/>
              </w:rPr>
              <w:t>(12,515)</w:t>
            </w:r>
          </w:p>
        </w:tc>
        <w:tc>
          <w:tcPr>
            <w:tcW w:w="200" w:type="dxa"/>
            <w:vAlign w:val="bottom"/>
            <w:shd w:val="clear" w:color="auto" w:fill="CCCCCC"/>
          </w:tcPr>
          <w:p>
            <w:pPr>
              <w:spacing w:after="0"/>
              <w:rPr>
                <w:sz w:val="19"/>
                <w:szCs w:val="19"/>
                <w:color w:val="auto"/>
              </w:rPr>
            </w:pPr>
          </w:p>
        </w:tc>
        <w:tc>
          <w:tcPr>
            <w:tcW w:w="9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r>
      <w:tr>
        <w:trPr>
          <w:trHeight w:val="70"/>
        </w:trPr>
        <w:tc>
          <w:tcPr>
            <w:tcW w:w="3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02"/>
        </w:trPr>
        <w:tc>
          <w:tcPr>
            <w:tcW w:w="31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23,601</w:t>
            </w:r>
          </w:p>
        </w:tc>
        <w:tc>
          <w:tcPr>
            <w:tcW w:w="10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(11,298)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42,434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1,520</w:t>
            </w:r>
          </w:p>
        </w:tc>
      </w:tr>
      <w:tr>
        <w:trPr>
          <w:trHeight w:val="38"/>
        </w:trPr>
        <w:tc>
          <w:tcPr>
            <w:tcW w:w="3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480" w:right="120" w:hanging="360"/>
        <w:spacing w:after="0" w:line="226" w:lineRule="auto"/>
        <w:tabs>
          <w:tab w:leader="none" w:pos="480"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7" w:lineRule="exact"/>
        <w:rPr>
          <w:rFonts w:ascii="Arial" w:cs="Arial" w:eastAsia="Arial" w:hAnsi="Arial"/>
          <w:sz w:val="23"/>
          <w:szCs w:val="23"/>
          <w:color w:val="auto"/>
          <w:vertAlign w:val="superscript"/>
        </w:rPr>
      </w:pPr>
    </w:p>
    <w:p>
      <w:pPr>
        <w:ind w:left="480" w:hanging="360"/>
        <w:spacing w:after="0"/>
        <w:tabs>
          <w:tab w:leader="none" w:pos="480"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Interest income excludes amounts which are included in the segments’ income (2022: $72 million; 2021: $2</w:t>
      </w:r>
    </w:p>
    <w:p>
      <w:pPr>
        <w:spacing w:after="0" w:line="54" w:lineRule="exact"/>
        <w:rPr>
          <w:rFonts w:ascii="Arial" w:cs="Arial" w:eastAsia="Arial" w:hAnsi="Arial"/>
          <w:sz w:val="23"/>
          <w:szCs w:val="23"/>
          <w:color w:val="auto"/>
          <w:vertAlign w:val="superscript"/>
        </w:rPr>
      </w:pPr>
    </w:p>
    <w:p>
      <w:pPr>
        <w:ind w:left="480"/>
        <w:spacing w:after="0" w:line="191" w:lineRule="auto"/>
        <w:rPr>
          <w:rFonts w:ascii="Arial" w:cs="Arial" w:eastAsia="Arial" w:hAnsi="Arial"/>
          <w:sz w:val="23"/>
          <w:szCs w:val="23"/>
          <w:color w:val="auto"/>
          <w:vertAlign w:val="superscript"/>
        </w:rPr>
      </w:pPr>
      <w:r>
        <w:rPr>
          <w:rFonts w:ascii="Arial" w:cs="Arial" w:eastAsia="Arial" w:hAnsi="Arial"/>
          <w:sz w:val="18"/>
          <w:szCs w:val="18"/>
          <w:color w:val="auto"/>
        </w:rPr>
        <w:t>million; 2020: $2 million).</w:t>
      </w:r>
    </w:p>
    <w:p>
      <w:pPr>
        <w:spacing w:after="0" w:line="76" w:lineRule="exact"/>
        <w:rPr>
          <w:rFonts w:ascii="Arial" w:cs="Arial" w:eastAsia="Arial" w:hAnsi="Arial"/>
          <w:sz w:val="23"/>
          <w:szCs w:val="23"/>
          <w:color w:val="auto"/>
          <w:vertAlign w:val="superscript"/>
        </w:rPr>
      </w:pPr>
    </w:p>
    <w:p>
      <w:pPr>
        <w:ind w:left="480" w:hanging="360"/>
        <w:spacing w:after="0"/>
        <w:tabs>
          <w:tab w:leader="none" w:pos="480"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Interest expense excludes amounts which are included in the segments’ income (2022: $13 million; 2021: $15</w:t>
      </w:r>
    </w:p>
    <w:p>
      <w:pPr>
        <w:spacing w:after="0" w:line="54" w:lineRule="exact"/>
        <w:rPr>
          <w:rFonts w:ascii="Arial" w:cs="Arial" w:eastAsia="Arial" w:hAnsi="Arial"/>
          <w:sz w:val="23"/>
          <w:szCs w:val="23"/>
          <w:color w:val="auto"/>
          <w:vertAlign w:val="superscript"/>
        </w:rPr>
      </w:pPr>
    </w:p>
    <w:p>
      <w:pPr>
        <w:ind w:left="480"/>
        <w:spacing w:after="0" w:line="191" w:lineRule="auto"/>
        <w:rPr>
          <w:rFonts w:ascii="Arial" w:cs="Arial" w:eastAsia="Arial" w:hAnsi="Arial"/>
          <w:sz w:val="23"/>
          <w:szCs w:val="23"/>
          <w:color w:val="auto"/>
          <w:vertAlign w:val="superscript"/>
        </w:rPr>
      </w:pPr>
      <w:r>
        <w:rPr>
          <w:rFonts w:ascii="Arial" w:cs="Arial" w:eastAsia="Arial" w:hAnsi="Arial"/>
          <w:sz w:val="18"/>
          <w:szCs w:val="18"/>
          <w:color w:val="auto"/>
        </w:rPr>
        <w:t>million; 2020: $28 million) and $10 million interest expense included in Charges &amp; credits in 2021.</w:t>
      </w:r>
    </w:p>
    <w:p>
      <w:pPr>
        <w:spacing w:after="0" w:line="76" w:lineRule="exact"/>
        <w:rPr>
          <w:rFonts w:ascii="Arial" w:cs="Arial" w:eastAsia="Arial" w:hAnsi="Arial"/>
          <w:sz w:val="23"/>
          <w:szCs w:val="23"/>
          <w:color w:val="auto"/>
          <w:vertAlign w:val="superscript"/>
        </w:rPr>
      </w:pPr>
    </w:p>
    <w:p>
      <w:pPr>
        <w:ind w:left="480" w:hanging="360"/>
        <w:spacing w:after="0"/>
        <w:tabs>
          <w:tab w:leader="none" w:pos="480"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 xml:space="preserve">See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260" w:lineRule="exact"/>
        <w:rPr>
          <w:sz w:val="20"/>
          <w:szCs w:val="20"/>
          <w:color w:val="auto"/>
        </w:rPr>
      </w:pPr>
    </w:p>
    <w:p>
      <w:pPr>
        <w:ind w:left="120" w:right="120"/>
        <w:spacing w:after="0" w:line="245" w:lineRule="auto"/>
        <w:rPr>
          <w:sz w:val="20"/>
          <w:szCs w:val="20"/>
          <w:color w:val="auto"/>
        </w:rPr>
      </w:pPr>
      <w:r>
        <w:rPr>
          <w:rFonts w:ascii="Arial" w:cs="Arial" w:eastAsia="Arial" w:hAnsi="Arial"/>
          <w:sz w:val="20"/>
          <w:szCs w:val="20"/>
          <w:color w:val="auto"/>
        </w:rPr>
        <w:t>Segment assets consist of receivables, inventories, fixed assets, exploration data and APS investments.</w:t>
      </w:r>
    </w:p>
    <w:p>
      <w:pPr>
        <w:spacing w:after="0" w:line="250" w:lineRule="exact"/>
        <w:rPr>
          <w:sz w:val="20"/>
          <w:szCs w:val="20"/>
          <w:color w:val="auto"/>
        </w:rPr>
      </w:pPr>
    </w:p>
    <w:p>
      <w:pPr>
        <w:ind w:left="120" w:right="120"/>
        <w:spacing w:after="0" w:line="245" w:lineRule="auto"/>
        <w:rPr>
          <w:sz w:val="20"/>
          <w:szCs w:val="20"/>
          <w:color w:val="auto"/>
        </w:rPr>
      </w:pPr>
      <w:r>
        <w:rPr>
          <w:rFonts w:ascii="Arial" w:cs="Arial" w:eastAsia="Arial" w:hAnsi="Arial"/>
          <w:sz w:val="20"/>
          <w:szCs w:val="20"/>
          <w:color w:val="auto"/>
        </w:rPr>
        <w:t>Capital investments includes capital expenditures, APS investments and exploration data cost capitalized.</w:t>
      </w:r>
    </w:p>
    <w:p>
      <w:pPr>
        <w:spacing w:after="0" w:line="250" w:lineRule="exact"/>
        <w:rPr>
          <w:sz w:val="20"/>
          <w:szCs w:val="20"/>
          <w:color w:val="auto"/>
        </w:rPr>
      </w:pPr>
    </w:p>
    <w:p>
      <w:pPr>
        <w:ind w:left="120" w:right="120"/>
        <w:spacing w:after="0" w:line="245" w:lineRule="auto"/>
        <w:rPr>
          <w:sz w:val="20"/>
          <w:szCs w:val="20"/>
          <w:color w:val="auto"/>
        </w:rPr>
      </w:pPr>
      <w:r>
        <w:rPr>
          <w:rFonts w:ascii="Arial" w:cs="Arial" w:eastAsia="Arial" w:hAnsi="Arial"/>
          <w:sz w:val="20"/>
          <w:szCs w:val="20"/>
          <w:color w:val="auto"/>
        </w:rPr>
        <w:t>Depreciation and amortization includes depreciation of property, plant and equipment and amortization of intangible assets, exploration data costs and APS investments.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9360"/>
          </w:cols>
          <w:pgMar w:left="1440" w:top="1440" w:right="1440" w:bottom="836" w:gutter="0" w:footer="0" w:header="0"/>
          <w:type w:val="continuous"/>
        </w:sectPr>
      </w:pPr>
    </w:p>
    <w:bookmarkStart w:id="88" w:name="page89"/>
    <w:bookmarkEnd w:id="88"/>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 xml:space="preserve">Revenue </w:t>
      </w:r>
      <w:r>
        <w:rPr>
          <w:rFonts w:ascii="Arial" w:cs="Arial" w:eastAsia="Arial" w:hAnsi="Arial"/>
          <w:sz w:val="20"/>
          <w:szCs w:val="20"/>
          <w:color w:val="auto"/>
        </w:rPr>
        <w:t>by geographic area for the years ended December 31, 2022, 2021 and 2020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6"/>
                <w:szCs w:val="16"/>
                <w:i w:val="1"/>
                <w:iCs w:val="1"/>
                <w:color w:val="auto"/>
                <w:w w:val="98"/>
              </w:rPr>
              <w:t>(Stated in millions)</w:t>
            </w:r>
          </w:p>
        </w:tc>
      </w:tr>
      <w:tr>
        <w:trPr>
          <w:trHeight w:val="468"/>
        </w:trPr>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4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2020</w:t>
            </w:r>
          </w:p>
        </w:tc>
      </w:tr>
      <w:tr>
        <w:trPr>
          <w:trHeight w:val="30"/>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4760" w:type="dxa"/>
            <w:vAlign w:val="bottom"/>
            <w:shd w:val="clear" w:color="auto" w:fill="CCCCCC"/>
          </w:tcPr>
          <w:p>
            <w:pPr>
              <w:spacing w:after="0"/>
              <w:rPr>
                <w:sz w:val="20"/>
                <w:szCs w:val="20"/>
                <w:color w:val="auto"/>
              </w:rPr>
            </w:pPr>
            <w:r>
              <w:rPr>
                <w:rFonts w:ascii="Arial" w:cs="Arial" w:eastAsia="Arial" w:hAnsi="Arial"/>
                <w:sz w:val="20"/>
                <w:szCs w:val="20"/>
                <w:color w:val="auto"/>
              </w:rPr>
              <w:t>North America  . . . . . . . . . . . . . . . . . . . . . . . . . . . . . .</w:t>
            </w:r>
          </w:p>
        </w:tc>
        <w:tc>
          <w:tcPr>
            <w:tcW w:w="260" w:type="dxa"/>
            <w:vAlign w:val="bottom"/>
            <w:shd w:val="clear" w:color="auto" w:fill="CCCCCC"/>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5,995</w:t>
            </w:r>
          </w:p>
        </w:tc>
        <w:tc>
          <w:tcPr>
            <w:tcW w:w="200" w:type="dxa"/>
            <w:vAlign w:val="bottom"/>
            <w:shd w:val="clear" w:color="auto" w:fill="CCCCCC"/>
          </w:tcPr>
          <w:p>
            <w:pPr>
              <w:spacing w:after="0"/>
              <w:rPr>
                <w:sz w:val="23"/>
                <w:szCs w:val="23"/>
                <w:color w:val="auto"/>
              </w:rPr>
            </w:pPr>
          </w:p>
        </w:tc>
        <w:tc>
          <w:tcPr>
            <w:tcW w:w="280" w:type="dxa"/>
            <w:vAlign w:val="bottom"/>
            <w:shd w:val="clear" w:color="auto" w:fill="CCCCCC"/>
          </w:tcPr>
          <w:p>
            <w:pPr>
              <w:jc w:val="right"/>
              <w:ind w:right="80"/>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4,466</w:t>
            </w:r>
          </w:p>
        </w:tc>
        <w:tc>
          <w:tcPr>
            <w:tcW w:w="280" w:type="dxa"/>
            <w:vAlign w:val="bottom"/>
            <w:shd w:val="clear" w:color="auto" w:fill="CCCCCC"/>
          </w:tcPr>
          <w:p>
            <w:pPr>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5,478</w:t>
            </w:r>
          </w:p>
        </w:tc>
      </w:tr>
      <w:tr>
        <w:trPr>
          <w:trHeight w:val="280"/>
        </w:trPr>
        <w:tc>
          <w:tcPr>
            <w:tcW w:w="4760" w:type="dxa"/>
            <w:vAlign w:val="bottom"/>
          </w:tcPr>
          <w:p>
            <w:pPr>
              <w:spacing w:after="0"/>
              <w:rPr>
                <w:sz w:val="20"/>
                <w:szCs w:val="20"/>
                <w:color w:val="auto"/>
              </w:rPr>
            </w:pPr>
            <w:r>
              <w:rPr>
                <w:rFonts w:ascii="Arial" w:cs="Arial" w:eastAsia="Arial" w:hAnsi="Arial"/>
                <w:sz w:val="20"/>
                <w:szCs w:val="20"/>
                <w:color w:val="auto"/>
              </w:rPr>
              <w:t>Latin America . . . . . . . . . . . . . . . . . . . . . . . . . . . . . . .</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5,661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4,459</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3,472</w:t>
            </w:r>
          </w:p>
        </w:tc>
      </w:tr>
      <w:tr>
        <w:trPr>
          <w:trHeight w:val="280"/>
        </w:trPr>
        <w:tc>
          <w:tcPr>
            <w:tcW w:w="4760" w:type="dxa"/>
            <w:vAlign w:val="bottom"/>
            <w:shd w:val="clear" w:color="auto" w:fill="CCCCCC"/>
          </w:tcPr>
          <w:p>
            <w:pPr>
              <w:spacing w:after="0"/>
              <w:rPr>
                <w:sz w:val="20"/>
                <w:szCs w:val="20"/>
                <w:color w:val="auto"/>
              </w:rPr>
            </w:pPr>
            <w:r>
              <w:rPr>
                <w:rFonts w:ascii="Arial" w:cs="Arial" w:eastAsia="Arial" w:hAnsi="Arial"/>
                <w:sz w:val="20"/>
                <w:szCs w:val="20"/>
                <w:color w:val="auto"/>
              </w:rPr>
              <w:t>Europe/CIS/Africa  . . . . . . . . . . . . . . . . . . . . . . . . . . .</w:t>
            </w:r>
          </w:p>
        </w:tc>
        <w:tc>
          <w:tcPr>
            <w:tcW w:w="260" w:type="dxa"/>
            <w:vAlign w:val="bottom"/>
            <w:shd w:val="clear" w:color="auto" w:fill="CCCCCC"/>
          </w:tcPr>
          <w:p>
            <w:pPr>
              <w:spacing w:after="0"/>
              <w:rPr>
                <w:sz w:val="24"/>
                <w:szCs w:val="24"/>
                <w:color w:val="auto"/>
              </w:rPr>
            </w:pP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7,201</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12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5,778</w:t>
            </w:r>
          </w:p>
        </w:tc>
        <w:tc>
          <w:tcPr>
            <w:tcW w:w="28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5,963</w:t>
            </w:r>
          </w:p>
        </w:tc>
      </w:tr>
      <w:tr>
        <w:trPr>
          <w:trHeight w:val="280"/>
        </w:trPr>
        <w:tc>
          <w:tcPr>
            <w:tcW w:w="4760" w:type="dxa"/>
            <w:vAlign w:val="bottom"/>
          </w:tcPr>
          <w:p>
            <w:pPr>
              <w:spacing w:after="0"/>
              <w:rPr>
                <w:sz w:val="20"/>
                <w:szCs w:val="20"/>
                <w:color w:val="auto"/>
              </w:rPr>
            </w:pPr>
            <w:r>
              <w:rPr>
                <w:rFonts w:ascii="Arial" w:cs="Arial" w:eastAsia="Arial" w:hAnsi="Arial"/>
                <w:sz w:val="20"/>
                <w:szCs w:val="20"/>
                <w:color w:val="auto"/>
              </w:rPr>
              <w:t>Middle East &amp; Asia . . . . . . . . . . . . . . . . . . . . . . . . . . .</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9,033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8,059</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8,567</w:t>
            </w:r>
          </w:p>
        </w:tc>
      </w:tr>
      <w:tr>
        <w:trPr>
          <w:trHeight w:val="280"/>
        </w:trPr>
        <w:tc>
          <w:tcPr>
            <w:tcW w:w="4760" w:type="dxa"/>
            <w:vAlign w:val="bottom"/>
            <w:shd w:val="clear" w:color="auto" w:fill="CCCCCC"/>
          </w:tcPr>
          <w:p>
            <w:pPr>
              <w:spacing w:after="0"/>
              <w:rPr>
                <w:sz w:val="20"/>
                <w:szCs w:val="20"/>
                <w:color w:val="auto"/>
              </w:rPr>
            </w:pPr>
            <w:r>
              <w:rPr>
                <w:rFonts w:ascii="Arial" w:cs="Arial" w:eastAsia="Arial" w:hAnsi="Arial"/>
                <w:sz w:val="20"/>
                <w:szCs w:val="20"/>
                <w:color w:val="auto"/>
              </w:rPr>
              <w:t>Eliminations &amp; other . . . . . . . . . . . . . . . . . . . . . . . . . .</w:t>
            </w:r>
          </w:p>
        </w:tc>
        <w:tc>
          <w:tcPr>
            <w:tcW w:w="260" w:type="dxa"/>
            <w:vAlign w:val="bottom"/>
            <w:shd w:val="clear" w:color="auto" w:fill="CCCCCC"/>
          </w:tcPr>
          <w:p>
            <w:pPr>
              <w:spacing w:after="0"/>
              <w:rPr>
                <w:sz w:val="24"/>
                <w:szCs w:val="24"/>
                <w:color w:val="auto"/>
              </w:rPr>
            </w:pPr>
          </w:p>
        </w:tc>
        <w:tc>
          <w:tcPr>
            <w:tcW w:w="10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201</w:t>
            </w:r>
          </w:p>
        </w:tc>
        <w:tc>
          <w:tcPr>
            <w:tcW w:w="20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12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167</w:t>
            </w:r>
          </w:p>
        </w:tc>
        <w:tc>
          <w:tcPr>
            <w:tcW w:w="280" w:type="dxa"/>
            <w:vAlign w:val="bottom"/>
            <w:shd w:val="clear" w:color="auto" w:fill="CCCCCC"/>
          </w:tcPr>
          <w:p>
            <w:pPr>
              <w:spacing w:after="0"/>
              <w:rPr>
                <w:sz w:val="24"/>
                <w:szCs w:val="24"/>
                <w:color w:val="auto"/>
              </w:rPr>
            </w:pPr>
          </w:p>
        </w:tc>
        <w:tc>
          <w:tcPr>
            <w:tcW w:w="10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121</w:t>
            </w:r>
          </w:p>
        </w:tc>
      </w:tr>
      <w:tr>
        <w:trPr>
          <w:trHeight w:val="70"/>
        </w:trPr>
        <w:tc>
          <w:tcPr>
            <w:tcW w:w="47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70"/>
        </w:trPr>
        <w:tc>
          <w:tcPr>
            <w:tcW w:w="4760" w:type="dxa"/>
            <w:vAlign w:val="bottom"/>
          </w:tcPr>
          <w:p>
            <w:pPr>
              <w:spacing w:after="0"/>
              <w:rPr>
                <w:sz w:val="23"/>
                <w:szCs w:val="23"/>
                <w:color w:val="auto"/>
              </w:rPr>
            </w:pPr>
          </w:p>
        </w:tc>
        <w:tc>
          <w:tcPr>
            <w:tcW w:w="260" w:type="dxa"/>
            <w:vAlign w:val="bottom"/>
          </w:tcPr>
          <w:p>
            <w:pPr>
              <w:jc w:val="right"/>
              <w:ind w:right="60"/>
              <w:spacing w:after="0"/>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28,091</w:t>
            </w:r>
          </w:p>
        </w:tc>
        <w:tc>
          <w:tcPr>
            <w:tcW w:w="200" w:type="dxa"/>
            <w:vAlign w:val="bottom"/>
          </w:tcPr>
          <w:p>
            <w:pPr>
              <w:spacing w:after="0"/>
              <w:rPr>
                <w:sz w:val="23"/>
                <w:szCs w:val="23"/>
                <w:color w:val="auto"/>
              </w:rPr>
            </w:pPr>
          </w:p>
        </w:tc>
        <w:tc>
          <w:tcPr>
            <w:tcW w:w="280" w:type="dxa"/>
            <w:vAlign w:val="bottom"/>
          </w:tcPr>
          <w:p>
            <w:pPr>
              <w:jc w:val="right"/>
              <w:ind w:right="80"/>
              <w:spacing w:after="0"/>
              <w:rPr>
                <w:sz w:val="20"/>
                <w:szCs w:val="20"/>
                <w:color w:val="auto"/>
              </w:rPr>
            </w:pPr>
            <w:r>
              <w:rPr>
                <w:rFonts w:ascii="Arial" w:cs="Arial" w:eastAsia="Arial" w:hAnsi="Arial"/>
                <w:sz w:val="20"/>
                <w:szCs w:val="20"/>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22,929</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23,601</w:t>
            </w:r>
          </w:p>
        </w:tc>
      </w:tr>
      <w:tr>
        <w:trPr>
          <w:trHeight w:val="30"/>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is based on the location where services are provided and products are sold.</w:t>
      </w:r>
    </w:p>
    <w:p>
      <w:pPr>
        <w:spacing w:after="0" w:line="278"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During each of the three years ended December 31, 2022, 2021 and 2020, no single customer exceeded 10% of consolidated revenue.</w:t>
      </w:r>
    </w:p>
    <w:p>
      <w:pPr>
        <w:spacing w:after="0" w:line="272"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SLB did not have revenue from third-party customers in its country of domicile during the last three years. Revenue in the United States in 2022, 2021 and 2020 was $4.6 billion, $3.4 billion and $4.5 billion, respectively.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North America and International revenue disaggregated by segment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6"/>
                <w:szCs w:val="16"/>
                <w:i w:val="1"/>
                <w:iCs w:val="1"/>
                <w:color w:val="auto"/>
                <w:w w:val="98"/>
              </w:rPr>
              <w:t>(Stated in millions)</w:t>
            </w:r>
          </w:p>
        </w:tc>
      </w:tr>
      <w:tr>
        <w:trPr>
          <w:trHeight w:val="470"/>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20"/>
                <w:szCs w:val="20"/>
                <w:b w:val="1"/>
                <w:bCs w:val="1"/>
                <w:color w:val="auto"/>
              </w:rPr>
              <w:t>2022</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rPr>
              <w:t>North</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8"/>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line="228" w:lineRule="exact"/>
              <w:rPr>
                <w:sz w:val="20"/>
                <w:szCs w:val="20"/>
                <w:color w:val="auto"/>
              </w:rPr>
            </w:pPr>
            <w:r>
              <w:rPr>
                <w:rFonts w:ascii="Arial" w:cs="Arial" w:eastAsia="Arial" w:hAnsi="Arial"/>
                <w:sz w:val="20"/>
                <w:szCs w:val="20"/>
                <w:b w:val="1"/>
                <w:bCs w:val="1"/>
                <w:color w:val="auto"/>
                <w:w w:val="98"/>
              </w:rPr>
              <w:t>America</w:t>
            </w:r>
          </w:p>
        </w:tc>
        <w:tc>
          <w:tcPr>
            <w:tcW w:w="1440" w:type="dxa"/>
            <w:vAlign w:val="bottom"/>
            <w:gridSpan w:val="4"/>
          </w:tcPr>
          <w:p>
            <w:pPr>
              <w:ind w:left="80"/>
              <w:spacing w:after="0" w:line="228" w:lineRule="exact"/>
              <w:rPr>
                <w:sz w:val="20"/>
                <w:szCs w:val="20"/>
                <w:color w:val="auto"/>
              </w:rPr>
            </w:pPr>
            <w:r>
              <w:rPr>
                <w:rFonts w:ascii="Arial" w:cs="Arial" w:eastAsia="Arial" w:hAnsi="Arial"/>
                <w:sz w:val="20"/>
                <w:szCs w:val="20"/>
                <w:b w:val="1"/>
                <w:bCs w:val="1"/>
                <w:color w:val="auto"/>
              </w:rPr>
              <w:t>International</w:t>
            </w:r>
          </w:p>
        </w:tc>
        <w:tc>
          <w:tcPr>
            <w:tcW w:w="200" w:type="dxa"/>
            <w:vAlign w:val="bottom"/>
          </w:tcPr>
          <w:p>
            <w:pPr>
              <w:spacing w:after="0"/>
              <w:rPr>
                <w:sz w:val="19"/>
                <w:szCs w:val="19"/>
                <w:color w:val="auto"/>
              </w:rPr>
            </w:pPr>
          </w:p>
        </w:tc>
        <w:tc>
          <w:tcPr>
            <w:tcW w:w="920" w:type="dxa"/>
            <w:vAlign w:val="bottom"/>
          </w:tcPr>
          <w:p>
            <w:pPr>
              <w:jc w:val="right"/>
              <w:ind w:right="200"/>
              <w:spacing w:after="0" w:line="228" w:lineRule="exact"/>
              <w:rPr>
                <w:sz w:val="20"/>
                <w:szCs w:val="20"/>
                <w:color w:val="auto"/>
              </w:rPr>
            </w:pPr>
            <w:r>
              <w:rPr>
                <w:rFonts w:ascii="Arial" w:cs="Arial" w:eastAsia="Arial" w:hAnsi="Arial"/>
                <w:sz w:val="20"/>
                <w:szCs w:val="20"/>
                <w:b w:val="1"/>
                <w:bCs w:val="1"/>
                <w:color w:val="auto"/>
              </w:rPr>
              <w:t>Other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380"/>
              <w:spacing w:after="0" w:line="228" w:lineRule="exact"/>
              <w:rPr>
                <w:sz w:val="20"/>
                <w:szCs w:val="20"/>
                <w:color w:val="auto"/>
              </w:rPr>
            </w:pPr>
            <w:r>
              <w:rPr>
                <w:rFonts w:ascii="Arial" w:cs="Arial" w:eastAsia="Arial" w:hAnsi="Arial"/>
                <w:sz w:val="20"/>
                <w:szCs w:val="20"/>
                <w:b w:val="1"/>
                <w:bCs w:val="1"/>
                <w:color w:val="auto"/>
              </w:rPr>
              <w:t>Total</w:t>
            </w: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Digital &amp; Integration . . . . . . . . . . . . . . . . . . .</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1,069</w:t>
            </w:r>
          </w:p>
        </w:tc>
        <w:tc>
          <w:tcPr>
            <w:tcW w:w="80" w:type="dxa"/>
            <w:vAlign w:val="bottom"/>
            <w:shd w:val="clear" w:color="auto" w:fill="CCCCCC"/>
          </w:tcPr>
          <w:p>
            <w:pPr>
              <w:spacing w:after="0"/>
              <w:rPr>
                <w:sz w:val="23"/>
                <w:szCs w:val="23"/>
                <w:color w:val="auto"/>
              </w:rPr>
            </w:pPr>
          </w:p>
        </w:tc>
        <w:tc>
          <w:tcPr>
            <w:tcW w:w="420" w:type="dxa"/>
            <w:vAlign w:val="bottom"/>
            <w:gridSpan w:val="2"/>
            <w:shd w:val="clear" w:color="auto" w:fill="CCCCCC"/>
          </w:tcPr>
          <w:p>
            <w:pPr>
              <w:ind w:left="120"/>
              <w:spacing w:after="0"/>
              <w:rPr>
                <w:sz w:val="20"/>
                <w:szCs w:val="20"/>
                <w:color w:val="auto"/>
              </w:rPr>
            </w:pPr>
            <w:r>
              <w:rPr>
                <w:rFonts w:ascii="Arial" w:cs="Arial" w:eastAsia="Arial" w:hAnsi="Arial"/>
                <w:sz w:val="20"/>
                <w:szCs w:val="20"/>
                <w:b w:val="1"/>
                <w:bCs w:val="1"/>
                <w:color w:val="auto"/>
              </w:rPr>
              <w:t>$</w:t>
            </w: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2,651</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5</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w:t>
            </w: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3,725</w:t>
            </w:r>
          </w:p>
        </w:tc>
        <w:tc>
          <w:tcPr>
            <w:tcW w:w="60" w:type="dxa"/>
            <w:vAlign w:val="bottom"/>
          </w:tcPr>
          <w:p>
            <w:pPr>
              <w:spacing w:after="0"/>
              <w:rPr>
                <w:sz w:val="23"/>
                <w:szCs w:val="23"/>
                <w:color w:val="auto"/>
              </w:rPr>
            </w:pP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Reservoir Performance . . . . . . . . . . . . . . . .</w:t>
            </w:r>
          </w:p>
        </w:tc>
        <w:tc>
          <w:tcPr>
            <w:tcW w:w="14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455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5,091</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5,553</w:t>
            </w:r>
          </w:p>
        </w:tc>
      </w:tr>
      <w:tr>
        <w:trPr>
          <w:trHeight w:val="28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Well Construction . . .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2,311</w:t>
            </w:r>
          </w:p>
        </w:tc>
        <w:tc>
          <w:tcPr>
            <w:tcW w:w="8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8,875</w:t>
            </w:r>
          </w:p>
        </w:tc>
        <w:tc>
          <w:tcPr>
            <w:tcW w:w="200" w:type="dxa"/>
            <w:vAlign w:val="bottom"/>
            <w:shd w:val="clear" w:color="auto" w:fill="CCCCCC"/>
          </w:tcPr>
          <w:p>
            <w:pPr>
              <w:spacing w:after="0"/>
              <w:rPr>
                <w:sz w:val="24"/>
                <w:szCs w:val="24"/>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211</w:t>
            </w: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11,397</w:t>
            </w:r>
          </w:p>
        </w:tc>
        <w:tc>
          <w:tcPr>
            <w:tcW w:w="60" w:type="dxa"/>
            <w:vAlign w:val="bottom"/>
          </w:tcPr>
          <w:p>
            <w:pPr>
              <w:spacing w:after="0"/>
              <w:rPr>
                <w:sz w:val="24"/>
                <w:szCs w:val="24"/>
                <w:color w:val="auto"/>
              </w:rPr>
            </w:pP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Production Systems . . . . . . . . . . . . . . . . . . .</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2,176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5,675</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7,862</w:t>
            </w:r>
          </w:p>
        </w:tc>
      </w:tr>
      <w:tr>
        <w:trPr>
          <w:trHeight w:val="28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Eliminations &amp; other .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(16)</w:t>
            </w:r>
          </w:p>
        </w:tc>
        <w:tc>
          <w:tcPr>
            <w:tcW w:w="8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(397)</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(33)</w:t>
            </w: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(446)</w:t>
            </w:r>
          </w:p>
        </w:tc>
        <w:tc>
          <w:tcPr>
            <w:tcW w:w="60" w:type="dxa"/>
            <w:vAlign w:val="bottom"/>
          </w:tcPr>
          <w:p>
            <w:pPr>
              <w:spacing w:after="0"/>
              <w:rPr>
                <w:sz w:val="24"/>
                <w:szCs w:val="24"/>
                <w:color w:val="auto"/>
              </w:rPr>
            </w:pPr>
          </w:p>
        </w:tc>
      </w:tr>
      <w:tr>
        <w:trPr>
          <w:trHeight w:val="70"/>
        </w:trPr>
        <w:tc>
          <w:tcPr>
            <w:tcW w:w="40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2"/>
        </w:trPr>
        <w:tc>
          <w:tcPr>
            <w:tcW w:w="40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5,995</w:t>
            </w:r>
          </w:p>
        </w:tc>
        <w:tc>
          <w:tcPr>
            <w:tcW w:w="80" w:type="dxa"/>
            <w:vAlign w:val="bottom"/>
          </w:tcPr>
          <w:p>
            <w:pPr>
              <w:spacing w:after="0"/>
              <w:rPr>
                <w:sz w:val="23"/>
                <w:szCs w:val="23"/>
                <w:color w:val="auto"/>
              </w:rPr>
            </w:pPr>
          </w:p>
        </w:tc>
        <w:tc>
          <w:tcPr>
            <w:tcW w:w="42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21,895</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201</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28,091</w:t>
            </w: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4"/>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6"/>
                <w:szCs w:val="16"/>
                <w:i w:val="1"/>
                <w:iCs w:val="1"/>
                <w:color w:val="auto"/>
                <w:w w:val="98"/>
              </w:rPr>
              <w:t>(Stated in millions)</w:t>
            </w:r>
          </w:p>
        </w:tc>
      </w:tr>
      <w:tr>
        <w:trPr>
          <w:trHeight w:val="470"/>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2021</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6"/>
        </w:trPr>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20"/>
                <w:szCs w:val="20"/>
                <w:color w:val="auto"/>
              </w:rPr>
              <w:t>North</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6"/>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line="226" w:lineRule="exact"/>
              <w:rPr>
                <w:sz w:val="20"/>
                <w:szCs w:val="20"/>
                <w:color w:val="auto"/>
              </w:rPr>
            </w:pPr>
            <w:r>
              <w:rPr>
                <w:rFonts w:ascii="Arial" w:cs="Arial" w:eastAsia="Arial" w:hAnsi="Arial"/>
                <w:sz w:val="20"/>
                <w:szCs w:val="20"/>
                <w:color w:val="auto"/>
              </w:rPr>
              <w:t>America</w:t>
            </w:r>
          </w:p>
        </w:tc>
        <w:tc>
          <w:tcPr>
            <w:tcW w:w="120" w:type="dxa"/>
            <w:vAlign w:val="bottom"/>
          </w:tcPr>
          <w:p>
            <w:pPr>
              <w:spacing w:after="0"/>
              <w:rPr>
                <w:sz w:val="19"/>
                <w:szCs w:val="19"/>
                <w:color w:val="auto"/>
              </w:rPr>
            </w:pPr>
          </w:p>
        </w:tc>
        <w:tc>
          <w:tcPr>
            <w:tcW w:w="1320" w:type="dxa"/>
            <w:vAlign w:val="bottom"/>
            <w:gridSpan w:val="3"/>
          </w:tcPr>
          <w:p>
            <w:pPr>
              <w:spacing w:after="0" w:line="226" w:lineRule="exact"/>
              <w:rPr>
                <w:sz w:val="20"/>
                <w:szCs w:val="20"/>
                <w:color w:val="auto"/>
              </w:rPr>
            </w:pPr>
            <w:r>
              <w:rPr>
                <w:rFonts w:ascii="Arial" w:cs="Arial" w:eastAsia="Arial" w:hAnsi="Arial"/>
                <w:sz w:val="20"/>
                <w:szCs w:val="20"/>
                <w:color w:val="auto"/>
              </w:rPr>
              <w:t>International</w:t>
            </w:r>
          </w:p>
        </w:tc>
        <w:tc>
          <w:tcPr>
            <w:tcW w:w="200" w:type="dxa"/>
            <w:vAlign w:val="bottom"/>
          </w:tcPr>
          <w:p>
            <w:pPr>
              <w:spacing w:after="0"/>
              <w:rPr>
                <w:sz w:val="19"/>
                <w:szCs w:val="19"/>
                <w:color w:val="auto"/>
              </w:rPr>
            </w:pPr>
          </w:p>
        </w:tc>
        <w:tc>
          <w:tcPr>
            <w:tcW w:w="920" w:type="dxa"/>
            <w:vAlign w:val="bottom"/>
          </w:tcPr>
          <w:p>
            <w:pPr>
              <w:jc w:val="right"/>
              <w:ind w:right="220"/>
              <w:spacing w:after="0" w:line="226" w:lineRule="exact"/>
              <w:rPr>
                <w:sz w:val="20"/>
                <w:szCs w:val="20"/>
                <w:color w:val="auto"/>
              </w:rPr>
            </w:pPr>
            <w:r>
              <w:rPr>
                <w:rFonts w:ascii="Arial" w:cs="Arial" w:eastAsia="Arial" w:hAnsi="Arial"/>
                <w:sz w:val="20"/>
                <w:szCs w:val="20"/>
                <w:color w:val="auto"/>
              </w:rPr>
              <w:t>Other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0"/>
              <w:spacing w:after="0" w:line="226" w:lineRule="exact"/>
              <w:rPr>
                <w:sz w:val="20"/>
                <w:szCs w:val="20"/>
                <w:color w:val="auto"/>
              </w:rPr>
            </w:pPr>
            <w:r>
              <w:rPr>
                <w:rFonts w:ascii="Arial" w:cs="Arial" w:eastAsia="Arial" w:hAnsi="Arial"/>
                <w:sz w:val="20"/>
                <w:szCs w:val="20"/>
                <w:color w:val="auto"/>
              </w:rPr>
              <w:t>Total</w:t>
            </w: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Digital &amp; Integration . . . . . . . . . . . . . . . . . . .</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gridSpan w:val="2"/>
            <w:shd w:val="clear" w:color="auto" w:fill="CCCCCC"/>
          </w:tcPr>
          <w:p>
            <w:pPr>
              <w:jc w:val="right"/>
              <w:ind w:right="80"/>
              <w:spacing w:after="0"/>
              <w:rPr>
                <w:sz w:val="20"/>
                <w:szCs w:val="20"/>
                <w:color w:val="auto"/>
              </w:rPr>
            </w:pPr>
            <w:r>
              <w:rPr>
                <w:rFonts w:ascii="Arial" w:cs="Arial" w:eastAsia="Arial" w:hAnsi="Arial"/>
                <w:sz w:val="20"/>
                <w:szCs w:val="20"/>
                <w:color w:val="auto"/>
              </w:rPr>
              <w:t>812</w:t>
            </w:r>
          </w:p>
        </w:tc>
        <w:tc>
          <w:tcPr>
            <w:tcW w:w="420" w:type="dxa"/>
            <w:vAlign w:val="bottom"/>
            <w:gridSpan w:val="2"/>
            <w:shd w:val="clear" w:color="auto" w:fill="CCCCCC"/>
          </w:tcPr>
          <w:p>
            <w:pPr>
              <w:ind w:left="12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2,474</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3,290</w:t>
            </w:r>
          </w:p>
        </w:tc>
        <w:tc>
          <w:tcPr>
            <w:tcW w:w="60" w:type="dxa"/>
            <w:vAlign w:val="bottom"/>
          </w:tcPr>
          <w:p>
            <w:pPr>
              <w:spacing w:after="0"/>
              <w:rPr>
                <w:sz w:val="23"/>
                <w:szCs w:val="23"/>
                <w:color w:val="auto"/>
              </w:rPr>
            </w:pP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Reservoir Performance . . . . . . . . . . . . . . . .</w:t>
            </w:r>
          </w:p>
        </w:tc>
        <w:tc>
          <w:tcPr>
            <w:tcW w:w="14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color w:val="auto"/>
              </w:rPr>
              <w:t>329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4,266</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4,599</w:t>
            </w:r>
          </w:p>
        </w:tc>
      </w:tr>
      <w:tr>
        <w:trPr>
          <w:trHeight w:val="28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Well Construction . . .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1,485</w:t>
            </w:r>
          </w:p>
        </w:tc>
        <w:tc>
          <w:tcPr>
            <w:tcW w:w="8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7,025</w:t>
            </w:r>
          </w:p>
        </w:tc>
        <w:tc>
          <w:tcPr>
            <w:tcW w:w="200" w:type="dxa"/>
            <w:vAlign w:val="bottom"/>
            <w:shd w:val="clear" w:color="auto" w:fill="CCCCCC"/>
          </w:tcPr>
          <w:p>
            <w:pPr>
              <w:spacing w:after="0"/>
              <w:rPr>
                <w:sz w:val="24"/>
                <w:szCs w:val="24"/>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196</w:t>
            </w: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8,706</w:t>
            </w:r>
          </w:p>
        </w:tc>
        <w:tc>
          <w:tcPr>
            <w:tcW w:w="60" w:type="dxa"/>
            <w:vAlign w:val="bottom"/>
          </w:tcPr>
          <w:p>
            <w:pPr>
              <w:spacing w:after="0"/>
              <w:rPr>
                <w:sz w:val="24"/>
                <w:szCs w:val="24"/>
                <w:color w:val="auto"/>
              </w:rPr>
            </w:pP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Production Systems . . . . . . . . . . . . . . . . . . .</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4,865</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6,710</w:t>
            </w:r>
          </w:p>
        </w:tc>
      </w:tr>
      <w:tr>
        <w:trPr>
          <w:trHeight w:val="28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Eliminations &amp; other .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w:t>
            </w:r>
          </w:p>
        </w:tc>
        <w:tc>
          <w:tcPr>
            <w:tcW w:w="8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(334)</w:t>
            </w:r>
          </w:p>
        </w:tc>
        <w:tc>
          <w:tcPr>
            <w:tcW w:w="200" w:type="dxa"/>
            <w:vAlign w:val="bottom"/>
            <w:shd w:val="clear" w:color="auto" w:fill="CCCCCC"/>
          </w:tcPr>
          <w:p>
            <w:pPr>
              <w:spacing w:after="0"/>
              <w:rPr>
                <w:sz w:val="24"/>
                <w:szCs w:val="24"/>
                <w:color w:val="auto"/>
              </w:rPr>
            </w:pPr>
          </w:p>
        </w:tc>
        <w:tc>
          <w:tcPr>
            <w:tcW w:w="1120" w:type="dxa"/>
            <w:vAlign w:val="bottom"/>
            <w:gridSpan w:val="2"/>
            <w:shd w:val="clear" w:color="auto" w:fill="CCCCCC"/>
          </w:tcPr>
          <w:p>
            <w:pPr>
              <w:jc w:val="right"/>
              <w:ind w:right="47"/>
              <w:spacing w:after="0"/>
              <w:rPr>
                <w:sz w:val="20"/>
                <w:szCs w:val="20"/>
                <w:color w:val="auto"/>
              </w:rPr>
            </w:pPr>
            <w:r>
              <w:rPr>
                <w:rFonts w:ascii="Arial" w:cs="Arial" w:eastAsia="Arial" w:hAnsi="Arial"/>
                <w:sz w:val="20"/>
                <w:szCs w:val="20"/>
                <w:color w:val="auto"/>
              </w:rPr>
              <w:t>(50)</w:t>
            </w: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(376)</w:t>
            </w:r>
          </w:p>
        </w:tc>
        <w:tc>
          <w:tcPr>
            <w:tcW w:w="60" w:type="dxa"/>
            <w:vAlign w:val="bottom"/>
          </w:tcPr>
          <w:p>
            <w:pPr>
              <w:spacing w:after="0"/>
              <w:rPr>
                <w:sz w:val="24"/>
                <w:szCs w:val="24"/>
                <w:color w:val="auto"/>
              </w:rPr>
            </w:pPr>
          </w:p>
        </w:tc>
      </w:tr>
      <w:tr>
        <w:trPr>
          <w:trHeight w:val="70"/>
        </w:trPr>
        <w:tc>
          <w:tcPr>
            <w:tcW w:w="40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2"/>
        </w:trPr>
        <w:tc>
          <w:tcPr>
            <w:tcW w:w="40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4,466</w:t>
            </w:r>
          </w:p>
        </w:tc>
        <w:tc>
          <w:tcPr>
            <w:tcW w:w="80" w:type="dxa"/>
            <w:vAlign w:val="bottom"/>
          </w:tcPr>
          <w:p>
            <w:pPr>
              <w:spacing w:after="0"/>
              <w:rPr>
                <w:sz w:val="23"/>
                <w:szCs w:val="23"/>
                <w:color w:val="auto"/>
              </w:rPr>
            </w:pPr>
          </w:p>
        </w:tc>
        <w:tc>
          <w:tcPr>
            <w:tcW w:w="4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18,296</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167</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22,929</w:t>
            </w: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9360"/>
          </w:cols>
          <w:pgMar w:left="1440" w:top="1440" w:right="1440" w:bottom="836" w:gutter="0" w:footer="0" w:header="0"/>
          <w:type w:val="continuous"/>
        </w:sectPr>
      </w:pPr>
    </w:p>
    <w:bookmarkStart w:id="89" w:name="page90"/>
    <w:bookmarkEnd w:id="89"/>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i w:val="1"/>
                <w:iCs w:val="1"/>
                <w:color w:val="auto"/>
                <w:w w:val="98"/>
              </w:rPr>
              <w:t>(Stated in millions)</w:t>
            </w:r>
          </w:p>
        </w:tc>
      </w:tr>
      <w:tr>
        <w:trPr>
          <w:trHeight w:val="470"/>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rPr>
              <w:t>2020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6"/>
        </w:trPr>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20"/>
                <w:szCs w:val="20"/>
                <w:color w:val="auto"/>
              </w:rPr>
              <w:t>North</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6"/>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line="226" w:lineRule="exact"/>
              <w:rPr>
                <w:sz w:val="20"/>
                <w:szCs w:val="20"/>
                <w:color w:val="auto"/>
              </w:rPr>
            </w:pPr>
            <w:r>
              <w:rPr>
                <w:rFonts w:ascii="Arial" w:cs="Arial" w:eastAsia="Arial" w:hAnsi="Arial"/>
                <w:sz w:val="20"/>
                <w:szCs w:val="20"/>
                <w:color w:val="auto"/>
              </w:rPr>
              <w:t>America</w:t>
            </w:r>
          </w:p>
        </w:tc>
        <w:tc>
          <w:tcPr>
            <w:tcW w:w="1320" w:type="dxa"/>
            <w:vAlign w:val="bottom"/>
            <w:gridSpan w:val="3"/>
          </w:tcPr>
          <w:p>
            <w:pPr>
              <w:spacing w:after="0" w:line="226" w:lineRule="exact"/>
              <w:rPr>
                <w:sz w:val="20"/>
                <w:szCs w:val="20"/>
                <w:color w:val="auto"/>
              </w:rPr>
            </w:pPr>
            <w:r>
              <w:rPr>
                <w:rFonts w:ascii="Arial" w:cs="Arial" w:eastAsia="Arial" w:hAnsi="Arial"/>
                <w:sz w:val="20"/>
                <w:szCs w:val="20"/>
                <w:color w:val="auto"/>
              </w:rPr>
              <w:t>International</w:t>
            </w:r>
          </w:p>
        </w:tc>
        <w:tc>
          <w:tcPr>
            <w:tcW w:w="220" w:type="dxa"/>
            <w:vAlign w:val="bottom"/>
          </w:tcPr>
          <w:p>
            <w:pPr>
              <w:spacing w:after="0"/>
              <w:rPr>
                <w:sz w:val="19"/>
                <w:szCs w:val="19"/>
                <w:color w:val="auto"/>
              </w:rPr>
            </w:pPr>
          </w:p>
        </w:tc>
        <w:tc>
          <w:tcPr>
            <w:tcW w:w="900" w:type="dxa"/>
            <w:vAlign w:val="bottom"/>
          </w:tcPr>
          <w:p>
            <w:pPr>
              <w:jc w:val="right"/>
              <w:ind w:right="220"/>
              <w:spacing w:after="0" w:line="226" w:lineRule="exact"/>
              <w:rPr>
                <w:sz w:val="20"/>
                <w:szCs w:val="20"/>
                <w:color w:val="auto"/>
              </w:rPr>
            </w:pPr>
            <w:r>
              <w:rPr>
                <w:rFonts w:ascii="Arial" w:cs="Arial" w:eastAsia="Arial" w:hAnsi="Arial"/>
                <w:sz w:val="20"/>
                <w:szCs w:val="20"/>
                <w:color w:val="auto"/>
              </w:rPr>
              <w:t>Other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40"/>
              <w:spacing w:after="0" w:line="226" w:lineRule="exact"/>
              <w:rPr>
                <w:sz w:val="20"/>
                <w:szCs w:val="20"/>
                <w:color w:val="auto"/>
              </w:rPr>
            </w:pPr>
            <w:r>
              <w:rPr>
                <w:rFonts w:ascii="Arial" w:cs="Arial" w:eastAsia="Arial" w:hAnsi="Arial"/>
                <w:sz w:val="20"/>
                <w:szCs w:val="20"/>
                <w:color w:val="auto"/>
              </w:rPr>
              <w:t>Total</w:t>
            </w: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Digital &amp; Integration . . . . . . . . . . . . . . . . . . .</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573</w:t>
            </w:r>
          </w:p>
        </w:tc>
        <w:tc>
          <w:tcPr>
            <w:tcW w:w="300" w:type="dxa"/>
            <w:vAlign w:val="bottom"/>
            <w:shd w:val="clear" w:color="auto" w:fill="CCCCCC"/>
          </w:tcPr>
          <w:p>
            <w:pPr>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2,487</w:t>
            </w:r>
          </w:p>
        </w:tc>
        <w:tc>
          <w:tcPr>
            <w:tcW w:w="220" w:type="dxa"/>
            <w:vAlign w:val="bottom"/>
            <w:shd w:val="clear" w:color="auto" w:fill="CCCCCC"/>
          </w:tcPr>
          <w:p>
            <w:pPr>
              <w:jc w:val="right"/>
              <w:ind w:right="20"/>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7</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3,067</w:t>
            </w: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Reservoir Performance . . . . . . . . . . . . . . . .</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1,547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4,043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5,602</w:t>
            </w:r>
          </w:p>
        </w:tc>
      </w:tr>
      <w:tr>
        <w:trPr>
          <w:trHeight w:val="28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Well Construction . . .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1,453</w:t>
            </w:r>
          </w:p>
        </w:tc>
        <w:tc>
          <w:tcPr>
            <w:tcW w:w="200" w:type="dxa"/>
            <w:vAlign w:val="bottom"/>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6,965</w:t>
            </w: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196</w:t>
            </w: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8,614</w:t>
            </w:r>
          </w:p>
        </w:tc>
      </w:tr>
      <w:tr>
        <w:trPr>
          <w:trHeight w:val="280"/>
        </w:trPr>
        <w:tc>
          <w:tcPr>
            <w:tcW w:w="4040" w:type="dxa"/>
            <w:vAlign w:val="bottom"/>
          </w:tcPr>
          <w:p>
            <w:pPr>
              <w:spacing w:after="0"/>
              <w:rPr>
                <w:sz w:val="20"/>
                <w:szCs w:val="20"/>
                <w:color w:val="auto"/>
              </w:rPr>
            </w:pPr>
            <w:r>
              <w:rPr>
                <w:rFonts w:ascii="Arial" w:cs="Arial" w:eastAsia="Arial" w:hAnsi="Arial"/>
                <w:sz w:val="20"/>
                <w:szCs w:val="20"/>
                <w:color w:val="auto"/>
              </w:rPr>
              <w:t>Production Systems . . . . . . . . . . . . . . . . . . .</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1,921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4,702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6,650</w:t>
            </w:r>
          </w:p>
        </w:tc>
      </w:tr>
      <w:tr>
        <w:trPr>
          <w:trHeight w:val="280"/>
        </w:trPr>
        <w:tc>
          <w:tcPr>
            <w:tcW w:w="4040" w:type="dxa"/>
            <w:vAlign w:val="bottom"/>
            <w:shd w:val="clear" w:color="auto" w:fill="CCCCCC"/>
          </w:tcPr>
          <w:p>
            <w:pPr>
              <w:spacing w:after="0"/>
              <w:rPr>
                <w:sz w:val="20"/>
                <w:szCs w:val="20"/>
                <w:color w:val="auto"/>
              </w:rPr>
            </w:pPr>
            <w:r>
              <w:rPr>
                <w:rFonts w:ascii="Arial" w:cs="Arial" w:eastAsia="Arial" w:hAnsi="Arial"/>
                <w:sz w:val="20"/>
                <w:szCs w:val="20"/>
                <w:color w:val="auto"/>
              </w:rPr>
              <w:t>Eliminations &amp; other . . . . . . . . . . . . . . . . . . .</w:t>
            </w:r>
          </w:p>
        </w:tc>
        <w:tc>
          <w:tcPr>
            <w:tcW w:w="140" w:type="dxa"/>
            <w:vAlign w:val="bottom"/>
            <w:shd w:val="clear" w:color="auto" w:fill="CCCCCC"/>
          </w:tcPr>
          <w:p>
            <w:pPr>
              <w:spacing w:after="0"/>
              <w:rPr>
                <w:sz w:val="24"/>
                <w:szCs w:val="24"/>
                <w:color w:val="auto"/>
              </w:rPr>
            </w:pPr>
          </w:p>
        </w:tc>
        <w:tc>
          <w:tcPr>
            <w:tcW w:w="9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(16)</w:t>
            </w:r>
          </w:p>
        </w:tc>
        <w:tc>
          <w:tcPr>
            <w:tcW w:w="200" w:type="dxa"/>
            <w:vAlign w:val="bottom"/>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(195)</w:t>
            </w: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(121)</w:t>
            </w:r>
          </w:p>
        </w:tc>
        <w:tc>
          <w:tcPr>
            <w:tcW w:w="20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(332)</w:t>
            </w:r>
          </w:p>
        </w:tc>
      </w:tr>
      <w:tr>
        <w:trPr>
          <w:trHeight w:val="70"/>
        </w:trPr>
        <w:tc>
          <w:tcPr>
            <w:tcW w:w="40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72"/>
        </w:trPr>
        <w:tc>
          <w:tcPr>
            <w:tcW w:w="40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5,478</w:t>
            </w:r>
          </w:p>
        </w:tc>
        <w:tc>
          <w:tcPr>
            <w:tcW w:w="20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18,002</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121</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23,601</w:t>
            </w:r>
          </w:p>
        </w:tc>
      </w:tr>
      <w:tr>
        <w:trPr>
          <w:trHeight w:val="28"/>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 xml:space="preserve">Fixed Assets less accumulated depreciation </w:t>
      </w:r>
      <w:r>
        <w:rPr>
          <w:rFonts w:ascii="Arial" w:cs="Arial" w:eastAsia="Arial" w:hAnsi="Arial"/>
          <w:sz w:val="20"/>
          <w:szCs w:val="20"/>
          <w:color w:val="auto"/>
        </w:rPr>
        <w:t>by geographic area was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color w:val="auto"/>
              </w:rPr>
              <w:t>2021</w:t>
            </w:r>
          </w:p>
        </w:tc>
      </w:tr>
      <w:tr>
        <w:trPr>
          <w:trHeight w:val="28"/>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w w:val="99"/>
              </w:rPr>
              <w:t>North America . . . . . . . . . . . . . . . . . . . . . . . . . . . . . . . . . . . . . . . . . . . . . . .</w:t>
            </w:r>
          </w:p>
        </w:tc>
        <w:tc>
          <w:tcPr>
            <w:tcW w:w="24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1,459</w:t>
            </w:r>
          </w:p>
        </w:tc>
        <w:tc>
          <w:tcPr>
            <w:tcW w:w="60" w:type="dxa"/>
            <w:vAlign w:val="bottom"/>
            <w:shd w:val="clear" w:color="auto" w:fill="CCCCCC"/>
          </w:tcPr>
          <w:p>
            <w:pPr>
              <w:spacing w:after="0"/>
              <w:rPr>
                <w:sz w:val="23"/>
                <w:szCs w:val="23"/>
                <w:color w:val="auto"/>
              </w:rPr>
            </w:pPr>
          </w:p>
        </w:tc>
        <w:tc>
          <w:tcPr>
            <w:tcW w:w="4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1,368</w:t>
            </w:r>
          </w:p>
        </w:tc>
      </w:tr>
      <w:tr>
        <w:trPr>
          <w:trHeight w:val="280"/>
        </w:trPr>
        <w:tc>
          <w:tcPr>
            <w:tcW w:w="6500" w:type="dxa"/>
            <w:vAlign w:val="bottom"/>
          </w:tcPr>
          <w:p>
            <w:pPr>
              <w:spacing w:after="0"/>
              <w:rPr>
                <w:sz w:val="20"/>
                <w:szCs w:val="20"/>
                <w:color w:val="auto"/>
              </w:rPr>
            </w:pPr>
            <w:r>
              <w:rPr>
                <w:rFonts w:ascii="Arial" w:cs="Arial" w:eastAsia="Arial" w:hAnsi="Arial"/>
                <w:sz w:val="20"/>
                <w:szCs w:val="20"/>
                <w:color w:val="auto"/>
                <w:w w:val="99"/>
              </w:rPr>
              <w:t>Latin America  . . . . . . . . . . . . . . . . . . . . . . . . . . . . . . . . . . . . . . . . . . . . . . .</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913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868</w:t>
            </w:r>
          </w:p>
        </w:tc>
      </w:tr>
      <w:tr>
        <w:trPr>
          <w:trHeight w:val="28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w w:val="99"/>
              </w:rPr>
              <w:t>Europe/CIS/Africa . . . . . . . . . . . . . . . . . . . . . . . . . . . . . . . . . . . . . . . . . . . .</w:t>
            </w:r>
          </w:p>
        </w:tc>
        <w:tc>
          <w:tcPr>
            <w:tcW w:w="240" w:type="dxa"/>
            <w:vAlign w:val="bottom"/>
            <w:shd w:val="clear" w:color="auto" w:fill="CCCCCC"/>
          </w:tcPr>
          <w:p>
            <w:pPr>
              <w:spacing w:after="0"/>
              <w:rPr>
                <w:sz w:val="24"/>
                <w:szCs w:val="24"/>
                <w:color w:val="auto"/>
              </w:rPr>
            </w:pP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1,668</w:t>
            </w:r>
          </w:p>
        </w:tc>
        <w:tc>
          <w:tcPr>
            <w:tcW w:w="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1,690</w:t>
            </w:r>
          </w:p>
        </w:tc>
      </w:tr>
      <w:tr>
        <w:trPr>
          <w:trHeight w:val="280"/>
        </w:trPr>
        <w:tc>
          <w:tcPr>
            <w:tcW w:w="6500" w:type="dxa"/>
            <w:vAlign w:val="bottom"/>
          </w:tcPr>
          <w:p>
            <w:pPr>
              <w:spacing w:after="0"/>
              <w:rPr>
                <w:sz w:val="20"/>
                <w:szCs w:val="20"/>
                <w:color w:val="auto"/>
              </w:rPr>
            </w:pPr>
            <w:r>
              <w:rPr>
                <w:rFonts w:ascii="Arial" w:cs="Arial" w:eastAsia="Arial" w:hAnsi="Arial"/>
                <w:sz w:val="20"/>
                <w:szCs w:val="20"/>
                <w:color w:val="auto"/>
              </w:rPr>
              <w:t>Middle East &amp; Asia . . . . . . . . . . . . . . . . . . . . . . . . . . . . . . . . . . . . . . . . . . .</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2,099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2,049</w:t>
            </w:r>
          </w:p>
        </w:tc>
      </w:tr>
      <w:tr>
        <w:trPr>
          <w:trHeight w:val="28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w w:val="99"/>
              </w:rPr>
              <w:t>Unallocated . . . . . . . . . . . . . . . . . . . . . . . . . . . . . . . . . . . . . . . . . . . . . . . . .</w:t>
            </w:r>
          </w:p>
        </w:tc>
        <w:tc>
          <w:tcPr>
            <w:tcW w:w="24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468</w:t>
            </w:r>
          </w:p>
        </w:tc>
        <w:tc>
          <w:tcPr>
            <w:tcW w:w="14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454</w:t>
            </w:r>
          </w:p>
        </w:tc>
      </w:tr>
      <w:tr>
        <w:trPr>
          <w:trHeight w:val="70"/>
        </w:trPr>
        <w:tc>
          <w:tcPr>
            <w:tcW w:w="65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72"/>
        </w:trPr>
        <w:tc>
          <w:tcPr>
            <w:tcW w:w="6500" w:type="dxa"/>
            <w:vAlign w:val="bottom"/>
          </w:tcPr>
          <w:p>
            <w:pPr>
              <w:spacing w:after="0"/>
              <w:rPr>
                <w:sz w:val="23"/>
                <w:szCs w:val="23"/>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6,607</w:t>
            </w:r>
          </w:p>
        </w:tc>
        <w:tc>
          <w:tcPr>
            <w:tcW w:w="60" w:type="dxa"/>
            <w:vAlign w:val="bottom"/>
          </w:tcPr>
          <w:p>
            <w:pPr>
              <w:spacing w:after="0"/>
              <w:rPr>
                <w:sz w:val="23"/>
                <w:szCs w:val="23"/>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6,429</w:t>
            </w:r>
          </w:p>
        </w:tc>
      </w:tr>
      <w:tr>
        <w:trPr>
          <w:trHeight w:val="28"/>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Pension and Other Postretirement Benefit Plans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Pension Plans</w:t>
      </w:r>
    </w:p>
    <w:p>
      <w:pPr>
        <w:spacing w:after="0" w:line="239"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 sponsors several defined benefit pension plans that cover substantially all US employees hired prior to October 1, 2004. The benefits are based on years of service and compensation, on a career-average pay basis.</w:t>
      </w:r>
    </w:p>
    <w:p>
      <w:pPr>
        <w:spacing w:after="0" w:line="23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In addition to the US defined benefit pension plans, SLB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233"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weighted-average assumed discount rate, compensation increases and expected long-term rate of return on plan assets used to determine the net pension cost for the US and International plans were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20"/>
                <w:szCs w:val="20"/>
                <w:color w:val="auto"/>
              </w:rPr>
              <w:t>US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Arial" w:cs="Arial" w:eastAsia="Arial" w:hAnsi="Arial"/>
                <w:sz w:val="20"/>
                <w:szCs w:val="20"/>
                <w:color w:val="auto"/>
              </w:rPr>
              <w:t>International</w:t>
            </w:r>
          </w:p>
        </w:tc>
        <w:tc>
          <w:tcPr>
            <w:tcW w:w="840" w:type="dxa"/>
            <w:vAlign w:val="bottom"/>
          </w:tcPr>
          <w:p>
            <w:pPr>
              <w:spacing w:after="0"/>
              <w:rPr>
                <w:sz w:val="19"/>
                <w:szCs w:val="19"/>
                <w:color w:val="auto"/>
              </w:rPr>
            </w:pPr>
          </w:p>
        </w:tc>
      </w:tr>
      <w:tr>
        <w:trPr>
          <w:trHeight w:val="28"/>
        </w:trPr>
        <w:tc>
          <w:tcPr>
            <w:tcW w:w="3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2"/>
        </w:trPr>
        <w:tc>
          <w:tcPr>
            <w:tcW w:w="306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b w:val="1"/>
                <w:bCs w:val="1"/>
                <w:color w:val="auto"/>
              </w:rPr>
              <w:t>2022</w:t>
            </w: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2021</w:t>
            </w: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2020</w:t>
            </w:r>
          </w:p>
        </w:tc>
        <w:tc>
          <w:tcPr>
            <w:tcW w:w="10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2022</w:t>
            </w: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color w:val="auto"/>
              </w:rPr>
              <w:t>2020</w:t>
            </w:r>
          </w:p>
        </w:tc>
      </w:tr>
      <w:tr>
        <w:trPr>
          <w:trHeight w:val="28"/>
        </w:trPr>
        <w:tc>
          <w:tcPr>
            <w:tcW w:w="3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3060" w:type="dxa"/>
            <w:vAlign w:val="bottom"/>
            <w:shd w:val="clear" w:color="auto" w:fill="CCCCCC"/>
          </w:tcPr>
          <w:p>
            <w:pPr>
              <w:spacing w:after="0"/>
              <w:rPr>
                <w:sz w:val="20"/>
                <w:szCs w:val="20"/>
                <w:color w:val="auto"/>
              </w:rPr>
            </w:pPr>
            <w:r>
              <w:rPr>
                <w:rFonts w:ascii="Arial" w:cs="Arial" w:eastAsia="Arial" w:hAnsi="Arial"/>
                <w:sz w:val="20"/>
                <w:szCs w:val="20"/>
                <w:color w:val="auto"/>
              </w:rPr>
              <w:t>Discount rate  . . . . . . . . . . . . . . .</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3.00%</w:t>
            </w:r>
          </w:p>
        </w:tc>
        <w:tc>
          <w:tcPr>
            <w:tcW w:w="1040" w:type="dxa"/>
            <w:vAlign w:val="bottom"/>
            <w:gridSpan w:val="2"/>
            <w:shd w:val="clear" w:color="auto" w:fill="CCCCCC"/>
          </w:tcPr>
          <w:p>
            <w:pPr>
              <w:ind w:left="480"/>
              <w:spacing w:after="0"/>
              <w:rPr>
                <w:sz w:val="20"/>
                <w:szCs w:val="20"/>
                <w:color w:val="auto"/>
              </w:rPr>
            </w:pPr>
            <w:r>
              <w:rPr>
                <w:rFonts w:ascii="Arial" w:cs="Arial" w:eastAsia="Arial" w:hAnsi="Arial"/>
                <w:sz w:val="20"/>
                <w:szCs w:val="20"/>
                <w:color w:val="auto"/>
                <w:w w:val="95"/>
              </w:rPr>
              <w:t>2.60%</w:t>
            </w:r>
          </w:p>
        </w:tc>
        <w:tc>
          <w:tcPr>
            <w:tcW w:w="104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3.30%</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20"/>
                <w:szCs w:val="20"/>
                <w:b w:val="1"/>
                <w:bCs w:val="1"/>
                <w:color w:val="auto"/>
              </w:rPr>
              <w:t>2.83%</w:t>
            </w:r>
          </w:p>
        </w:tc>
        <w:tc>
          <w:tcPr>
            <w:tcW w:w="104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2.38%</w:t>
            </w:r>
          </w:p>
        </w:tc>
        <w:tc>
          <w:tcPr>
            <w:tcW w:w="200" w:type="dxa"/>
            <w:vAlign w:val="bottom"/>
            <w:shd w:val="clear" w:color="auto" w:fill="CCCCCC"/>
          </w:tcPr>
          <w:p>
            <w:pPr>
              <w:spacing w:after="0"/>
              <w:rPr>
                <w:sz w:val="23"/>
                <w:szCs w:val="23"/>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3.27%</w:t>
            </w:r>
          </w:p>
        </w:tc>
      </w:tr>
      <w:tr>
        <w:trPr>
          <w:trHeight w:val="280"/>
        </w:trPr>
        <w:tc>
          <w:tcPr>
            <w:tcW w:w="3060" w:type="dxa"/>
            <w:vAlign w:val="bottom"/>
          </w:tcPr>
          <w:p>
            <w:pPr>
              <w:spacing w:after="0"/>
              <w:rPr>
                <w:sz w:val="20"/>
                <w:szCs w:val="20"/>
                <w:color w:val="auto"/>
              </w:rPr>
            </w:pPr>
            <w:r>
              <w:rPr>
                <w:rFonts w:ascii="Arial" w:cs="Arial" w:eastAsia="Arial" w:hAnsi="Arial"/>
                <w:sz w:val="20"/>
                <w:szCs w:val="20"/>
                <w:color w:val="auto"/>
              </w:rPr>
              <w:t>Compensation increases . . . . . .</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4.00%</w:t>
            </w:r>
          </w:p>
        </w:tc>
        <w:tc>
          <w:tcPr>
            <w:tcW w:w="1040" w:type="dxa"/>
            <w:vAlign w:val="bottom"/>
            <w:gridSpan w:val="2"/>
          </w:tcPr>
          <w:p>
            <w:pPr>
              <w:ind w:left="480"/>
              <w:spacing w:after="0"/>
              <w:rPr>
                <w:sz w:val="20"/>
                <w:szCs w:val="20"/>
                <w:color w:val="auto"/>
              </w:rPr>
            </w:pPr>
            <w:r>
              <w:rPr>
                <w:rFonts w:ascii="Arial" w:cs="Arial" w:eastAsia="Arial" w:hAnsi="Arial"/>
                <w:sz w:val="20"/>
                <w:szCs w:val="20"/>
                <w:color w:val="auto"/>
                <w:w w:val="95"/>
              </w:rPr>
              <w:t>4.00%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4.00%</w:t>
            </w: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4.83%</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4.82%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4.83%</w:t>
            </w:r>
          </w:p>
        </w:tc>
      </w:tr>
      <w:tr>
        <w:trPr>
          <w:trHeight w:val="280"/>
        </w:trPr>
        <w:tc>
          <w:tcPr>
            <w:tcW w:w="3060" w:type="dxa"/>
            <w:vAlign w:val="bottom"/>
            <w:shd w:val="clear" w:color="auto" w:fill="CCCCCC"/>
          </w:tcPr>
          <w:p>
            <w:pPr>
              <w:spacing w:after="0"/>
              <w:rPr>
                <w:sz w:val="20"/>
                <w:szCs w:val="20"/>
                <w:color w:val="auto"/>
              </w:rPr>
            </w:pPr>
            <w:r>
              <w:rPr>
                <w:rFonts w:ascii="Arial" w:cs="Arial" w:eastAsia="Arial" w:hAnsi="Arial"/>
                <w:sz w:val="20"/>
                <w:szCs w:val="20"/>
                <w:color w:val="auto"/>
              </w:rPr>
              <w:t>Return on plan assets . . . . . . . .</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4.40%</w:t>
            </w:r>
          </w:p>
        </w:tc>
        <w:tc>
          <w:tcPr>
            <w:tcW w:w="1040" w:type="dxa"/>
            <w:vAlign w:val="bottom"/>
            <w:gridSpan w:val="2"/>
            <w:shd w:val="clear" w:color="auto" w:fill="CCCCCC"/>
          </w:tcPr>
          <w:p>
            <w:pPr>
              <w:ind w:left="480"/>
              <w:spacing w:after="0"/>
              <w:rPr>
                <w:sz w:val="20"/>
                <w:szCs w:val="20"/>
                <w:color w:val="auto"/>
              </w:rPr>
            </w:pPr>
            <w:r>
              <w:rPr>
                <w:rFonts w:ascii="Arial" w:cs="Arial" w:eastAsia="Arial" w:hAnsi="Arial"/>
                <w:sz w:val="20"/>
                <w:szCs w:val="20"/>
                <w:color w:val="auto"/>
                <w:w w:val="95"/>
              </w:rPr>
              <w:t>6.60%</w:t>
            </w:r>
          </w:p>
        </w:tc>
        <w:tc>
          <w:tcPr>
            <w:tcW w:w="104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6.60%</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20"/>
                <w:szCs w:val="20"/>
                <w:b w:val="1"/>
                <w:bCs w:val="1"/>
                <w:color w:val="auto"/>
              </w:rPr>
              <w:t>5.05%</w:t>
            </w:r>
          </w:p>
        </w:tc>
        <w:tc>
          <w:tcPr>
            <w:tcW w:w="104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6.73%</w:t>
            </w:r>
          </w:p>
        </w:tc>
        <w:tc>
          <w:tcPr>
            <w:tcW w:w="20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6.71%</w:t>
            </w: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9360"/>
          </w:cols>
          <w:pgMar w:left="1440" w:top="1440" w:right="1440" w:bottom="836" w:gutter="0" w:footer="0" w:header="0"/>
          <w:type w:val="continuous"/>
        </w:sectPr>
      </w:pPr>
    </w:p>
    <w:bookmarkStart w:id="90" w:name="page91"/>
    <w:bookmarkEnd w:id="90"/>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Net pension cost (credit) included the following components: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5"/>
          </w:tcPr>
          <w:p>
            <w:pPr>
              <w:jc w:val="center"/>
              <w:ind w:left="362"/>
              <w:spacing w:after="0"/>
              <w:rPr>
                <w:sz w:val="20"/>
                <w:szCs w:val="20"/>
                <w:color w:val="auto"/>
              </w:rPr>
            </w:pPr>
            <w:r>
              <w:rPr>
                <w:rFonts w:ascii="Arial" w:cs="Arial" w:eastAsia="Arial" w:hAnsi="Arial"/>
                <w:sz w:val="16"/>
                <w:szCs w:val="16"/>
                <w:i w:val="1"/>
                <w:iCs w:val="1"/>
                <w:color w:val="auto"/>
              </w:rPr>
              <w:t>(Stated in millions)</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470"/>
        </w:trPr>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20"/>
                <w:szCs w:val="20"/>
                <w:color w:val="auto"/>
              </w:rPr>
              <w:t>US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5"/>
          </w:tcPr>
          <w:p>
            <w:pPr>
              <w:jc w:val="center"/>
              <w:ind w:left="382"/>
              <w:spacing w:after="0"/>
              <w:rPr>
                <w:sz w:val="20"/>
                <w:szCs w:val="20"/>
                <w:color w:val="auto"/>
              </w:rPr>
            </w:pPr>
            <w:r>
              <w:rPr>
                <w:rFonts w:ascii="Arial" w:cs="Arial" w:eastAsia="Arial" w:hAnsi="Arial"/>
                <w:sz w:val="20"/>
                <w:szCs w:val="20"/>
                <w:color w:val="auto"/>
                <w:w w:val="99"/>
              </w:rPr>
              <w:t>International</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8"/>
        </w:trPr>
        <w:tc>
          <w:tcPr>
            <w:tcW w:w="3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r>
      <w:tr>
        <w:trPr>
          <w:trHeight w:val="252"/>
        </w:trPr>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0"/>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color w:val="auto"/>
                <w:w w:val="98"/>
              </w:rPr>
              <w:t>2020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2"/>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0"/>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2020</w:t>
            </w:r>
          </w:p>
        </w:tc>
      </w:tr>
      <w:tr>
        <w:trPr>
          <w:trHeight w:val="28"/>
        </w:trPr>
        <w:tc>
          <w:tcPr>
            <w:tcW w:w="3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70"/>
        </w:trPr>
        <w:tc>
          <w:tcPr>
            <w:tcW w:w="3800" w:type="dxa"/>
            <w:vAlign w:val="bottom"/>
            <w:shd w:val="clear" w:color="auto" w:fill="CCCCCC"/>
          </w:tcPr>
          <w:p>
            <w:pPr>
              <w:spacing w:after="0"/>
              <w:rPr>
                <w:sz w:val="20"/>
                <w:szCs w:val="20"/>
                <w:color w:val="auto"/>
              </w:rPr>
            </w:pPr>
            <w:r>
              <w:rPr>
                <w:rFonts w:ascii="Arial" w:cs="Arial" w:eastAsia="Arial" w:hAnsi="Arial"/>
                <w:sz w:val="20"/>
                <w:szCs w:val="20"/>
                <w:color w:val="auto"/>
              </w:rPr>
              <w:t>Service cost . . . . . . . . . . . . . . . . . . . . . . . .</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37</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44</w:t>
            </w:r>
          </w:p>
        </w:tc>
        <w:tc>
          <w:tcPr>
            <w:tcW w:w="12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55</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8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101</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117</w:t>
            </w: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4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140</w:t>
            </w:r>
          </w:p>
        </w:tc>
      </w:tr>
      <w:tr>
        <w:trPr>
          <w:trHeight w:val="280"/>
        </w:trPr>
        <w:tc>
          <w:tcPr>
            <w:tcW w:w="3800" w:type="dxa"/>
            <w:vAlign w:val="bottom"/>
          </w:tcPr>
          <w:p>
            <w:pPr>
              <w:spacing w:after="0"/>
              <w:rPr>
                <w:sz w:val="20"/>
                <w:szCs w:val="20"/>
                <w:color w:val="auto"/>
              </w:rPr>
            </w:pPr>
            <w:r>
              <w:rPr>
                <w:rFonts w:ascii="Arial" w:cs="Arial" w:eastAsia="Arial" w:hAnsi="Arial"/>
                <w:sz w:val="20"/>
                <w:szCs w:val="20"/>
                <w:color w:val="auto"/>
              </w:rPr>
              <w:t>Interest cost . . . . . . . . . . . . . . . . . . . . . . . .</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137</w:t>
            </w:r>
          </w:p>
        </w:tc>
        <w:tc>
          <w:tcPr>
            <w:tcW w:w="1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127</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148</w:t>
            </w:r>
          </w:p>
        </w:tc>
        <w:tc>
          <w:tcPr>
            <w:tcW w:w="1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298</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267</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301</w:t>
            </w:r>
          </w:p>
        </w:tc>
      </w:tr>
      <w:tr>
        <w:trPr>
          <w:trHeight w:val="280"/>
        </w:trPr>
        <w:tc>
          <w:tcPr>
            <w:tcW w:w="3800" w:type="dxa"/>
            <w:vAlign w:val="bottom"/>
            <w:shd w:val="clear" w:color="auto" w:fill="CCCCCC"/>
          </w:tcPr>
          <w:p>
            <w:pPr>
              <w:spacing w:after="0"/>
              <w:rPr>
                <w:sz w:val="20"/>
                <w:szCs w:val="20"/>
                <w:color w:val="auto"/>
              </w:rPr>
            </w:pPr>
            <w:r>
              <w:rPr>
                <w:rFonts w:ascii="Arial" w:cs="Arial" w:eastAsia="Arial" w:hAnsi="Arial"/>
                <w:sz w:val="20"/>
                <w:szCs w:val="20"/>
                <w:color w:val="auto"/>
              </w:rPr>
              <w:t>Expected return on plan assets  . . . . . . . .</w:t>
            </w:r>
          </w:p>
        </w:tc>
        <w:tc>
          <w:tcPr>
            <w:tcW w:w="16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(202)</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(254)</w:t>
            </w:r>
          </w:p>
        </w:tc>
        <w:tc>
          <w:tcPr>
            <w:tcW w:w="1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6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(233)</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(530)</w:t>
            </w: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(640)</w:t>
            </w:r>
          </w:p>
        </w:tc>
        <w:tc>
          <w:tcPr>
            <w:tcW w:w="10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480" w:type="dxa"/>
            <w:vAlign w:val="bottom"/>
            <w:shd w:val="clear" w:color="auto" w:fill="CCCCCC"/>
          </w:tcPr>
          <w:p>
            <w:pPr>
              <w:jc w:val="right"/>
              <w:spacing w:after="0"/>
              <w:rPr>
                <w:sz w:val="20"/>
                <w:szCs w:val="20"/>
                <w:color w:val="auto"/>
              </w:rPr>
            </w:pPr>
            <w:r>
              <w:rPr>
                <w:rFonts w:ascii="Arial" w:cs="Arial" w:eastAsia="Arial" w:hAnsi="Arial"/>
                <w:sz w:val="20"/>
                <w:szCs w:val="20"/>
                <w:color w:val="auto"/>
                <w:w w:val="98"/>
              </w:rPr>
              <w:t>(591)</w:t>
            </w:r>
          </w:p>
        </w:tc>
      </w:tr>
      <w:tr>
        <w:trPr>
          <w:trHeight w:val="280"/>
        </w:trPr>
        <w:tc>
          <w:tcPr>
            <w:tcW w:w="3800" w:type="dxa"/>
            <w:vAlign w:val="bottom"/>
          </w:tcPr>
          <w:p>
            <w:pPr>
              <w:spacing w:after="0"/>
              <w:rPr>
                <w:sz w:val="20"/>
                <w:szCs w:val="20"/>
                <w:color w:val="auto"/>
              </w:rPr>
            </w:pPr>
            <w:r>
              <w:rPr>
                <w:rFonts w:ascii="Arial" w:cs="Arial" w:eastAsia="Arial" w:hAnsi="Arial"/>
                <w:sz w:val="20"/>
                <w:szCs w:val="20"/>
                <w:color w:val="auto"/>
              </w:rPr>
              <w:t>Amortization of prior service cost . . . . . . .</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8</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3800" w:type="dxa"/>
            <w:vAlign w:val="bottom"/>
            <w:shd w:val="clear" w:color="auto" w:fill="CCCCCC"/>
          </w:tcPr>
          <w:p>
            <w:pPr>
              <w:spacing w:after="0"/>
              <w:rPr>
                <w:sz w:val="20"/>
                <w:szCs w:val="20"/>
                <w:color w:val="auto"/>
              </w:rPr>
            </w:pPr>
            <w:r>
              <w:rPr>
                <w:rFonts w:ascii="Arial" w:cs="Arial" w:eastAsia="Arial" w:hAnsi="Arial"/>
                <w:sz w:val="20"/>
                <w:szCs w:val="20"/>
                <w:color w:val="auto"/>
              </w:rPr>
              <w:t>Amortization of net loss . . . . . . . . . . . . . . .</w:t>
            </w:r>
          </w:p>
        </w:tc>
        <w:tc>
          <w:tcPr>
            <w:tcW w:w="160" w:type="dxa"/>
            <w:vAlign w:val="bottom"/>
            <w:shd w:val="clear" w:color="auto" w:fill="CCCCCC"/>
          </w:tcPr>
          <w:p>
            <w:pPr>
              <w:spacing w:after="0"/>
              <w:rPr>
                <w:sz w:val="24"/>
                <w:szCs w:val="24"/>
                <w:color w:val="auto"/>
              </w:rPr>
            </w:pPr>
          </w:p>
        </w:tc>
        <w:tc>
          <w:tcPr>
            <w:tcW w:w="8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5</w:t>
            </w:r>
          </w:p>
        </w:tc>
        <w:tc>
          <w:tcPr>
            <w:tcW w:w="160" w:type="dxa"/>
            <w:vAlign w:val="bottom"/>
            <w:shd w:val="clear" w:color="auto" w:fill="CCCCCC"/>
          </w:tcPr>
          <w:p>
            <w:pPr>
              <w:spacing w:after="0"/>
              <w:rPr>
                <w:sz w:val="24"/>
                <w:szCs w:val="24"/>
                <w:color w:val="auto"/>
              </w:rPr>
            </w:pPr>
          </w:p>
        </w:tc>
        <w:tc>
          <w:tcPr>
            <w:tcW w:w="8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44</w:t>
            </w:r>
          </w:p>
        </w:tc>
        <w:tc>
          <w:tcPr>
            <w:tcW w:w="120" w:type="dxa"/>
            <w:vAlign w:val="bottom"/>
            <w:shd w:val="clear" w:color="auto" w:fill="CCCCCC"/>
          </w:tcPr>
          <w:p>
            <w:pPr>
              <w:spacing w:after="0"/>
              <w:rPr>
                <w:sz w:val="24"/>
                <w:szCs w:val="24"/>
                <w:color w:val="auto"/>
              </w:rPr>
            </w:pPr>
          </w:p>
        </w:tc>
        <w:tc>
          <w:tcPr>
            <w:tcW w:w="7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41</w:t>
            </w:r>
          </w:p>
        </w:tc>
        <w:tc>
          <w:tcPr>
            <w:tcW w:w="160" w:type="dxa"/>
            <w:vAlign w:val="bottom"/>
            <w:shd w:val="clear" w:color="auto" w:fill="CCCCCC"/>
          </w:tcPr>
          <w:p>
            <w:pPr>
              <w:spacing w:after="0"/>
              <w:rPr>
                <w:sz w:val="24"/>
                <w:szCs w:val="24"/>
                <w:color w:val="auto"/>
              </w:rPr>
            </w:pPr>
          </w:p>
        </w:tc>
        <w:tc>
          <w:tcPr>
            <w:tcW w:w="82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b w:val="1"/>
                <w:bCs w:val="1"/>
                <w:color w:val="auto"/>
              </w:rPr>
              <w:t>80</w:t>
            </w:r>
          </w:p>
        </w:tc>
        <w:tc>
          <w:tcPr>
            <w:tcW w:w="160" w:type="dxa"/>
            <w:vAlign w:val="bottom"/>
            <w:shd w:val="clear" w:color="auto" w:fill="CCCCCC"/>
          </w:tcPr>
          <w:p>
            <w:pPr>
              <w:spacing w:after="0"/>
              <w:rPr>
                <w:sz w:val="24"/>
                <w:szCs w:val="24"/>
                <w:color w:val="auto"/>
              </w:rPr>
            </w:pPr>
          </w:p>
        </w:tc>
        <w:tc>
          <w:tcPr>
            <w:tcW w:w="8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227</w:t>
            </w:r>
          </w:p>
        </w:tc>
        <w:tc>
          <w:tcPr>
            <w:tcW w:w="140" w:type="dxa"/>
            <w:vAlign w:val="bottom"/>
            <w:shd w:val="clear" w:color="auto" w:fill="CCCCCC"/>
          </w:tcPr>
          <w:p>
            <w:pPr>
              <w:spacing w:after="0"/>
              <w:rPr>
                <w:sz w:val="24"/>
                <w:szCs w:val="24"/>
                <w:color w:val="auto"/>
              </w:rPr>
            </w:pPr>
          </w:p>
        </w:tc>
        <w:tc>
          <w:tcPr>
            <w:tcW w:w="48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159</w:t>
            </w:r>
          </w:p>
        </w:tc>
      </w:tr>
      <w:tr>
        <w:trPr>
          <w:trHeight w:val="70"/>
        </w:trPr>
        <w:tc>
          <w:tcPr>
            <w:tcW w:w="38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r>
      <w:tr>
        <w:trPr>
          <w:trHeight w:val="272"/>
        </w:trPr>
        <w:tc>
          <w:tcPr>
            <w:tcW w:w="38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19</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(51)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
        </w:trPr>
        <w:tc>
          <w:tcPr>
            <w:tcW w:w="3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weighted-average assumed discount rate and compensation increases used to determine the projected benefit obligations for the US and International plans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Arial" w:cs="Arial" w:eastAsia="Arial" w:hAnsi="Arial"/>
                <w:sz w:val="20"/>
                <w:szCs w:val="20"/>
                <w:color w:val="auto"/>
              </w:rPr>
              <w:t>US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3"/>
          </w:tcPr>
          <w:p>
            <w:pPr>
              <w:jc w:val="right"/>
              <w:ind w:right="400"/>
              <w:spacing w:after="0"/>
              <w:rPr>
                <w:sz w:val="20"/>
                <w:szCs w:val="20"/>
                <w:color w:val="auto"/>
              </w:rPr>
            </w:pPr>
            <w:r>
              <w:rPr>
                <w:rFonts w:ascii="Arial" w:cs="Arial" w:eastAsia="Arial" w:hAnsi="Arial"/>
                <w:sz w:val="20"/>
                <w:szCs w:val="20"/>
                <w:color w:val="auto"/>
              </w:rPr>
              <w:t>International</w:t>
            </w:r>
          </w:p>
        </w:tc>
      </w:tr>
      <w:tr>
        <w:trPr>
          <w:trHeight w:val="28"/>
        </w:trPr>
        <w:tc>
          <w:tcPr>
            <w:tcW w:w="5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2"/>
        </w:trPr>
        <w:tc>
          <w:tcPr>
            <w:tcW w:w="514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2021</w:t>
            </w:r>
          </w:p>
        </w:tc>
        <w:tc>
          <w:tcPr>
            <w:tcW w:w="10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2022</w:t>
            </w: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2021</w:t>
            </w:r>
          </w:p>
        </w:tc>
      </w:tr>
      <w:tr>
        <w:trPr>
          <w:trHeight w:val="28"/>
        </w:trPr>
        <w:tc>
          <w:tcPr>
            <w:tcW w:w="5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5140" w:type="dxa"/>
            <w:vAlign w:val="bottom"/>
            <w:shd w:val="clear" w:color="auto" w:fill="CCCCCC"/>
          </w:tcPr>
          <w:p>
            <w:pPr>
              <w:spacing w:after="0"/>
              <w:rPr>
                <w:sz w:val="20"/>
                <w:szCs w:val="20"/>
                <w:color w:val="auto"/>
              </w:rPr>
            </w:pPr>
            <w:r>
              <w:rPr>
                <w:rFonts w:ascii="Arial" w:cs="Arial" w:eastAsia="Arial" w:hAnsi="Arial"/>
                <w:sz w:val="20"/>
                <w:szCs w:val="20"/>
                <w:color w:val="auto"/>
              </w:rPr>
              <w:t>Discount rate . . . . . . . . . . . . . . . . . . . . . . . . . . . . . . . . . . .</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5.50%</w:t>
            </w:r>
          </w:p>
        </w:tc>
        <w:tc>
          <w:tcPr>
            <w:tcW w:w="2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3.00%</w:t>
            </w:r>
          </w:p>
        </w:tc>
        <w:tc>
          <w:tcPr>
            <w:tcW w:w="1040" w:type="dxa"/>
            <w:vAlign w:val="bottom"/>
            <w:gridSpan w:val="2"/>
            <w:shd w:val="clear" w:color="auto" w:fill="CCCCCC"/>
          </w:tcPr>
          <w:p>
            <w:pPr>
              <w:jc w:val="right"/>
              <w:spacing w:after="0"/>
              <w:rPr>
                <w:sz w:val="20"/>
                <w:szCs w:val="20"/>
                <w:color w:val="auto"/>
              </w:rPr>
            </w:pPr>
            <w:r>
              <w:rPr>
                <w:rFonts w:ascii="Arial" w:cs="Arial" w:eastAsia="Arial" w:hAnsi="Arial"/>
                <w:sz w:val="20"/>
                <w:szCs w:val="20"/>
                <w:b w:val="1"/>
                <w:bCs w:val="1"/>
                <w:color w:val="auto"/>
              </w:rPr>
              <w:t>5.41%</w:t>
            </w:r>
          </w:p>
        </w:tc>
        <w:tc>
          <w:tcPr>
            <w:tcW w:w="104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2.83%</w:t>
            </w:r>
          </w:p>
        </w:tc>
      </w:tr>
      <w:tr>
        <w:trPr>
          <w:trHeight w:val="282"/>
        </w:trPr>
        <w:tc>
          <w:tcPr>
            <w:tcW w:w="5140" w:type="dxa"/>
            <w:vAlign w:val="bottom"/>
          </w:tcPr>
          <w:p>
            <w:pPr>
              <w:spacing w:after="0"/>
              <w:rPr>
                <w:sz w:val="20"/>
                <w:szCs w:val="20"/>
                <w:color w:val="auto"/>
              </w:rPr>
            </w:pPr>
            <w:r>
              <w:rPr>
                <w:rFonts w:ascii="Arial" w:cs="Arial" w:eastAsia="Arial" w:hAnsi="Arial"/>
                <w:sz w:val="20"/>
                <w:szCs w:val="20"/>
                <w:color w:val="auto"/>
              </w:rPr>
              <w:t>Compensation increases  . . . . . . . . . . . . . . . . . . . . . . . . .</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4.00%</w:t>
            </w:r>
          </w:p>
        </w:tc>
        <w:tc>
          <w:tcPr>
            <w:tcW w:w="1040" w:type="dxa"/>
            <w:vAlign w:val="bottom"/>
            <w:gridSpan w:val="2"/>
          </w:tcPr>
          <w:p>
            <w:pPr>
              <w:jc w:val="right"/>
              <w:spacing w:after="0"/>
              <w:rPr>
                <w:sz w:val="20"/>
                <w:szCs w:val="20"/>
                <w:color w:val="auto"/>
              </w:rPr>
            </w:pPr>
            <w:r>
              <w:rPr>
                <w:rFonts w:ascii="Arial" w:cs="Arial" w:eastAsia="Arial" w:hAnsi="Arial"/>
                <w:sz w:val="20"/>
                <w:szCs w:val="20"/>
                <w:b w:val="1"/>
                <w:bCs w:val="1"/>
                <w:color w:val="auto"/>
              </w:rPr>
              <w:t>4.84%</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4.83%</w:t>
            </w: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9360"/>
          </w:cols>
          <w:pgMar w:left="1440" w:top="1440" w:right="1440" w:bottom="836" w:gutter="0" w:footer="0" w:header="0"/>
          <w:type w:val="continuous"/>
        </w:sectPr>
      </w:pPr>
    </w:p>
    <w:bookmarkStart w:id="91" w:name="page92"/>
    <w:bookmarkEnd w:id="91"/>
    <w:p>
      <w:pPr>
        <w:spacing w:after="0" w:line="5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changes in the projected benefit obligation, plan assets and funded status of the plans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20"/>
                <w:szCs w:val="20"/>
                <w:i w:val="1"/>
                <w:iCs w:val="1"/>
                <w:color w:val="auto"/>
              </w:rPr>
              <w:t>(Stated in millions)</w:t>
            </w:r>
          </w:p>
        </w:tc>
        <w:tc>
          <w:tcPr>
            <w:tcW w:w="0" w:type="dxa"/>
            <w:vAlign w:val="bottom"/>
          </w:tcPr>
          <w:p>
            <w:pPr>
              <w:spacing w:after="0"/>
              <w:rPr>
                <w:sz w:val="1"/>
                <w:szCs w:val="1"/>
                <w:color w:val="auto"/>
              </w:rPr>
            </w:pPr>
          </w:p>
        </w:tc>
      </w:tr>
      <w:tr>
        <w:trPr>
          <w:trHeight w:val="460"/>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20"/>
                <w:szCs w:val="20"/>
                <w:b w:val="1"/>
                <w:bCs w:val="1"/>
                <w:color w:val="auto"/>
              </w:rPr>
              <w:t>US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20"/>
                <w:szCs w:val="20"/>
                <w:b w:val="1"/>
                <w:bCs w:val="1"/>
                <w:color w:val="auto"/>
              </w:rPr>
              <w:t>International</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40"/>
              <w:spacing w:after="0"/>
              <w:rPr>
                <w:sz w:val="20"/>
                <w:szCs w:val="20"/>
                <w:color w:val="auto"/>
              </w:rPr>
            </w:pPr>
            <w:r>
              <w:rPr>
                <w:rFonts w:ascii="Arial" w:cs="Arial" w:eastAsia="Arial" w:hAnsi="Arial"/>
                <w:sz w:val="20"/>
                <w:szCs w:val="20"/>
                <w:b w:val="1"/>
                <w:bCs w:val="1"/>
                <w:color w:val="auto"/>
              </w:rPr>
              <w:t>2022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40"/>
              <w:spacing w:after="0"/>
              <w:rPr>
                <w:sz w:val="20"/>
                <w:szCs w:val="20"/>
                <w:color w:val="auto"/>
              </w:rPr>
            </w:pPr>
            <w:r>
              <w:rPr>
                <w:rFonts w:ascii="Arial" w:cs="Arial" w:eastAsia="Arial" w:hAnsi="Arial"/>
                <w:sz w:val="20"/>
                <w:szCs w:val="20"/>
                <w:color w:val="auto"/>
              </w:rPr>
              <w:t>2021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0"/>
              <w:spacing w:after="0"/>
              <w:rPr>
                <w:sz w:val="20"/>
                <w:szCs w:val="20"/>
                <w:color w:val="auto"/>
              </w:rPr>
            </w:pPr>
            <w:r>
              <w:rPr>
                <w:rFonts w:ascii="Arial" w:cs="Arial" w:eastAsia="Arial" w:hAnsi="Arial"/>
                <w:sz w:val="20"/>
                <w:szCs w:val="20"/>
                <w:b w:val="1"/>
                <w:bCs w:val="1"/>
                <w:color w:val="auto"/>
              </w:rPr>
              <w:t>2022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0"/>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Change in Projected Benefit Obligations:</w:t>
            </w: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Projected benefit obligation at beginning of year . . . . .</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4,668</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4,940</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10,618</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11,140</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rPr>
              <w:t>Service cost  . . . . . . . . . . . . . . . . . . . . . . . . . . . . . . . . . .</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37</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44</w:t>
            </w:r>
          </w:p>
        </w:tc>
        <w:tc>
          <w:tcPr>
            <w:tcW w:w="180" w:type="dxa"/>
            <w:vAlign w:val="bottom"/>
            <w:shd w:val="clear" w:color="auto" w:fill="CCCCCC"/>
          </w:tcPr>
          <w:p>
            <w:pPr>
              <w:spacing w:after="0"/>
              <w:rPr>
                <w:sz w:val="24"/>
                <w:szCs w:val="24"/>
                <w:color w:val="auto"/>
              </w:rPr>
            </w:pP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101</w:t>
            </w: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Interest cost  . . . . . . . . . . . . . . . . . . . . . . . . . . . . . . . . . .</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137</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127</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298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267</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rPr>
              <w:t>Contribution by plan participants . . . . . . . . . . . . . . . . . .</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ind w:left="460"/>
              <w:spacing w:after="0"/>
              <w:rPr>
                <w:sz w:val="20"/>
                <w:szCs w:val="20"/>
                <w:color w:val="auto"/>
              </w:rPr>
            </w:pPr>
            <w:r>
              <w:rPr>
                <w:rFonts w:ascii="Arial" w:cs="Arial" w:eastAsia="Arial" w:hAnsi="Arial"/>
                <w:sz w:val="20"/>
                <w:szCs w:val="20"/>
                <w:b w:val="1"/>
                <w:bCs w:val="1"/>
                <w:color w:val="auto"/>
              </w:rPr>
              <w:t>—</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ind w:left="4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CCCC"/>
          </w:tcPr>
          <w:p>
            <w:pPr>
              <w:spacing w:after="0"/>
              <w:rPr>
                <w:sz w:val="24"/>
                <w:szCs w:val="24"/>
                <w:color w:val="auto"/>
              </w:rPr>
            </w:pP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47</w:t>
            </w: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Actuarial gains  . . . . . . . . . . . . . . . . . . . . . . . . . . . . . . . .</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(1,152)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(3,140)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(586)</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rPr>
              <w:t>Currency effect . . . . . . . . . . . . . . . . . . . . . . . . . . . . . . . .</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ind w:left="460"/>
              <w:spacing w:after="0"/>
              <w:rPr>
                <w:sz w:val="20"/>
                <w:szCs w:val="20"/>
                <w:color w:val="auto"/>
              </w:rPr>
            </w:pPr>
            <w:r>
              <w:rPr>
                <w:rFonts w:ascii="Arial" w:cs="Arial" w:eastAsia="Arial" w:hAnsi="Arial"/>
                <w:sz w:val="20"/>
                <w:szCs w:val="20"/>
                <w:b w:val="1"/>
                <w:bCs w:val="1"/>
                <w:color w:val="auto"/>
              </w:rPr>
              <w:t>—</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ind w:left="4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(148)</w:t>
            </w:r>
          </w:p>
        </w:tc>
        <w:tc>
          <w:tcPr>
            <w:tcW w:w="16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Benefits paid . . . . . . . . . . . . . . . . . . . . . . . . . . . . . . . . . .</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(375)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(363)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(355)</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w w:val="99"/>
              </w:rPr>
              <w:t>Other . . . . . . . . . . . . . . . . . . . . . . . . . . . . . . . . . . . . . . . .</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ind w:left="460"/>
              <w:spacing w:after="0"/>
              <w:rPr>
                <w:sz w:val="20"/>
                <w:szCs w:val="20"/>
                <w:color w:val="auto"/>
              </w:rPr>
            </w:pPr>
            <w:r>
              <w:rPr>
                <w:rFonts w:ascii="Arial" w:cs="Arial" w:eastAsia="Arial" w:hAnsi="Arial"/>
                <w:sz w:val="20"/>
                <w:szCs w:val="20"/>
                <w:b w:val="1"/>
                <w:bCs w:val="1"/>
                <w:color w:val="auto"/>
              </w:rPr>
              <w:t>—</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ind w:left="4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CCCC"/>
          </w:tcPr>
          <w:p>
            <w:pPr>
              <w:spacing w:after="0"/>
              <w:rPr>
                <w:sz w:val="24"/>
                <w:szCs w:val="24"/>
                <w:color w:val="auto"/>
              </w:rPr>
            </w:pP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185</w:t>
            </w: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0"/>
        </w:trPr>
        <w:tc>
          <w:tcPr>
            <w:tcW w:w="49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4960" w:type="dxa"/>
            <w:vAlign w:val="bottom"/>
          </w:tcPr>
          <w:p>
            <w:pPr>
              <w:spacing w:after="0"/>
              <w:rPr>
                <w:sz w:val="20"/>
                <w:szCs w:val="20"/>
                <w:color w:val="auto"/>
              </w:rPr>
            </w:pPr>
            <w:r>
              <w:rPr>
                <w:rFonts w:ascii="Arial" w:cs="Arial" w:eastAsia="Arial" w:hAnsi="Arial"/>
                <w:sz w:val="20"/>
                <w:szCs w:val="20"/>
                <w:color w:val="auto"/>
              </w:rPr>
              <w:t>Projected benefit obligation at end of year . . . . . . . . . .</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3,315</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4,668</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7,598</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10,618</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Change in Plan Assets:</w:t>
            </w: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Plan assets at fair value at beginning of year . . . . . . . .</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4,696</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4,776</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11,221</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10,493</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rPr>
              <w:t>Actual return on plan assets  . . . . . . . . . . . . . . . . . . . . .</w:t>
            </w:r>
          </w:p>
        </w:tc>
        <w:tc>
          <w:tcPr>
            <w:tcW w:w="16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(933)</w:t>
            </w:r>
          </w:p>
        </w:tc>
        <w:tc>
          <w:tcPr>
            <w:tcW w:w="16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145</w:t>
            </w: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(2,834)</w:t>
            </w:r>
          </w:p>
        </w:tc>
        <w:tc>
          <w:tcPr>
            <w:tcW w:w="16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1,040</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Currency effect . . . . . . . . . . . . . . . . . . . . . . . . . . . . . . . .</w:t>
            </w:r>
          </w:p>
        </w:tc>
        <w:tc>
          <w:tcPr>
            <w:tcW w:w="16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(188)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rPr>
              <w:t>Company contributions  . . . . . . . . . . . . . . . . . . . . . . . . .</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8</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7</w:t>
            </w:r>
          </w:p>
        </w:tc>
        <w:tc>
          <w:tcPr>
            <w:tcW w:w="180" w:type="dxa"/>
            <w:vAlign w:val="bottom"/>
            <w:shd w:val="clear" w:color="auto" w:fill="CCCCCC"/>
          </w:tcPr>
          <w:p>
            <w:pPr>
              <w:spacing w:after="0"/>
              <w:rPr>
                <w:sz w:val="24"/>
                <w:szCs w:val="24"/>
                <w:color w:val="auto"/>
              </w:rPr>
            </w:pP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18</w:t>
            </w: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Contributions by plan participants . . . . . . . . . . . . . . . . .</w:t>
            </w:r>
          </w:p>
        </w:tc>
        <w:tc>
          <w:tcPr>
            <w:tcW w:w="16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47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rPr>
              <w:t>Benefits paid . . . . . . . . . . . . . . . . . . . . . . . . . . . . . . . . . .</w:t>
            </w:r>
          </w:p>
        </w:tc>
        <w:tc>
          <w:tcPr>
            <w:tcW w:w="16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(375)</w:t>
            </w:r>
          </w:p>
        </w:tc>
        <w:tc>
          <w:tcPr>
            <w:tcW w:w="16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(232)</w:t>
            </w:r>
          </w:p>
        </w:tc>
        <w:tc>
          <w:tcPr>
            <w:tcW w:w="16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(363)</w:t>
            </w:r>
          </w:p>
        </w:tc>
        <w:tc>
          <w:tcPr>
            <w:tcW w:w="160" w:type="dxa"/>
            <w:vAlign w:val="bottom"/>
            <w:shd w:val="clear" w:color="auto" w:fill="CCCCCC"/>
          </w:tcPr>
          <w:p>
            <w:pPr>
              <w:spacing w:after="0"/>
              <w:rPr>
                <w:sz w:val="24"/>
                <w:szCs w:val="24"/>
                <w:color w:val="auto"/>
              </w:rPr>
            </w:pP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(355)</w:t>
            </w:r>
          </w:p>
        </w:tc>
        <w:tc>
          <w:tcPr>
            <w:tcW w:w="0" w:type="dxa"/>
            <w:vAlign w:val="bottom"/>
          </w:tcPr>
          <w:p>
            <w:pPr>
              <w:spacing w:after="0"/>
              <w:rPr>
                <w:sz w:val="1"/>
                <w:szCs w:val="1"/>
                <w:color w:val="auto"/>
              </w:rPr>
            </w:pPr>
          </w:p>
        </w:tc>
      </w:tr>
      <w:tr>
        <w:trPr>
          <w:trHeight w:val="282"/>
        </w:trPr>
        <w:tc>
          <w:tcPr>
            <w:tcW w:w="4960" w:type="dxa"/>
            <w:vAlign w:val="bottom"/>
          </w:tcPr>
          <w:p>
            <w:pPr>
              <w:spacing w:after="0"/>
              <w:rPr>
                <w:sz w:val="20"/>
                <w:szCs w:val="20"/>
                <w:color w:val="auto"/>
              </w:rPr>
            </w:pPr>
            <w:r>
              <w:rPr>
                <w:rFonts w:ascii="Arial" w:cs="Arial" w:eastAsia="Arial" w:hAnsi="Arial"/>
                <w:sz w:val="20"/>
                <w:szCs w:val="20"/>
                <w:color w:val="auto"/>
                <w:w w:val="99"/>
              </w:rPr>
              <w:t>Other . . . . . . . . . . . . . . . . . . . . . . . . . . . . . . . . . . . . . . . .</w:t>
            </w:r>
          </w:p>
        </w:tc>
        <w:tc>
          <w:tcPr>
            <w:tcW w:w="16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225</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highlight w:val="lightGray"/>
              </w:rPr>
              <w:t>Plan assets at fair value at end of year . . . . . . . . . . . . .</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w w:val="71"/>
              </w:rPr>
              <w:t>$</w:t>
            </w: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highlight w:val="lightGray"/>
              </w:rPr>
              <w:t>3,396</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w w:val="71"/>
              </w:rPr>
              <w:t>$</w:t>
            </w: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highlight w:val="lightGray"/>
              </w:rPr>
              <w:t>4,696</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w w:val="71"/>
              </w:rPr>
              <w:t>$</w:t>
            </w: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highlight w:val="lightGray"/>
              </w:rPr>
              <w:t>8,126</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w w:val="71"/>
              </w:rPr>
              <w:t>$</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11,221</w:t>
            </w:r>
          </w:p>
        </w:tc>
        <w:tc>
          <w:tcPr>
            <w:tcW w:w="0" w:type="dxa"/>
            <w:vAlign w:val="bottom"/>
          </w:tcPr>
          <w:p>
            <w:pPr>
              <w:spacing w:after="0"/>
              <w:rPr>
                <w:sz w:val="1"/>
                <w:szCs w:val="1"/>
                <w:color w:val="auto"/>
              </w:rPr>
            </w:pPr>
          </w:p>
        </w:tc>
      </w:tr>
      <w:tr>
        <w:trPr>
          <w:trHeight w:val="70"/>
        </w:trPr>
        <w:tc>
          <w:tcPr>
            <w:tcW w:w="496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w w:val="98"/>
              </w:rPr>
              <w:t xml:space="preserve">Asset </w:t>
            </w:r>
            <w:r>
              <w:rPr>
                <w:rFonts w:ascii="Arial" w:cs="Arial" w:eastAsia="Arial" w:hAnsi="Arial"/>
                <w:sz w:val="20"/>
                <w:szCs w:val="20"/>
                <w:color w:val="auto"/>
                <w:w w:val="98"/>
              </w:rPr>
              <w:t>. . . . . . . . . . . . . . . . . . . . . . . . . . . . . . . . . . . . . . . .</w:t>
            </w: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4960" w:type="dxa"/>
            <w:vAlign w:val="bottom"/>
            <w:vMerge w:val="continue"/>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81</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28</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528</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603</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Amounts Recognized in Balance Sheet:</w:t>
            </w: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i w:val="1"/>
                <w:iCs w:val="1"/>
                <w:color w:val="auto"/>
              </w:rPr>
              <w:t xml:space="preserve">Postretirement Benefits </w:t>
            </w:r>
            <w:r>
              <w:rPr>
                <w:rFonts w:ascii="Arial" w:cs="Arial" w:eastAsia="Arial" w:hAnsi="Arial"/>
                <w:sz w:val="20"/>
                <w:szCs w:val="20"/>
                <w:color w:val="auto"/>
              </w:rPr>
              <w:t>. . . . . . . . . . . . . . . . . . . . . . . . .</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(151)</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(212)</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(14)</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0"/>
        </w:trPr>
        <w:tc>
          <w:tcPr>
            <w:tcW w:w="4960" w:type="dxa"/>
            <w:vAlign w:val="bottom"/>
            <w:shd w:val="clear" w:color="auto" w:fill="CCCCCC"/>
          </w:tcPr>
          <w:p>
            <w:pPr>
              <w:spacing w:after="0"/>
              <w:rPr>
                <w:sz w:val="20"/>
                <w:szCs w:val="20"/>
                <w:color w:val="auto"/>
              </w:rPr>
            </w:pPr>
            <w:r>
              <w:rPr>
                <w:rFonts w:ascii="Arial" w:cs="Arial" w:eastAsia="Arial" w:hAnsi="Arial"/>
                <w:sz w:val="20"/>
                <w:szCs w:val="20"/>
                <w:i w:val="1"/>
                <w:iCs w:val="1"/>
                <w:color w:val="auto"/>
              </w:rPr>
              <w:t xml:space="preserve">Other Assets </w:t>
            </w:r>
            <w:r>
              <w:rPr>
                <w:rFonts w:ascii="Arial" w:cs="Arial" w:eastAsia="Arial" w:hAnsi="Arial"/>
                <w:sz w:val="20"/>
                <w:szCs w:val="20"/>
                <w:color w:val="auto"/>
              </w:rPr>
              <w:t>. . . . . . . . . . . . . . . . . . . . . . . . . . . . . . . . . .</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232</w:t>
            </w:r>
          </w:p>
        </w:tc>
        <w:tc>
          <w:tcPr>
            <w:tcW w:w="16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rPr>
              <w:t>240</w:t>
            </w:r>
          </w:p>
        </w:tc>
        <w:tc>
          <w:tcPr>
            <w:tcW w:w="180" w:type="dxa"/>
            <w:vAlign w:val="bottom"/>
            <w:shd w:val="clear" w:color="auto" w:fill="CCCCCC"/>
          </w:tcPr>
          <w:p>
            <w:pPr>
              <w:spacing w:after="0"/>
              <w:rPr>
                <w:sz w:val="24"/>
                <w:szCs w:val="24"/>
                <w:color w:val="auto"/>
              </w:rPr>
            </w:pP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rPr>
              <w:t>542</w:t>
            </w:r>
          </w:p>
        </w:tc>
        <w:tc>
          <w:tcPr>
            <w:tcW w:w="180" w:type="dxa"/>
            <w:vAlign w:val="bottom"/>
            <w:shd w:val="clear" w:color="auto" w:fill="CCCCCC"/>
          </w:tcPr>
          <w:p>
            <w:pPr>
              <w:spacing w:after="0"/>
              <w:rPr>
                <w:sz w:val="24"/>
                <w:szCs w:val="24"/>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622</w:t>
            </w:r>
          </w:p>
        </w:tc>
        <w:tc>
          <w:tcPr>
            <w:tcW w:w="0" w:type="dxa"/>
            <w:vAlign w:val="bottom"/>
          </w:tcPr>
          <w:p>
            <w:pPr>
              <w:spacing w:after="0"/>
              <w:rPr>
                <w:sz w:val="1"/>
                <w:szCs w:val="1"/>
                <w:color w:val="auto"/>
              </w:rPr>
            </w:pPr>
          </w:p>
        </w:tc>
      </w:tr>
      <w:tr>
        <w:trPr>
          <w:trHeight w:val="70"/>
        </w:trPr>
        <w:tc>
          <w:tcPr>
            <w:tcW w:w="49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4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81</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28</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528</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603</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96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Amounts Recognized in Accumulated Other</w:t>
            </w: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76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160" w:type="dxa"/>
            <w:vAlign w:val="bottom"/>
            <w:shd w:val="clear" w:color="auto" w:fill="CCCCCC"/>
          </w:tcPr>
          <w:p>
            <w:pPr>
              <w:spacing w:after="0"/>
              <w:rPr>
                <w:sz w:val="23"/>
                <w:szCs w:val="23"/>
                <w:color w:val="auto"/>
              </w:rPr>
            </w:pPr>
          </w:p>
        </w:tc>
        <w:tc>
          <w:tcPr>
            <w:tcW w:w="180" w:type="dxa"/>
            <w:vAlign w:val="bottom"/>
            <w:shd w:val="clear" w:color="auto" w:fill="CCCCCC"/>
          </w:tcPr>
          <w:p>
            <w:pPr>
              <w:spacing w:after="0"/>
              <w:rPr>
                <w:sz w:val="23"/>
                <w:szCs w:val="23"/>
                <w:color w:val="auto"/>
              </w:rPr>
            </w:pPr>
          </w:p>
        </w:tc>
        <w:tc>
          <w:tcPr>
            <w:tcW w:w="74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960" w:type="dxa"/>
            <w:vAlign w:val="bottom"/>
            <w:shd w:val="clear" w:color="auto" w:fill="CCCCCC"/>
          </w:tcPr>
          <w:p>
            <w:pPr>
              <w:ind w:left="160"/>
              <w:spacing w:after="0"/>
              <w:rPr>
                <w:sz w:val="20"/>
                <w:szCs w:val="20"/>
                <w:color w:val="auto"/>
              </w:rPr>
            </w:pPr>
            <w:r>
              <w:rPr>
                <w:rFonts w:ascii="Arial" w:cs="Arial" w:eastAsia="Arial" w:hAnsi="Arial"/>
                <w:sz w:val="20"/>
                <w:szCs w:val="20"/>
                <w:b w:val="1"/>
                <w:bCs w:val="1"/>
                <w:i w:val="1"/>
                <w:iCs w:val="1"/>
                <w:color w:val="auto"/>
              </w:rPr>
              <w:t>Comprehensive Loss:</w:t>
            </w:r>
          </w:p>
        </w:tc>
        <w:tc>
          <w:tcPr>
            <w:tcW w:w="160" w:type="dxa"/>
            <w:vAlign w:val="bottom"/>
            <w:shd w:val="clear" w:color="auto" w:fill="CCCCCC"/>
          </w:tcPr>
          <w:p>
            <w:pPr>
              <w:spacing w:after="0"/>
              <w:rPr>
                <w:sz w:val="20"/>
                <w:szCs w:val="20"/>
                <w:color w:val="auto"/>
              </w:rPr>
            </w:pPr>
          </w:p>
        </w:tc>
        <w:tc>
          <w:tcPr>
            <w:tcW w:w="760" w:type="dxa"/>
            <w:vAlign w:val="bottom"/>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760" w:type="dxa"/>
            <w:vAlign w:val="bottom"/>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180" w:type="dxa"/>
            <w:vAlign w:val="bottom"/>
            <w:shd w:val="clear" w:color="auto" w:fill="CCCCCC"/>
          </w:tcPr>
          <w:p>
            <w:pPr>
              <w:spacing w:after="0"/>
              <w:rPr>
                <w:sz w:val="20"/>
                <w:szCs w:val="20"/>
                <w:color w:val="auto"/>
              </w:rPr>
            </w:pPr>
          </w:p>
        </w:tc>
        <w:tc>
          <w:tcPr>
            <w:tcW w:w="740" w:type="dxa"/>
            <w:vAlign w:val="bottom"/>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180" w:type="dxa"/>
            <w:vAlign w:val="bottom"/>
            <w:shd w:val="clear" w:color="auto" w:fill="CCCCCC"/>
          </w:tcPr>
          <w:p>
            <w:pPr>
              <w:spacing w:after="0"/>
              <w:rPr>
                <w:sz w:val="20"/>
                <w:szCs w:val="20"/>
                <w:color w:val="auto"/>
              </w:rPr>
            </w:pPr>
          </w:p>
        </w:tc>
        <w:tc>
          <w:tcPr>
            <w:tcW w:w="74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960" w:type="dxa"/>
            <w:vAlign w:val="bottom"/>
          </w:tcPr>
          <w:p>
            <w:pPr>
              <w:spacing w:after="0"/>
              <w:rPr>
                <w:sz w:val="20"/>
                <w:szCs w:val="20"/>
                <w:color w:val="auto"/>
              </w:rPr>
            </w:pPr>
            <w:r>
              <w:rPr>
                <w:rFonts w:ascii="Arial" w:cs="Arial" w:eastAsia="Arial" w:hAnsi="Arial"/>
                <w:sz w:val="20"/>
                <w:szCs w:val="20"/>
                <w:color w:val="auto"/>
                <w:w w:val="99"/>
              </w:rPr>
              <w:t>Actuarial losses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255</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276</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1,366</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1,174</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CCCCCC"/>
          </w:tcPr>
          <w:p>
            <w:pPr>
              <w:spacing w:after="0"/>
              <w:rPr>
                <w:sz w:val="20"/>
                <w:szCs w:val="20"/>
                <w:color w:val="auto"/>
              </w:rPr>
            </w:pPr>
            <w:r>
              <w:rPr>
                <w:rFonts w:ascii="Arial" w:cs="Arial" w:eastAsia="Arial" w:hAnsi="Arial"/>
                <w:sz w:val="20"/>
                <w:szCs w:val="20"/>
                <w:color w:val="auto"/>
                <w:highlight w:val="lightGray"/>
              </w:rPr>
              <w:t>Accumulated benefit obligation . . . . . . . . . . . . . . . . . . .</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w w:val="71"/>
              </w:rPr>
              <w:t>$</w:t>
            </w: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highlight w:val="lightGray"/>
              </w:rPr>
              <w:t>3,221</w:t>
            </w:r>
          </w:p>
        </w:tc>
        <w:tc>
          <w:tcPr>
            <w:tcW w:w="16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w w:val="71"/>
              </w:rPr>
              <w:t>$</w:t>
            </w:r>
          </w:p>
        </w:tc>
        <w:tc>
          <w:tcPr>
            <w:tcW w:w="92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color w:val="auto"/>
                <w:highlight w:val="lightGray"/>
              </w:rPr>
              <w:t>4,484</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w w:val="71"/>
              </w:rPr>
              <w:t>$</w:t>
            </w: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20"/>
                <w:szCs w:val="20"/>
                <w:b w:val="1"/>
                <w:bCs w:val="1"/>
                <w:color w:val="auto"/>
                <w:highlight w:val="lightGray"/>
              </w:rPr>
              <w:t>7,454</w:t>
            </w:r>
          </w:p>
        </w:tc>
        <w:tc>
          <w:tcPr>
            <w:tcW w:w="18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w w:val="71"/>
              </w:rPr>
              <w:t>$</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10,370</w:t>
            </w:r>
          </w:p>
        </w:tc>
        <w:tc>
          <w:tcPr>
            <w:tcW w:w="0" w:type="dxa"/>
            <w:vAlign w:val="bottom"/>
          </w:tcPr>
          <w:p>
            <w:pPr>
              <w:spacing w:after="0"/>
              <w:rPr>
                <w:sz w:val="1"/>
                <w:szCs w:val="1"/>
                <w:color w:val="auto"/>
              </w:rPr>
            </w:pPr>
          </w:p>
        </w:tc>
      </w:tr>
      <w:tr>
        <w:trPr>
          <w:trHeight w:val="70"/>
        </w:trPr>
        <w:tc>
          <w:tcPr>
            <w:tcW w:w="49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asset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247"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20"/>
          <w:szCs w:val="20"/>
          <w:color w:val="auto"/>
        </w:rPr>
        <w:t>Actuarial gains arising during each of 2022 and 2021 were primarily attributable to increases in the discount rate used to determine the PBO.</w:t>
      </w:r>
    </w:p>
    <w:p>
      <w:pPr>
        <w:sectPr>
          <w:pgSz w:w="12240" w:h="15840" w:orient="portrait"/>
          <w:cols w:equalWidth="0" w:num="1">
            <w:col w:w="9360"/>
          </w:cols>
          <w:pgMar w:left="1440" w:top="1440" w:right="1440" w:bottom="836"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2240" w:h="15840" w:orient="portrait"/>
          <w:cols w:equalWidth="0" w:num="1">
            <w:col w:w="9360"/>
          </w:cols>
          <w:pgMar w:left="1440" w:top="1440" w:right="1440" w:bottom="836" w:gutter="0" w:footer="0" w:header="0"/>
          <w:type w:val="continuous"/>
        </w:sectPr>
      </w:pPr>
    </w:p>
    <w:bookmarkStart w:id="92" w:name="page93"/>
    <w:bookmarkEnd w:id="92"/>
    <w:p>
      <w:pPr>
        <w:spacing w:after="0" w:line="56" w:lineRule="exact"/>
        <w:rPr>
          <w:sz w:val="20"/>
          <w:szCs w:val="20"/>
          <w:color w:val="auto"/>
        </w:rPr>
      </w:pPr>
    </w:p>
    <w:p>
      <w:pPr>
        <w:jc w:val="both"/>
        <w:ind w:left="120" w:right="180"/>
        <w:spacing w:after="0" w:line="245" w:lineRule="auto"/>
        <w:rPr>
          <w:sz w:val="20"/>
          <w:szCs w:val="20"/>
          <w:color w:val="auto"/>
        </w:rPr>
      </w:pPr>
      <w:r>
        <w:rPr>
          <w:rFonts w:ascii="Arial" w:cs="Arial" w:eastAsia="Arial" w:hAnsi="Arial"/>
          <w:sz w:val="20"/>
          <w:szCs w:val="20"/>
          <w:color w:val="auto"/>
        </w:rPr>
        <w:t>The weighted-average allocation of plan assets as of December 31, 2022 and 2021 and the target allocations by asset category as of December 31, 2022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20"/>
                <w:szCs w:val="20"/>
                <w:color w:val="auto"/>
              </w:rPr>
              <w:t>US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20"/>
                <w:szCs w:val="20"/>
                <w:color w:val="auto"/>
                <w:w w:val="99"/>
              </w:rPr>
              <w:t>International</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8"/>
        </w:trPr>
        <w:tc>
          <w:tcPr>
            <w:tcW w:w="372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52"/>
        </w:trPr>
        <w:tc>
          <w:tcPr>
            <w:tcW w:w="3720" w:type="dxa"/>
            <w:vAlign w:val="bottom"/>
          </w:tcPr>
          <w:p>
            <w:pPr>
              <w:spacing w:after="0"/>
              <w:rPr>
                <w:sz w:val="21"/>
                <w:szCs w:val="21"/>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20"/>
                <w:szCs w:val="20"/>
                <w:color w:val="auto"/>
              </w:rPr>
              <w:t>Target</w:t>
            </w:r>
          </w:p>
        </w:tc>
        <w:tc>
          <w:tcPr>
            <w:tcW w:w="720" w:type="dxa"/>
            <w:vAlign w:val="bottom"/>
          </w:tcPr>
          <w:p>
            <w:pPr>
              <w:jc w:val="right"/>
              <w:ind w:right="4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1"/>
                <w:szCs w:val="21"/>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20"/>
                <w:szCs w:val="20"/>
                <w:color w:val="auto"/>
              </w:rPr>
              <w:t>Target</w:t>
            </w:r>
          </w:p>
        </w:tc>
        <w:tc>
          <w:tcPr>
            <w:tcW w:w="720" w:type="dxa"/>
            <w:vAlign w:val="bottom"/>
          </w:tcPr>
          <w:p>
            <w:pPr>
              <w:jc w:val="right"/>
              <w:ind w:right="4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20"/>
                <w:szCs w:val="20"/>
                <w:color w:val="auto"/>
              </w:rPr>
              <w:t>2021</w:t>
            </w:r>
          </w:p>
        </w:tc>
        <w:tc>
          <w:tcPr>
            <w:tcW w:w="180" w:type="dxa"/>
            <w:vAlign w:val="bottom"/>
          </w:tcPr>
          <w:p>
            <w:pPr>
              <w:spacing w:after="0"/>
              <w:rPr>
                <w:sz w:val="21"/>
                <w:szCs w:val="21"/>
                <w:color w:val="auto"/>
              </w:rPr>
            </w:pPr>
          </w:p>
        </w:tc>
      </w:tr>
      <w:tr>
        <w:trPr>
          <w:trHeight w:val="28"/>
        </w:trPr>
        <w:tc>
          <w:tcPr>
            <w:tcW w:w="3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20"/>
                <w:szCs w:val="20"/>
                <w:color w:val="auto"/>
              </w:rPr>
              <w:t>Cash and cash equivalents . . . . . . . . . .</w:t>
            </w:r>
          </w:p>
        </w:tc>
        <w:tc>
          <w:tcPr>
            <w:tcW w:w="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0</w:t>
            </w:r>
          </w:p>
        </w:tc>
        <w:tc>
          <w:tcPr>
            <w:tcW w:w="460" w:type="dxa"/>
            <w:vAlign w:val="bottom"/>
            <w:gridSpan w:val="2"/>
          </w:tcPr>
          <w:p>
            <w:pPr>
              <w:jc w:val="right"/>
              <w:ind w:right="20"/>
              <w:spacing w:after="0"/>
              <w:rPr>
                <w:sz w:val="20"/>
                <w:szCs w:val="20"/>
                <w:color w:val="auto"/>
              </w:rPr>
            </w:pPr>
            <w:r>
              <w:rPr>
                <w:rFonts w:ascii="Arial" w:cs="Arial" w:eastAsia="Arial" w:hAnsi="Arial"/>
                <w:sz w:val="20"/>
                <w:szCs w:val="20"/>
                <w:color w:val="auto"/>
              </w:rPr>
              <w:t>- 3%</w:t>
            </w:r>
          </w:p>
        </w:tc>
        <w:tc>
          <w:tcPr>
            <w:tcW w:w="9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2%</w:t>
            </w: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20"/>
                <w:szCs w:val="20"/>
                <w:color w:val="auto"/>
                <w:w w:val="96"/>
              </w:rPr>
              <w:t>0 - 5%</w:t>
            </w:r>
          </w:p>
        </w:tc>
        <w:tc>
          <w:tcPr>
            <w:tcW w:w="9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2%</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0"/>
        </w:trPr>
        <w:tc>
          <w:tcPr>
            <w:tcW w:w="3720" w:type="dxa"/>
            <w:vAlign w:val="bottom"/>
          </w:tcPr>
          <w:p>
            <w:pPr>
              <w:spacing w:after="0"/>
              <w:rPr>
                <w:sz w:val="20"/>
                <w:szCs w:val="20"/>
                <w:color w:val="auto"/>
              </w:rPr>
            </w:pPr>
            <w:r>
              <w:rPr>
                <w:rFonts w:ascii="Arial" w:cs="Arial" w:eastAsia="Arial" w:hAnsi="Arial"/>
                <w:sz w:val="20"/>
                <w:szCs w:val="20"/>
                <w:color w:val="auto"/>
              </w:rPr>
              <w:t>Equity securities . . . . . . . . . . . . . . . . . . .</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0</w:t>
            </w:r>
          </w:p>
        </w:tc>
        <w:tc>
          <w:tcPr>
            <w:tcW w:w="460" w:type="dxa"/>
            <w:vAlign w:val="bottom"/>
            <w:gridSpan w:val="2"/>
          </w:tcPr>
          <w:p>
            <w:pPr>
              <w:jc w:val="right"/>
              <w:ind w:right="200"/>
              <w:spacing w:after="0"/>
              <w:rPr>
                <w:sz w:val="20"/>
                <w:szCs w:val="20"/>
                <w:color w:val="auto"/>
              </w:rPr>
            </w:pPr>
            <w:r>
              <w:rPr>
                <w:rFonts w:ascii="Arial" w:cs="Arial" w:eastAsia="Arial" w:hAnsi="Arial"/>
                <w:sz w:val="20"/>
                <w:szCs w:val="20"/>
                <w:color w:val="auto"/>
              </w:rPr>
              <w:t>- 5</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auto"/>
              </w:rPr>
              <w:t>5</w:t>
            </w:r>
          </w:p>
        </w:tc>
        <w:tc>
          <w:tcPr>
            <w:tcW w:w="340" w:type="dxa"/>
            <w:vAlign w:val="bottom"/>
          </w:tcPr>
          <w:p>
            <w:pPr>
              <w:jc w:val="right"/>
              <w:spacing w:after="0"/>
              <w:rPr>
                <w:sz w:val="20"/>
                <w:szCs w:val="20"/>
                <w:color w:val="auto"/>
              </w:rPr>
            </w:pPr>
            <w:r>
              <w:rPr>
                <w:rFonts w:ascii="Arial" w:cs="Arial" w:eastAsia="Arial" w:hAnsi="Arial"/>
                <w:sz w:val="20"/>
                <w:szCs w:val="20"/>
                <w:color w:val="auto"/>
              </w:rPr>
              <w:t>10</w:t>
            </w:r>
          </w:p>
        </w:tc>
        <w:tc>
          <w:tcPr>
            <w:tcW w:w="600" w:type="dxa"/>
            <w:vAlign w:val="bottom"/>
            <w:gridSpan w:val="2"/>
          </w:tcPr>
          <w:p>
            <w:pPr>
              <w:jc w:val="right"/>
              <w:ind w:right="100"/>
              <w:spacing w:after="0"/>
              <w:rPr>
                <w:sz w:val="20"/>
                <w:szCs w:val="20"/>
                <w:color w:val="auto"/>
              </w:rPr>
            </w:pPr>
            <w:r>
              <w:rPr>
                <w:rFonts w:ascii="Arial" w:cs="Arial" w:eastAsia="Arial" w:hAnsi="Arial"/>
                <w:sz w:val="20"/>
                <w:szCs w:val="20"/>
                <w:color w:val="auto"/>
              </w:rPr>
              <w:t>- 20</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10</w:t>
            </w: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23</w:t>
            </w:r>
          </w:p>
        </w:tc>
      </w:tr>
      <w:tr>
        <w:trPr>
          <w:trHeight w:val="280"/>
        </w:trPr>
        <w:tc>
          <w:tcPr>
            <w:tcW w:w="3720" w:type="dxa"/>
            <w:vAlign w:val="bottom"/>
            <w:shd w:val="clear" w:color="auto" w:fill="CCCCCC"/>
          </w:tcPr>
          <w:p>
            <w:pPr>
              <w:spacing w:after="0"/>
              <w:rPr>
                <w:sz w:val="20"/>
                <w:szCs w:val="20"/>
                <w:color w:val="auto"/>
              </w:rPr>
            </w:pPr>
            <w:r>
              <w:rPr>
                <w:rFonts w:ascii="Arial" w:cs="Arial" w:eastAsia="Arial" w:hAnsi="Arial"/>
                <w:sz w:val="20"/>
                <w:szCs w:val="20"/>
                <w:color w:val="auto"/>
              </w:rPr>
              <w:t>Debt securities . . . . . . . . . . . . . . . . . . . .</w:t>
            </w:r>
          </w:p>
        </w:tc>
        <w:tc>
          <w:tcPr>
            <w:tcW w:w="3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80</w:t>
            </w:r>
          </w:p>
        </w:tc>
        <w:tc>
          <w:tcPr>
            <w:tcW w:w="600" w:type="dxa"/>
            <w:vAlign w:val="bottom"/>
            <w:gridSpan w:val="3"/>
            <w:shd w:val="clear" w:color="auto" w:fill="CCCCCC"/>
          </w:tcPr>
          <w:p>
            <w:pPr>
              <w:jc w:val="right"/>
              <w:ind w:right="200"/>
              <w:spacing w:after="0"/>
              <w:rPr>
                <w:sz w:val="20"/>
                <w:szCs w:val="20"/>
                <w:color w:val="auto"/>
              </w:rPr>
            </w:pPr>
            <w:r>
              <w:rPr>
                <w:rFonts w:ascii="Arial" w:cs="Arial" w:eastAsia="Arial" w:hAnsi="Arial"/>
                <w:sz w:val="20"/>
                <w:szCs w:val="20"/>
                <w:color w:val="auto"/>
              </w:rPr>
              <w:t>- 90</w:t>
            </w:r>
          </w:p>
        </w:tc>
        <w:tc>
          <w:tcPr>
            <w:tcW w:w="9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83</w:t>
            </w:r>
          </w:p>
        </w:tc>
        <w:tc>
          <w:tcPr>
            <w:tcW w:w="9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84</w:t>
            </w:r>
          </w:p>
        </w:tc>
        <w:tc>
          <w:tcPr>
            <w:tcW w:w="3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50</w:t>
            </w: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- 60</w:t>
            </w:r>
          </w:p>
        </w:tc>
        <w:tc>
          <w:tcPr>
            <w:tcW w:w="9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56</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53</w:t>
            </w:r>
          </w:p>
        </w:tc>
        <w:tc>
          <w:tcPr>
            <w:tcW w:w="180" w:type="dxa"/>
            <w:vAlign w:val="bottom"/>
          </w:tcPr>
          <w:p>
            <w:pPr>
              <w:spacing w:after="0"/>
              <w:rPr>
                <w:sz w:val="24"/>
                <w:szCs w:val="24"/>
                <w:color w:val="auto"/>
              </w:rPr>
            </w:pPr>
          </w:p>
        </w:tc>
      </w:tr>
      <w:tr>
        <w:trPr>
          <w:trHeight w:val="280"/>
        </w:trPr>
        <w:tc>
          <w:tcPr>
            <w:tcW w:w="3720" w:type="dxa"/>
            <w:vAlign w:val="bottom"/>
          </w:tcPr>
          <w:p>
            <w:pPr>
              <w:spacing w:after="0"/>
              <w:rPr>
                <w:sz w:val="20"/>
                <w:szCs w:val="20"/>
                <w:color w:val="auto"/>
              </w:rPr>
            </w:pPr>
            <w:r>
              <w:rPr>
                <w:rFonts w:ascii="Arial" w:cs="Arial" w:eastAsia="Arial" w:hAnsi="Arial"/>
                <w:sz w:val="20"/>
                <w:szCs w:val="20"/>
                <w:color w:val="auto"/>
              </w:rPr>
              <w:t>Private equity and real estate  . . . . . . . .</w:t>
            </w:r>
          </w:p>
        </w:tc>
        <w:tc>
          <w:tcPr>
            <w:tcW w:w="340" w:type="dxa"/>
            <w:vAlign w:val="bottom"/>
          </w:tcPr>
          <w:p>
            <w:pPr>
              <w:jc w:val="right"/>
              <w:spacing w:after="0"/>
              <w:rPr>
                <w:sz w:val="20"/>
                <w:szCs w:val="20"/>
                <w:color w:val="auto"/>
              </w:rPr>
            </w:pPr>
            <w:r>
              <w:rPr>
                <w:rFonts w:ascii="Arial" w:cs="Arial" w:eastAsia="Arial" w:hAnsi="Arial"/>
                <w:sz w:val="20"/>
                <w:szCs w:val="20"/>
                <w:color w:val="auto"/>
              </w:rPr>
              <w:t>5</w:t>
            </w:r>
          </w:p>
        </w:tc>
        <w:tc>
          <w:tcPr>
            <w:tcW w:w="600" w:type="dxa"/>
            <w:vAlign w:val="bottom"/>
            <w:gridSpan w:val="3"/>
          </w:tcPr>
          <w:p>
            <w:pPr>
              <w:jc w:val="right"/>
              <w:ind w:right="200"/>
              <w:spacing w:after="0"/>
              <w:rPr>
                <w:sz w:val="20"/>
                <w:szCs w:val="20"/>
                <w:color w:val="auto"/>
              </w:rPr>
            </w:pPr>
            <w:r>
              <w:rPr>
                <w:rFonts w:ascii="Arial" w:cs="Arial" w:eastAsia="Arial" w:hAnsi="Arial"/>
                <w:sz w:val="20"/>
                <w:szCs w:val="20"/>
                <w:color w:val="auto"/>
              </w:rPr>
              <w:t>- 12</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11</w:t>
            </w: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auto"/>
              </w:rPr>
              <w:t>8</w:t>
            </w:r>
          </w:p>
        </w:tc>
        <w:tc>
          <w:tcPr>
            <w:tcW w:w="340" w:type="dxa"/>
            <w:vAlign w:val="bottom"/>
          </w:tcPr>
          <w:p>
            <w:pPr>
              <w:jc w:val="right"/>
              <w:spacing w:after="0"/>
              <w:rPr>
                <w:sz w:val="20"/>
                <w:szCs w:val="20"/>
                <w:color w:val="auto"/>
              </w:rPr>
            </w:pPr>
            <w:r>
              <w:rPr>
                <w:rFonts w:ascii="Arial" w:cs="Arial" w:eastAsia="Arial" w:hAnsi="Arial"/>
                <w:sz w:val="20"/>
                <w:szCs w:val="20"/>
                <w:color w:val="auto"/>
              </w:rPr>
              <w:t>15</w:t>
            </w:r>
          </w:p>
        </w:tc>
        <w:tc>
          <w:tcPr>
            <w:tcW w:w="600" w:type="dxa"/>
            <w:vAlign w:val="bottom"/>
            <w:gridSpan w:val="2"/>
          </w:tcPr>
          <w:p>
            <w:pPr>
              <w:jc w:val="right"/>
              <w:ind w:right="100"/>
              <w:spacing w:after="0"/>
              <w:rPr>
                <w:sz w:val="20"/>
                <w:szCs w:val="20"/>
                <w:color w:val="auto"/>
              </w:rPr>
            </w:pPr>
            <w:r>
              <w:rPr>
                <w:rFonts w:ascii="Arial" w:cs="Arial" w:eastAsia="Arial" w:hAnsi="Arial"/>
                <w:sz w:val="20"/>
                <w:szCs w:val="20"/>
                <w:color w:val="auto"/>
              </w:rPr>
              <w:t>- 22</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19</w:t>
            </w: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13</w:t>
            </w:r>
          </w:p>
        </w:tc>
      </w:tr>
      <w:tr>
        <w:trPr>
          <w:trHeight w:val="280"/>
        </w:trPr>
        <w:tc>
          <w:tcPr>
            <w:tcW w:w="3720" w:type="dxa"/>
            <w:vAlign w:val="bottom"/>
            <w:shd w:val="clear" w:color="auto" w:fill="CCCCCC"/>
          </w:tcPr>
          <w:p>
            <w:pPr>
              <w:spacing w:after="0"/>
              <w:rPr>
                <w:sz w:val="20"/>
                <w:szCs w:val="20"/>
                <w:color w:val="auto"/>
              </w:rPr>
            </w:pPr>
            <w:r>
              <w:rPr>
                <w:rFonts w:ascii="Arial" w:cs="Arial" w:eastAsia="Arial" w:hAnsi="Arial"/>
                <w:sz w:val="20"/>
                <w:szCs w:val="20"/>
                <w:color w:val="auto"/>
              </w:rPr>
              <w:t>Private debt . . . . . . . . . . . . . . . . . . . . . . .</w:t>
            </w:r>
          </w:p>
        </w:tc>
        <w:tc>
          <w:tcPr>
            <w:tcW w:w="340" w:type="dxa"/>
            <w:vAlign w:val="bottom"/>
            <w:shd w:val="clear" w:color="auto" w:fill="CCCCCC"/>
          </w:tcPr>
          <w:p>
            <w:pPr>
              <w:spacing w:after="0"/>
              <w:rPr>
                <w:sz w:val="24"/>
                <w:szCs w:val="24"/>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2</w:t>
            </w:r>
          </w:p>
        </w:tc>
        <w:tc>
          <w:tcPr>
            <w:tcW w:w="4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- 8</w:t>
            </w:r>
          </w:p>
        </w:tc>
        <w:tc>
          <w:tcPr>
            <w:tcW w:w="9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4</w:t>
            </w:r>
          </w:p>
        </w:tc>
        <w:tc>
          <w:tcPr>
            <w:tcW w:w="9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1</w:t>
            </w:r>
          </w:p>
        </w:tc>
        <w:tc>
          <w:tcPr>
            <w:tcW w:w="3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w:t>
            </w: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- 15</w:t>
            </w:r>
          </w:p>
        </w:tc>
        <w:tc>
          <w:tcPr>
            <w:tcW w:w="9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13</w:t>
            </w:r>
          </w:p>
        </w:tc>
        <w:tc>
          <w:tcPr>
            <w:tcW w:w="7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w:t>
            </w:r>
          </w:p>
        </w:tc>
        <w:tc>
          <w:tcPr>
            <w:tcW w:w="180" w:type="dxa"/>
            <w:vAlign w:val="bottom"/>
          </w:tcPr>
          <w:p>
            <w:pPr>
              <w:spacing w:after="0"/>
              <w:rPr>
                <w:sz w:val="24"/>
                <w:szCs w:val="24"/>
                <w:color w:val="auto"/>
              </w:rPr>
            </w:pPr>
          </w:p>
        </w:tc>
      </w:tr>
      <w:tr>
        <w:trPr>
          <w:trHeight w:val="70"/>
        </w:trPr>
        <w:tc>
          <w:tcPr>
            <w:tcW w:w="37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r>
      <w:tr>
        <w:trPr>
          <w:trHeight w:val="272"/>
        </w:trPr>
        <w:tc>
          <w:tcPr>
            <w:tcW w:w="3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20"/>
                <w:szCs w:val="20"/>
                <w:color w:val="auto"/>
              </w:rPr>
              <w:t>100%</w:t>
            </w:r>
          </w:p>
        </w:tc>
        <w:tc>
          <w:tcPr>
            <w:tcW w:w="9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100%</w:t>
            </w: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auto"/>
              </w:rPr>
              <w:t>100%</w:t>
            </w:r>
          </w:p>
        </w:tc>
        <w:tc>
          <w:tcPr>
            <w:tcW w:w="3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100%</w:t>
            </w:r>
          </w:p>
        </w:tc>
        <w:tc>
          <w:tcPr>
            <w:tcW w:w="9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100%</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100%</w:t>
            </w:r>
          </w:p>
        </w:tc>
      </w:tr>
      <w:tr>
        <w:trPr>
          <w:trHeight w:val="28"/>
        </w:trPr>
        <w:tc>
          <w:tcPr>
            <w:tcW w:w="3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-1167765</wp:posOffset>
                </wp:positionV>
                <wp:extent cx="5791200" cy="1778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177800"/>
                        </a:xfrm>
                        <a:prstGeom prst="rect">
                          <a:avLst/>
                        </a:prstGeom>
                        <a:solidFill>
                          <a:srgbClr val="CCCCCC"/>
                        </a:solidFill>
                      </wps:spPr>
                      <wps:bodyPr/>
                    </wps:wsp>
                  </a:graphicData>
                </a:graphic>
              </wp:anchor>
            </w:drawing>
          </mc:Choice>
          <mc:Fallback>
            <w:pict>
              <v:rect id="Shape 88" o:spid="_x0000_s1113" style="position:absolute;margin-left:6pt;margin-top:-91.9499pt;width:456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276" w:lineRule="exact"/>
        <w:rPr>
          <w:sz w:val="20"/>
          <w:szCs w:val="20"/>
          <w:color w:val="auto"/>
        </w:rPr>
      </w:pPr>
    </w:p>
    <w:p>
      <w:pPr>
        <w:jc w:val="both"/>
        <w:ind w:left="120" w:right="180"/>
        <w:spacing w:after="0" w:line="248" w:lineRule="auto"/>
        <w:rPr>
          <w:sz w:val="20"/>
          <w:szCs w:val="20"/>
          <w:color w:val="auto"/>
        </w:rPr>
      </w:pPr>
      <w:r>
        <w:rPr>
          <w:rFonts w:ascii="Arial" w:cs="Arial" w:eastAsia="Arial" w:hAnsi="Arial"/>
          <w:sz w:val="20"/>
          <w:szCs w:val="20"/>
          <w:color w:val="auto"/>
        </w:rPr>
        <w:t>Asset performance is monitored frequently with an overall expectation that plan assets will meet or exceed the weighted index of its target asset allocation and component benchmark over rolling five-year periods.</w:t>
      </w:r>
    </w:p>
    <w:p>
      <w:pPr>
        <w:spacing w:after="0" w:line="247" w:lineRule="exact"/>
        <w:rPr>
          <w:sz w:val="20"/>
          <w:szCs w:val="20"/>
          <w:color w:val="auto"/>
        </w:rPr>
      </w:pPr>
    </w:p>
    <w:p>
      <w:pPr>
        <w:jc w:val="both"/>
        <w:ind w:left="120" w:right="180"/>
        <w:spacing w:after="0" w:line="248" w:lineRule="auto"/>
        <w:rPr>
          <w:sz w:val="20"/>
          <w:szCs w:val="20"/>
          <w:color w:val="auto"/>
        </w:rPr>
      </w:pPr>
      <w:r>
        <w:rPr>
          <w:rFonts w:ascii="Arial" w:cs="Arial" w:eastAsia="Arial" w:hAnsi="Arial"/>
          <w:sz w:val="20"/>
          <w:szCs w:val="20"/>
          <w:color w:val="auto"/>
        </w:rPr>
        <w:t>The expected rate of return on assets assumptions reflect the long-term average rate of return expected to be earned on plan assets.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249" w:lineRule="exact"/>
        <w:rPr>
          <w:sz w:val="20"/>
          <w:szCs w:val="20"/>
          <w:color w:val="auto"/>
        </w:rPr>
      </w:pPr>
    </w:p>
    <w:p>
      <w:pPr>
        <w:jc w:val="both"/>
        <w:ind w:left="120" w:right="180"/>
        <w:spacing w:after="0" w:line="245" w:lineRule="auto"/>
        <w:rPr>
          <w:sz w:val="20"/>
          <w:szCs w:val="20"/>
          <w:color w:val="auto"/>
        </w:rPr>
      </w:pPr>
      <w:r>
        <w:rPr>
          <w:rFonts w:ascii="Arial" w:cs="Arial" w:eastAsia="Arial" w:hAnsi="Arial"/>
          <w:sz w:val="20"/>
          <w:szCs w:val="20"/>
          <w:color w:val="auto"/>
        </w:rPr>
        <w:t>The fair value of SLB’s pension plan assets at December 31, 2022 and 2021, by asset category, is presented below and was determined based on valuation techniques categorized as follows:</w:t>
      </w:r>
    </w:p>
    <w:p>
      <w:pPr>
        <w:spacing w:after="0" w:line="126" w:lineRule="exact"/>
        <w:rPr>
          <w:sz w:val="20"/>
          <w:szCs w:val="20"/>
          <w:color w:val="auto"/>
        </w:rPr>
      </w:pPr>
    </w:p>
    <w:p>
      <w:pPr>
        <w:ind w:left="840" w:hanging="360"/>
        <w:spacing w:after="0"/>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Level One: The use of quoted prices in active markets for identical instruments.</w:t>
      </w:r>
    </w:p>
    <w:p>
      <w:pPr>
        <w:spacing w:after="0" w:line="134" w:lineRule="exact"/>
        <w:rPr>
          <w:rFonts w:ascii="Arial" w:cs="Arial" w:eastAsia="Arial" w:hAnsi="Arial"/>
          <w:sz w:val="20"/>
          <w:szCs w:val="20"/>
          <w:color w:val="auto"/>
        </w:rPr>
      </w:pPr>
    </w:p>
    <w:p>
      <w:pPr>
        <w:jc w:val="both"/>
        <w:ind w:left="840" w:right="180" w:hanging="360"/>
        <w:spacing w:after="0" w:line="248" w:lineRule="auto"/>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ectPr>
          <w:pgSz w:w="12240" w:h="15840" w:orient="portrait"/>
          <w:cols w:equalWidth="0" w:num="1">
            <w:col w:w="9420"/>
          </w:cols>
          <w:pgMar w:left="1440" w:top="1440" w:right="138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9420"/>
          </w:cols>
          <w:pgMar w:left="1440" w:top="1440" w:right="1380" w:bottom="836" w:gutter="0" w:footer="0" w:header="0"/>
          <w:type w:val="continuous"/>
        </w:sectPr>
      </w:pPr>
    </w:p>
    <w:bookmarkStart w:id="93" w:name="page94"/>
    <w:bookmarkEnd w:id="93"/>
    <w:p>
      <w:pPr>
        <w:spacing w:after="0" w:line="56" w:lineRule="exact"/>
        <w:rPr>
          <w:sz w:val="20"/>
          <w:szCs w:val="20"/>
          <w:color w:val="auto"/>
        </w:rPr>
      </w:pPr>
    </w:p>
    <w:p>
      <w:pPr>
        <w:ind w:left="840" w:right="120" w:hanging="360"/>
        <w:spacing w:after="0" w:line="245" w:lineRule="auto"/>
        <w:tabs>
          <w:tab w:leader="none" w:pos="8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Level Three: The use of significant unobservable inputs that typically require the use of management’s estimates of assumptions that market participants would use in pricing.</w:t>
      </w:r>
    </w:p>
    <w:p>
      <w:pPr>
        <w:spacing w:after="0" w:line="222"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(Stated in millions)</w:t>
      </w:r>
    </w:p>
    <w:tbl>
      <w:tblPr>
        <w:tblLayout w:type="fixed"/>
        <w:tblInd w:w="12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ind w:left="20"/>
              <w:spacing w:after="0" w:line="179" w:lineRule="exact"/>
              <w:rPr>
                <w:sz w:val="20"/>
                <w:szCs w:val="20"/>
                <w:color w:val="auto"/>
              </w:rPr>
            </w:pPr>
            <w:r>
              <w:rPr>
                <w:rFonts w:ascii="Arial" w:cs="Arial" w:eastAsia="Arial" w:hAnsi="Arial"/>
                <w:sz w:val="16"/>
                <w:szCs w:val="16"/>
                <w:color w:val="auto"/>
              </w:rPr>
              <w:t>US Plan Assets</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
        </w:trPr>
        <w:tc>
          <w:tcPr>
            <w:tcW w:w="3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6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20"/>
              <w:spacing w:after="0" w:line="161" w:lineRule="exact"/>
              <w:rPr>
                <w:sz w:val="20"/>
                <w:szCs w:val="20"/>
                <w:color w:val="auto"/>
              </w:rPr>
            </w:pPr>
            <w:r>
              <w:rPr>
                <w:rFonts w:ascii="Arial" w:cs="Arial" w:eastAsia="Arial" w:hAnsi="Arial"/>
                <w:sz w:val="16"/>
                <w:szCs w:val="16"/>
                <w:b w:val="1"/>
                <w:bCs w:val="1"/>
                <w:color w:val="auto"/>
                <w:w w:val="97"/>
              </w:rPr>
              <w:t>Level</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line="161" w:lineRule="exact"/>
              <w:rPr>
                <w:sz w:val="20"/>
                <w:szCs w:val="20"/>
                <w:color w:val="auto"/>
              </w:rPr>
            </w:pPr>
            <w:r>
              <w:rPr>
                <w:rFonts w:ascii="Arial" w:cs="Arial" w:eastAsia="Arial" w:hAnsi="Arial"/>
                <w:sz w:val="16"/>
                <w:szCs w:val="16"/>
                <w:b w:val="1"/>
                <w:bCs w:val="1"/>
                <w:color w:val="auto"/>
                <w:w w:val="97"/>
              </w:rPr>
              <w:t>Level</w:t>
            </w:r>
          </w:p>
        </w:tc>
        <w:tc>
          <w:tcPr>
            <w:tcW w:w="80" w:type="dxa"/>
            <w:vAlign w:val="bottom"/>
          </w:tcPr>
          <w:p>
            <w:pPr>
              <w:spacing w:after="0"/>
              <w:rPr>
                <w:sz w:val="13"/>
                <w:szCs w:val="13"/>
                <w:color w:val="auto"/>
              </w:rPr>
            </w:pPr>
          </w:p>
        </w:tc>
        <w:tc>
          <w:tcPr>
            <w:tcW w:w="620" w:type="dxa"/>
            <w:vAlign w:val="bottom"/>
            <w:gridSpan w:val="2"/>
          </w:tcPr>
          <w:p>
            <w:pPr>
              <w:ind w:left="20"/>
              <w:spacing w:after="0" w:line="161" w:lineRule="exact"/>
              <w:rPr>
                <w:sz w:val="20"/>
                <w:szCs w:val="20"/>
                <w:color w:val="auto"/>
              </w:rPr>
            </w:pPr>
            <w:r>
              <w:rPr>
                <w:rFonts w:ascii="Arial" w:cs="Arial" w:eastAsia="Arial" w:hAnsi="Arial"/>
                <w:sz w:val="16"/>
                <w:szCs w:val="16"/>
                <w:b w:val="1"/>
                <w:bCs w:val="1"/>
                <w:color w:val="auto"/>
              </w:rPr>
              <w:t>Level</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220"/>
              <w:spacing w:after="0" w:line="161" w:lineRule="exact"/>
              <w:rPr>
                <w:sz w:val="20"/>
                <w:szCs w:val="20"/>
                <w:color w:val="auto"/>
              </w:rPr>
            </w:pPr>
            <w:r>
              <w:rPr>
                <w:rFonts w:ascii="Arial" w:cs="Arial" w:eastAsia="Arial" w:hAnsi="Arial"/>
                <w:sz w:val="16"/>
                <w:szCs w:val="16"/>
                <w:color w:val="auto"/>
                <w:w w:val="99"/>
              </w:rPr>
              <w:t>Level</w:t>
            </w:r>
          </w:p>
        </w:tc>
        <w:tc>
          <w:tcPr>
            <w:tcW w:w="100" w:type="dxa"/>
            <w:vAlign w:val="bottom"/>
          </w:tcPr>
          <w:p>
            <w:pPr>
              <w:spacing w:after="0"/>
              <w:rPr>
                <w:sz w:val="13"/>
                <w:szCs w:val="13"/>
                <w:color w:val="auto"/>
              </w:rPr>
            </w:pPr>
          </w:p>
        </w:tc>
        <w:tc>
          <w:tcPr>
            <w:tcW w:w="620" w:type="dxa"/>
            <w:vAlign w:val="bottom"/>
            <w:gridSpan w:val="2"/>
          </w:tcPr>
          <w:p>
            <w:pPr>
              <w:jc w:val="center"/>
              <w:ind w:right="200"/>
              <w:spacing w:after="0" w:line="161" w:lineRule="exact"/>
              <w:rPr>
                <w:sz w:val="20"/>
                <w:szCs w:val="20"/>
                <w:color w:val="auto"/>
              </w:rPr>
            </w:pPr>
            <w:r>
              <w:rPr>
                <w:rFonts w:ascii="Arial" w:cs="Arial" w:eastAsia="Arial" w:hAnsi="Arial"/>
                <w:sz w:val="16"/>
                <w:szCs w:val="16"/>
                <w:color w:val="auto"/>
                <w:w w:val="99"/>
              </w:rPr>
              <w:t>Level</w:t>
            </w:r>
          </w:p>
        </w:tc>
        <w:tc>
          <w:tcPr>
            <w:tcW w:w="100" w:type="dxa"/>
            <w:vAlign w:val="bottom"/>
          </w:tcPr>
          <w:p>
            <w:pPr>
              <w:spacing w:after="0"/>
              <w:rPr>
                <w:sz w:val="13"/>
                <w:szCs w:val="13"/>
                <w:color w:val="auto"/>
              </w:rPr>
            </w:pPr>
          </w:p>
        </w:tc>
        <w:tc>
          <w:tcPr>
            <w:tcW w:w="520" w:type="dxa"/>
            <w:vAlign w:val="bottom"/>
          </w:tcPr>
          <w:p>
            <w:pPr>
              <w:ind w:left="20"/>
              <w:spacing w:after="0" w:line="161" w:lineRule="exact"/>
              <w:rPr>
                <w:sz w:val="20"/>
                <w:szCs w:val="20"/>
                <w:color w:val="auto"/>
              </w:rPr>
            </w:pPr>
            <w:r>
              <w:rPr>
                <w:rFonts w:ascii="Arial" w:cs="Arial" w:eastAsia="Arial" w:hAnsi="Arial"/>
                <w:sz w:val="16"/>
                <w:szCs w:val="16"/>
                <w:color w:val="auto"/>
              </w:rPr>
              <w:t>Level</w:t>
            </w:r>
          </w:p>
        </w:tc>
      </w:tr>
      <w:tr>
        <w:trPr>
          <w:trHeight w:val="181"/>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62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rPr>
              <w:t>One</w:t>
            </w:r>
          </w:p>
        </w:tc>
        <w:tc>
          <w:tcPr>
            <w:tcW w:w="80" w:type="dxa"/>
            <w:vAlign w:val="bottom"/>
          </w:tcPr>
          <w:p>
            <w:pPr>
              <w:spacing w:after="0"/>
              <w:rPr>
                <w:sz w:val="15"/>
                <w:szCs w:val="15"/>
                <w:color w:val="auto"/>
              </w:rPr>
            </w:pPr>
          </w:p>
        </w:tc>
        <w:tc>
          <w:tcPr>
            <w:tcW w:w="64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9"/>
              </w:rPr>
              <w:t>Two</w:t>
            </w:r>
          </w:p>
        </w:tc>
        <w:tc>
          <w:tcPr>
            <w:tcW w:w="80" w:type="dxa"/>
            <w:vAlign w:val="bottom"/>
          </w:tcPr>
          <w:p>
            <w:pPr>
              <w:spacing w:after="0"/>
              <w:rPr>
                <w:sz w:val="15"/>
                <w:szCs w:val="15"/>
                <w:color w:val="auto"/>
              </w:rPr>
            </w:pPr>
          </w:p>
        </w:tc>
        <w:tc>
          <w:tcPr>
            <w:tcW w:w="6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Three</w:t>
            </w:r>
          </w:p>
        </w:tc>
        <w:tc>
          <w:tcPr>
            <w:tcW w:w="120" w:type="dxa"/>
            <w:vAlign w:val="bottom"/>
          </w:tcPr>
          <w:p>
            <w:pPr>
              <w:spacing w:after="0"/>
              <w:rPr>
                <w:sz w:val="15"/>
                <w:szCs w:val="15"/>
                <w:color w:val="auto"/>
              </w:rPr>
            </w:pPr>
          </w:p>
        </w:tc>
        <w:tc>
          <w:tcPr>
            <w:tcW w:w="6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Total</w:t>
            </w:r>
          </w:p>
        </w:tc>
        <w:tc>
          <w:tcPr>
            <w:tcW w:w="120" w:type="dxa"/>
            <w:vAlign w:val="bottom"/>
          </w:tcPr>
          <w:p>
            <w:pPr>
              <w:spacing w:after="0"/>
              <w:rPr>
                <w:sz w:val="15"/>
                <w:szCs w:val="15"/>
                <w:color w:val="auto"/>
              </w:rPr>
            </w:pPr>
          </w:p>
        </w:tc>
        <w:tc>
          <w:tcPr>
            <w:tcW w:w="600" w:type="dxa"/>
            <w:vAlign w:val="bottom"/>
            <w:gridSpan w:val="2"/>
          </w:tcPr>
          <w:p>
            <w:pPr>
              <w:jc w:val="center"/>
              <w:ind w:right="220"/>
              <w:spacing w:after="0" w:line="181" w:lineRule="exact"/>
              <w:rPr>
                <w:sz w:val="20"/>
                <w:szCs w:val="20"/>
                <w:color w:val="auto"/>
              </w:rPr>
            </w:pPr>
            <w:r>
              <w:rPr>
                <w:rFonts w:ascii="Arial" w:cs="Arial" w:eastAsia="Arial" w:hAnsi="Arial"/>
                <w:sz w:val="16"/>
                <w:szCs w:val="16"/>
                <w:color w:val="auto"/>
                <w:w w:val="99"/>
              </w:rPr>
              <w:t>One</w:t>
            </w:r>
          </w:p>
        </w:tc>
        <w:tc>
          <w:tcPr>
            <w:tcW w:w="100" w:type="dxa"/>
            <w:vAlign w:val="bottom"/>
          </w:tcPr>
          <w:p>
            <w:pPr>
              <w:spacing w:after="0"/>
              <w:rPr>
                <w:sz w:val="15"/>
                <w:szCs w:val="15"/>
                <w:color w:val="auto"/>
              </w:rPr>
            </w:pPr>
          </w:p>
        </w:tc>
        <w:tc>
          <w:tcPr>
            <w:tcW w:w="620" w:type="dxa"/>
            <w:vAlign w:val="bottom"/>
            <w:gridSpan w:val="2"/>
          </w:tcPr>
          <w:p>
            <w:pPr>
              <w:jc w:val="center"/>
              <w:ind w:right="200"/>
              <w:spacing w:after="0" w:line="181" w:lineRule="exact"/>
              <w:rPr>
                <w:sz w:val="20"/>
                <w:szCs w:val="20"/>
                <w:color w:val="auto"/>
              </w:rPr>
            </w:pPr>
            <w:r>
              <w:rPr>
                <w:rFonts w:ascii="Arial" w:cs="Arial" w:eastAsia="Arial" w:hAnsi="Arial"/>
                <w:sz w:val="16"/>
                <w:szCs w:val="16"/>
                <w:color w:val="auto"/>
                <w:w w:val="99"/>
              </w:rPr>
              <w:t>Two</w:t>
            </w:r>
          </w:p>
        </w:tc>
        <w:tc>
          <w:tcPr>
            <w:tcW w:w="100" w:type="dxa"/>
            <w:vAlign w:val="bottom"/>
          </w:tcPr>
          <w:p>
            <w:pPr>
              <w:spacing w:after="0"/>
              <w:rPr>
                <w:sz w:val="15"/>
                <w:szCs w:val="15"/>
                <w:color w:val="auto"/>
              </w:rPr>
            </w:pPr>
          </w:p>
        </w:tc>
        <w:tc>
          <w:tcPr>
            <w:tcW w:w="520" w:type="dxa"/>
            <w:vAlign w:val="bottom"/>
          </w:tcPr>
          <w:p>
            <w:pPr>
              <w:spacing w:after="0" w:line="181" w:lineRule="exact"/>
              <w:rPr>
                <w:sz w:val="20"/>
                <w:szCs w:val="20"/>
                <w:color w:val="auto"/>
              </w:rPr>
            </w:pPr>
            <w:r>
              <w:rPr>
                <w:rFonts w:ascii="Arial" w:cs="Arial" w:eastAsia="Arial" w:hAnsi="Arial"/>
                <w:sz w:val="16"/>
                <w:szCs w:val="16"/>
                <w:color w:val="auto"/>
              </w:rPr>
              <w:t>Three</w:t>
            </w:r>
          </w:p>
        </w:tc>
      </w:tr>
      <w:tr>
        <w:trPr>
          <w:trHeight w:val="38"/>
        </w:trPr>
        <w:tc>
          <w:tcPr>
            <w:tcW w:w="3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99"/>
        </w:trPr>
        <w:tc>
          <w:tcPr>
            <w:tcW w:w="3480" w:type="dxa"/>
            <w:vAlign w:val="bottom"/>
            <w:shd w:val="clear" w:color="auto" w:fill="CCCCCC"/>
          </w:tcPr>
          <w:p>
            <w:pPr>
              <w:spacing w:after="0"/>
              <w:rPr>
                <w:sz w:val="20"/>
                <w:szCs w:val="20"/>
                <w:color w:val="auto"/>
              </w:rPr>
            </w:pPr>
            <w:r>
              <w:rPr>
                <w:rFonts w:ascii="Arial" w:cs="Arial" w:eastAsia="Arial" w:hAnsi="Arial"/>
                <w:sz w:val="16"/>
                <w:szCs w:val="16"/>
                <w:b w:val="1"/>
                <w:bCs w:val="1"/>
                <w:color w:val="auto"/>
              </w:rPr>
              <w:t>Asset Category:</w:t>
            </w: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54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20" w:type="dxa"/>
            <w:vAlign w:val="bottom"/>
            <w:shd w:val="clear" w:color="auto" w:fill="CCCCCC"/>
          </w:tcPr>
          <w:p>
            <w:pPr>
              <w:spacing w:after="0"/>
              <w:rPr>
                <w:sz w:val="17"/>
                <w:szCs w:val="17"/>
                <w:color w:val="auto"/>
              </w:rPr>
            </w:pPr>
          </w:p>
        </w:tc>
        <w:tc>
          <w:tcPr>
            <w:tcW w:w="5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20" w:type="dxa"/>
            <w:vAlign w:val="bottom"/>
            <w:shd w:val="clear" w:color="auto" w:fill="CCCCCC"/>
          </w:tcPr>
          <w:p>
            <w:pPr>
              <w:spacing w:after="0"/>
              <w:rPr>
                <w:sz w:val="17"/>
                <w:szCs w:val="17"/>
                <w:color w:val="auto"/>
              </w:rPr>
            </w:pPr>
          </w:p>
        </w:tc>
        <w:tc>
          <w:tcPr>
            <w:tcW w:w="5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r>
      <w:tr>
        <w:trPr>
          <w:trHeight w:val="205"/>
        </w:trPr>
        <w:tc>
          <w:tcPr>
            <w:tcW w:w="3480" w:type="dxa"/>
            <w:vAlign w:val="bottom"/>
          </w:tcPr>
          <w:p>
            <w:pPr>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 . . . . . . . . . . . . .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shd w:val="clear" w:color="auto" w:fill="CCCCCC"/>
          </w:tcPr>
          <w:p>
            <w:pPr>
              <w:spacing w:after="0"/>
              <w:rPr>
                <w:sz w:val="20"/>
                <w:szCs w:val="20"/>
                <w:color w:val="auto"/>
              </w:rPr>
            </w:pPr>
            <w:r>
              <w:rPr>
                <w:rFonts w:ascii="Arial" w:cs="Arial" w:eastAsia="Arial" w:hAnsi="Arial"/>
                <w:sz w:val="16"/>
                <w:szCs w:val="16"/>
                <w:b w:val="1"/>
                <w:bCs w:val="1"/>
                <w:color w:val="auto"/>
              </w:rPr>
              <w:t>Equity Securities:</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r>
      <w:tr>
        <w:trPr>
          <w:trHeight w:val="205"/>
        </w:trPr>
        <w:tc>
          <w:tcPr>
            <w:tcW w:w="3480" w:type="dxa"/>
            <w:vAlign w:val="bottom"/>
          </w:tcPr>
          <w:p>
            <w:pPr>
              <w:jc w:val="right"/>
              <w:ind w:right="20"/>
              <w:spacing w:after="0"/>
              <w:rPr>
                <w:sz w:val="20"/>
                <w:szCs w:val="20"/>
                <w:color w:val="auto"/>
              </w:rPr>
            </w:pPr>
            <w:r>
              <w:rPr>
                <w:rFonts w:ascii="Arial" w:cs="Arial" w:eastAsia="Arial" w:hAnsi="Arial"/>
                <w:sz w:val="16"/>
                <w:szCs w:val="16"/>
                <w:color w:val="auto"/>
              </w:rPr>
              <w:t>US  . . . . . . . . . . . . . . . . . . . . . . . . . . . . . . . .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International . . . .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480" w:type="dxa"/>
            <w:vAlign w:val="bottom"/>
          </w:tcPr>
          <w:p>
            <w:pPr>
              <w:spacing w:after="0"/>
              <w:rPr>
                <w:sz w:val="20"/>
                <w:szCs w:val="20"/>
                <w:color w:val="auto"/>
              </w:rPr>
            </w:pPr>
            <w:r>
              <w:rPr>
                <w:rFonts w:ascii="Arial" w:cs="Arial" w:eastAsia="Arial" w:hAnsi="Arial"/>
                <w:sz w:val="16"/>
                <w:szCs w:val="16"/>
                <w:b w:val="1"/>
                <w:bCs w:val="1"/>
                <w:color w:val="auto"/>
              </w:rPr>
              <w:t>Debt Securities: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Corporate bonds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1,775</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1,775</w:t>
            </w:r>
          </w:p>
        </w:tc>
        <w:tc>
          <w:tcPr>
            <w:tcW w:w="8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2,583</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2,583</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480" w:type="dxa"/>
            <w:vAlign w:val="bottom"/>
          </w:tcPr>
          <w:p>
            <w:pPr>
              <w:jc w:val="right"/>
              <w:ind w:right="20"/>
              <w:spacing w:after="0"/>
              <w:rPr>
                <w:sz w:val="20"/>
                <w:szCs w:val="20"/>
                <w:color w:val="auto"/>
              </w:rPr>
            </w:pPr>
            <w:r>
              <w:rPr>
                <w:rFonts w:ascii="Arial" w:cs="Arial" w:eastAsia="Arial" w:hAnsi="Arial"/>
                <w:sz w:val="16"/>
                <w:szCs w:val="16"/>
                <w:color w:val="auto"/>
              </w:rPr>
              <w:t>Government and related debt securities . .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Mortgage and asset-based securities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480" w:type="dxa"/>
            <w:vAlign w:val="bottom"/>
          </w:tcPr>
          <w:p>
            <w:pPr>
              <w:spacing w:after="0"/>
              <w:rPr>
                <w:sz w:val="20"/>
                <w:szCs w:val="20"/>
                <w:color w:val="auto"/>
              </w:rPr>
            </w:pPr>
            <w:r>
              <w:rPr>
                <w:rFonts w:ascii="Arial" w:cs="Arial" w:eastAsia="Arial" w:hAnsi="Arial"/>
                <w:sz w:val="16"/>
                <w:szCs w:val="16"/>
                <w:b w:val="1"/>
                <w:bCs w:val="1"/>
                <w:color w:val="auto"/>
              </w:rPr>
              <w:t>Alternative Investments: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Private equity . . .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291</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291</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293</w:t>
            </w:r>
          </w:p>
        </w:tc>
      </w:tr>
      <w:tr>
        <w:trPr>
          <w:trHeight w:val="205"/>
        </w:trPr>
        <w:tc>
          <w:tcPr>
            <w:tcW w:w="3480" w:type="dxa"/>
            <w:vAlign w:val="bottom"/>
          </w:tcPr>
          <w:p>
            <w:pPr>
              <w:jc w:val="right"/>
              <w:ind w:right="20"/>
              <w:spacing w:after="0"/>
              <w:rPr>
                <w:sz w:val="20"/>
                <w:szCs w:val="20"/>
                <w:color w:val="auto"/>
              </w:rPr>
            </w:pPr>
            <w:r>
              <w:rPr>
                <w:rFonts w:ascii="Arial" w:cs="Arial" w:eastAsia="Arial" w:hAnsi="Arial"/>
                <w:sz w:val="16"/>
                <w:szCs w:val="16"/>
                <w:color w:val="auto"/>
              </w:rPr>
              <w:t>Private debt . . . . . . . . . . . . . . . . . . . . . . . . .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Real estate  . . . .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99</w:t>
            </w:r>
          </w:p>
        </w:tc>
      </w:tr>
      <w:tr>
        <w:trPr>
          <w:trHeight w:val="70"/>
        </w:trPr>
        <w:tc>
          <w:tcPr>
            <w:tcW w:w="34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r>
      <w:tr>
        <w:trPr>
          <w:trHeight w:val="191"/>
        </w:trPr>
        <w:tc>
          <w:tcPr>
            <w:tcW w:w="3480" w:type="dxa"/>
            <w:vAlign w:val="bottom"/>
          </w:tcPr>
          <w:p>
            <w:pPr>
              <w:jc w:val="right"/>
              <w:ind w:right="20"/>
              <w:spacing w:after="0"/>
              <w:rPr>
                <w:sz w:val="20"/>
                <w:szCs w:val="20"/>
                <w:color w:val="auto"/>
              </w:rPr>
            </w:pPr>
            <w:r>
              <w:rPr>
                <w:rFonts w:ascii="Arial" w:cs="Arial" w:eastAsia="Arial" w:hAnsi="Arial"/>
                <w:sz w:val="16"/>
                <w:szCs w:val="16"/>
                <w:color w:val="auto"/>
                <w:w w:val="95"/>
              </w:rPr>
              <w:t>Total  . . . . . . . . . . . . . . . . . . . . . . . . . . . . . . . . . .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3,396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2,668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4,696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3,761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38"/>
        </w:trPr>
        <w:tc>
          <w:tcPr>
            <w:tcW w:w="3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r>
      <w:tr>
        <w:trPr>
          <w:trHeight w:val="442"/>
        </w:trPr>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ind w:left="20"/>
              <w:spacing w:after="0"/>
              <w:rPr>
                <w:sz w:val="20"/>
                <w:szCs w:val="20"/>
                <w:color w:val="auto"/>
              </w:rPr>
            </w:pPr>
            <w:r>
              <w:rPr>
                <w:rFonts w:ascii="Arial" w:cs="Arial" w:eastAsia="Arial" w:hAnsi="Arial"/>
                <w:sz w:val="16"/>
                <w:szCs w:val="16"/>
                <w:i w:val="1"/>
                <w:iCs w:val="1"/>
                <w:color w:val="auto"/>
                <w:w w:val="98"/>
              </w:rPr>
              <w:t>(Stated in millions)</w:t>
            </w:r>
          </w:p>
        </w:tc>
      </w:tr>
      <w:tr>
        <w:trPr>
          <w:trHeight w:val="220"/>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gridSpan w:val="9"/>
          </w:tcPr>
          <w:p>
            <w:pPr>
              <w:jc w:val="right"/>
              <w:spacing w:after="0"/>
              <w:rPr>
                <w:sz w:val="20"/>
                <w:szCs w:val="20"/>
                <w:color w:val="auto"/>
              </w:rPr>
            </w:pPr>
            <w:r>
              <w:rPr>
                <w:rFonts w:ascii="Arial" w:cs="Arial" w:eastAsia="Arial" w:hAnsi="Arial"/>
                <w:sz w:val="16"/>
                <w:szCs w:val="16"/>
                <w:color w:val="auto"/>
              </w:rPr>
              <w:t>International Plan Assets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8"/>
        </w:trPr>
        <w:tc>
          <w:tcPr>
            <w:tcW w:w="3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2"/>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420"/>
              <w:spacing w:after="0" w:line="18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right"/>
              <w:ind w:right="400"/>
              <w:spacing w:after="0" w:line="182" w:lineRule="exact"/>
              <w:rPr>
                <w:sz w:val="20"/>
                <w:szCs w:val="20"/>
                <w:color w:val="auto"/>
              </w:rPr>
            </w:pPr>
            <w:r>
              <w:rPr>
                <w:rFonts w:ascii="Arial" w:cs="Arial" w:eastAsia="Arial" w:hAnsi="Arial"/>
                <w:sz w:val="16"/>
                <w:szCs w:val="16"/>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8"/>
        </w:trPr>
        <w:tc>
          <w:tcPr>
            <w:tcW w:w="3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6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20"/>
              <w:spacing w:after="0" w:line="161" w:lineRule="exact"/>
              <w:rPr>
                <w:sz w:val="20"/>
                <w:szCs w:val="20"/>
                <w:color w:val="auto"/>
              </w:rPr>
            </w:pPr>
            <w:r>
              <w:rPr>
                <w:rFonts w:ascii="Arial" w:cs="Arial" w:eastAsia="Arial" w:hAnsi="Arial"/>
                <w:sz w:val="16"/>
                <w:szCs w:val="16"/>
                <w:b w:val="1"/>
                <w:bCs w:val="1"/>
                <w:color w:val="auto"/>
                <w:w w:val="97"/>
              </w:rPr>
              <w:t>Level</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line="161" w:lineRule="exact"/>
              <w:rPr>
                <w:sz w:val="20"/>
                <w:szCs w:val="20"/>
                <w:color w:val="auto"/>
              </w:rPr>
            </w:pPr>
            <w:r>
              <w:rPr>
                <w:rFonts w:ascii="Arial" w:cs="Arial" w:eastAsia="Arial" w:hAnsi="Arial"/>
                <w:sz w:val="16"/>
                <w:szCs w:val="16"/>
                <w:b w:val="1"/>
                <w:bCs w:val="1"/>
                <w:color w:val="auto"/>
                <w:w w:val="97"/>
              </w:rPr>
              <w:t>Level</w:t>
            </w:r>
          </w:p>
        </w:tc>
        <w:tc>
          <w:tcPr>
            <w:tcW w:w="80" w:type="dxa"/>
            <w:vAlign w:val="bottom"/>
          </w:tcPr>
          <w:p>
            <w:pPr>
              <w:spacing w:after="0"/>
              <w:rPr>
                <w:sz w:val="13"/>
                <w:szCs w:val="13"/>
                <w:color w:val="auto"/>
              </w:rPr>
            </w:pPr>
          </w:p>
        </w:tc>
        <w:tc>
          <w:tcPr>
            <w:tcW w:w="620" w:type="dxa"/>
            <w:vAlign w:val="bottom"/>
            <w:gridSpan w:val="2"/>
          </w:tcPr>
          <w:p>
            <w:pPr>
              <w:ind w:left="20"/>
              <w:spacing w:after="0" w:line="161" w:lineRule="exact"/>
              <w:rPr>
                <w:sz w:val="20"/>
                <w:szCs w:val="20"/>
                <w:color w:val="auto"/>
              </w:rPr>
            </w:pPr>
            <w:r>
              <w:rPr>
                <w:rFonts w:ascii="Arial" w:cs="Arial" w:eastAsia="Arial" w:hAnsi="Arial"/>
                <w:sz w:val="16"/>
                <w:szCs w:val="16"/>
                <w:b w:val="1"/>
                <w:bCs w:val="1"/>
                <w:color w:val="auto"/>
              </w:rPr>
              <w:t>Level</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220"/>
              <w:spacing w:after="0" w:line="161" w:lineRule="exact"/>
              <w:rPr>
                <w:sz w:val="20"/>
                <w:szCs w:val="20"/>
                <w:color w:val="auto"/>
              </w:rPr>
            </w:pPr>
            <w:r>
              <w:rPr>
                <w:rFonts w:ascii="Arial" w:cs="Arial" w:eastAsia="Arial" w:hAnsi="Arial"/>
                <w:sz w:val="16"/>
                <w:szCs w:val="16"/>
                <w:color w:val="auto"/>
                <w:w w:val="99"/>
              </w:rPr>
              <w:t>Level</w:t>
            </w:r>
          </w:p>
        </w:tc>
        <w:tc>
          <w:tcPr>
            <w:tcW w:w="100" w:type="dxa"/>
            <w:vAlign w:val="bottom"/>
          </w:tcPr>
          <w:p>
            <w:pPr>
              <w:spacing w:after="0"/>
              <w:rPr>
                <w:sz w:val="13"/>
                <w:szCs w:val="13"/>
                <w:color w:val="auto"/>
              </w:rPr>
            </w:pPr>
          </w:p>
        </w:tc>
        <w:tc>
          <w:tcPr>
            <w:tcW w:w="620" w:type="dxa"/>
            <w:vAlign w:val="bottom"/>
            <w:gridSpan w:val="2"/>
          </w:tcPr>
          <w:p>
            <w:pPr>
              <w:jc w:val="center"/>
              <w:ind w:right="200"/>
              <w:spacing w:after="0" w:line="161" w:lineRule="exact"/>
              <w:rPr>
                <w:sz w:val="20"/>
                <w:szCs w:val="20"/>
                <w:color w:val="auto"/>
              </w:rPr>
            </w:pPr>
            <w:r>
              <w:rPr>
                <w:rFonts w:ascii="Arial" w:cs="Arial" w:eastAsia="Arial" w:hAnsi="Arial"/>
                <w:sz w:val="16"/>
                <w:szCs w:val="16"/>
                <w:color w:val="auto"/>
                <w:w w:val="99"/>
              </w:rPr>
              <w:t>Level</w:t>
            </w:r>
          </w:p>
        </w:tc>
        <w:tc>
          <w:tcPr>
            <w:tcW w:w="100" w:type="dxa"/>
            <w:vAlign w:val="bottom"/>
          </w:tcPr>
          <w:p>
            <w:pPr>
              <w:spacing w:after="0"/>
              <w:rPr>
                <w:sz w:val="13"/>
                <w:szCs w:val="13"/>
                <w:color w:val="auto"/>
              </w:rPr>
            </w:pPr>
          </w:p>
        </w:tc>
        <w:tc>
          <w:tcPr>
            <w:tcW w:w="520" w:type="dxa"/>
            <w:vAlign w:val="bottom"/>
          </w:tcPr>
          <w:p>
            <w:pPr>
              <w:ind w:left="20"/>
              <w:spacing w:after="0" w:line="161" w:lineRule="exact"/>
              <w:rPr>
                <w:sz w:val="20"/>
                <w:szCs w:val="20"/>
                <w:color w:val="auto"/>
              </w:rPr>
            </w:pPr>
            <w:r>
              <w:rPr>
                <w:rFonts w:ascii="Arial" w:cs="Arial" w:eastAsia="Arial" w:hAnsi="Arial"/>
                <w:sz w:val="16"/>
                <w:szCs w:val="16"/>
                <w:color w:val="auto"/>
              </w:rPr>
              <w:t>Level</w:t>
            </w:r>
          </w:p>
        </w:tc>
      </w:tr>
      <w:tr>
        <w:trPr>
          <w:trHeight w:val="181"/>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62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rPr>
              <w:t>One</w:t>
            </w:r>
          </w:p>
        </w:tc>
        <w:tc>
          <w:tcPr>
            <w:tcW w:w="80" w:type="dxa"/>
            <w:vAlign w:val="bottom"/>
          </w:tcPr>
          <w:p>
            <w:pPr>
              <w:spacing w:after="0"/>
              <w:rPr>
                <w:sz w:val="15"/>
                <w:szCs w:val="15"/>
                <w:color w:val="auto"/>
              </w:rPr>
            </w:pPr>
          </w:p>
        </w:tc>
        <w:tc>
          <w:tcPr>
            <w:tcW w:w="64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9"/>
              </w:rPr>
              <w:t>Two</w:t>
            </w:r>
          </w:p>
        </w:tc>
        <w:tc>
          <w:tcPr>
            <w:tcW w:w="80" w:type="dxa"/>
            <w:vAlign w:val="bottom"/>
          </w:tcPr>
          <w:p>
            <w:pPr>
              <w:spacing w:after="0"/>
              <w:rPr>
                <w:sz w:val="15"/>
                <w:szCs w:val="15"/>
                <w:color w:val="auto"/>
              </w:rPr>
            </w:pPr>
          </w:p>
        </w:tc>
        <w:tc>
          <w:tcPr>
            <w:tcW w:w="6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Three</w:t>
            </w:r>
          </w:p>
        </w:tc>
        <w:tc>
          <w:tcPr>
            <w:tcW w:w="120" w:type="dxa"/>
            <w:vAlign w:val="bottom"/>
          </w:tcPr>
          <w:p>
            <w:pPr>
              <w:spacing w:after="0"/>
              <w:rPr>
                <w:sz w:val="15"/>
                <w:szCs w:val="15"/>
                <w:color w:val="auto"/>
              </w:rPr>
            </w:pPr>
          </w:p>
        </w:tc>
        <w:tc>
          <w:tcPr>
            <w:tcW w:w="6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Total</w:t>
            </w:r>
          </w:p>
        </w:tc>
        <w:tc>
          <w:tcPr>
            <w:tcW w:w="120" w:type="dxa"/>
            <w:vAlign w:val="bottom"/>
          </w:tcPr>
          <w:p>
            <w:pPr>
              <w:spacing w:after="0"/>
              <w:rPr>
                <w:sz w:val="15"/>
                <w:szCs w:val="15"/>
                <w:color w:val="auto"/>
              </w:rPr>
            </w:pPr>
          </w:p>
        </w:tc>
        <w:tc>
          <w:tcPr>
            <w:tcW w:w="600" w:type="dxa"/>
            <w:vAlign w:val="bottom"/>
            <w:gridSpan w:val="2"/>
          </w:tcPr>
          <w:p>
            <w:pPr>
              <w:jc w:val="center"/>
              <w:ind w:right="220"/>
              <w:spacing w:after="0" w:line="181" w:lineRule="exact"/>
              <w:rPr>
                <w:sz w:val="20"/>
                <w:szCs w:val="20"/>
                <w:color w:val="auto"/>
              </w:rPr>
            </w:pPr>
            <w:r>
              <w:rPr>
                <w:rFonts w:ascii="Arial" w:cs="Arial" w:eastAsia="Arial" w:hAnsi="Arial"/>
                <w:sz w:val="16"/>
                <w:szCs w:val="16"/>
                <w:color w:val="auto"/>
                <w:w w:val="99"/>
              </w:rPr>
              <w:t>One</w:t>
            </w:r>
          </w:p>
        </w:tc>
        <w:tc>
          <w:tcPr>
            <w:tcW w:w="100" w:type="dxa"/>
            <w:vAlign w:val="bottom"/>
          </w:tcPr>
          <w:p>
            <w:pPr>
              <w:spacing w:after="0"/>
              <w:rPr>
                <w:sz w:val="15"/>
                <w:szCs w:val="15"/>
                <w:color w:val="auto"/>
              </w:rPr>
            </w:pPr>
          </w:p>
        </w:tc>
        <w:tc>
          <w:tcPr>
            <w:tcW w:w="620" w:type="dxa"/>
            <w:vAlign w:val="bottom"/>
            <w:gridSpan w:val="2"/>
          </w:tcPr>
          <w:p>
            <w:pPr>
              <w:jc w:val="center"/>
              <w:ind w:right="200"/>
              <w:spacing w:after="0" w:line="181" w:lineRule="exact"/>
              <w:rPr>
                <w:sz w:val="20"/>
                <w:szCs w:val="20"/>
                <w:color w:val="auto"/>
              </w:rPr>
            </w:pPr>
            <w:r>
              <w:rPr>
                <w:rFonts w:ascii="Arial" w:cs="Arial" w:eastAsia="Arial" w:hAnsi="Arial"/>
                <w:sz w:val="16"/>
                <w:szCs w:val="16"/>
                <w:color w:val="auto"/>
                <w:w w:val="99"/>
              </w:rPr>
              <w:t>Two</w:t>
            </w:r>
          </w:p>
        </w:tc>
        <w:tc>
          <w:tcPr>
            <w:tcW w:w="100" w:type="dxa"/>
            <w:vAlign w:val="bottom"/>
          </w:tcPr>
          <w:p>
            <w:pPr>
              <w:spacing w:after="0"/>
              <w:rPr>
                <w:sz w:val="15"/>
                <w:szCs w:val="15"/>
                <w:color w:val="auto"/>
              </w:rPr>
            </w:pPr>
          </w:p>
        </w:tc>
        <w:tc>
          <w:tcPr>
            <w:tcW w:w="520" w:type="dxa"/>
            <w:vAlign w:val="bottom"/>
          </w:tcPr>
          <w:p>
            <w:pPr>
              <w:spacing w:after="0" w:line="181" w:lineRule="exact"/>
              <w:rPr>
                <w:sz w:val="20"/>
                <w:szCs w:val="20"/>
                <w:color w:val="auto"/>
              </w:rPr>
            </w:pPr>
            <w:r>
              <w:rPr>
                <w:rFonts w:ascii="Arial" w:cs="Arial" w:eastAsia="Arial" w:hAnsi="Arial"/>
                <w:sz w:val="16"/>
                <w:szCs w:val="16"/>
                <w:color w:val="auto"/>
              </w:rPr>
              <w:t>Three</w:t>
            </w:r>
          </w:p>
        </w:tc>
      </w:tr>
      <w:tr>
        <w:trPr>
          <w:trHeight w:val="38"/>
        </w:trPr>
        <w:tc>
          <w:tcPr>
            <w:tcW w:w="3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99"/>
        </w:trPr>
        <w:tc>
          <w:tcPr>
            <w:tcW w:w="3480" w:type="dxa"/>
            <w:vAlign w:val="bottom"/>
            <w:shd w:val="clear" w:color="auto" w:fill="CCCCCC"/>
          </w:tcPr>
          <w:p>
            <w:pPr>
              <w:spacing w:after="0"/>
              <w:rPr>
                <w:sz w:val="20"/>
                <w:szCs w:val="20"/>
                <w:color w:val="auto"/>
              </w:rPr>
            </w:pPr>
            <w:r>
              <w:rPr>
                <w:rFonts w:ascii="Arial" w:cs="Arial" w:eastAsia="Arial" w:hAnsi="Arial"/>
                <w:sz w:val="16"/>
                <w:szCs w:val="16"/>
                <w:b w:val="1"/>
                <w:bCs w:val="1"/>
                <w:color w:val="auto"/>
              </w:rPr>
              <w:t>Asset Category:</w:t>
            </w: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54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20" w:type="dxa"/>
            <w:vAlign w:val="bottom"/>
            <w:shd w:val="clear" w:color="auto" w:fill="CCCCCC"/>
          </w:tcPr>
          <w:p>
            <w:pPr>
              <w:spacing w:after="0"/>
              <w:rPr>
                <w:sz w:val="17"/>
                <w:szCs w:val="17"/>
                <w:color w:val="auto"/>
              </w:rPr>
            </w:pPr>
          </w:p>
        </w:tc>
        <w:tc>
          <w:tcPr>
            <w:tcW w:w="5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20" w:type="dxa"/>
            <w:vAlign w:val="bottom"/>
            <w:shd w:val="clear" w:color="auto" w:fill="CCCCCC"/>
          </w:tcPr>
          <w:p>
            <w:pPr>
              <w:spacing w:after="0"/>
              <w:rPr>
                <w:sz w:val="17"/>
                <w:szCs w:val="17"/>
                <w:color w:val="auto"/>
              </w:rPr>
            </w:pPr>
          </w:p>
        </w:tc>
        <w:tc>
          <w:tcPr>
            <w:tcW w:w="5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20" w:type="dxa"/>
            <w:vAlign w:val="bottom"/>
            <w:shd w:val="clear" w:color="auto" w:fill="CCCCCC"/>
          </w:tcPr>
          <w:p>
            <w:pPr>
              <w:spacing w:after="0"/>
              <w:rPr>
                <w:sz w:val="17"/>
                <w:szCs w:val="17"/>
                <w:color w:val="auto"/>
              </w:rPr>
            </w:pPr>
          </w:p>
        </w:tc>
      </w:tr>
      <w:tr>
        <w:trPr>
          <w:trHeight w:val="205"/>
        </w:trPr>
        <w:tc>
          <w:tcPr>
            <w:tcW w:w="3480" w:type="dxa"/>
            <w:vAlign w:val="bottom"/>
          </w:tcPr>
          <w:p>
            <w:pPr>
              <w:jc w:val="right"/>
              <w:ind w:right="20"/>
              <w:spacing w:after="0"/>
              <w:rPr>
                <w:sz w:val="20"/>
                <w:szCs w:val="20"/>
                <w:color w:val="auto"/>
              </w:rPr>
            </w:pPr>
            <w:r>
              <w:rPr>
                <w:rFonts w:ascii="Arial" w:cs="Arial" w:eastAsia="Arial" w:hAnsi="Arial"/>
                <w:sz w:val="16"/>
                <w:szCs w:val="16"/>
                <w:b w:val="1"/>
                <w:bCs w:val="1"/>
                <w:color w:val="auto"/>
                <w:w w:val="97"/>
              </w:rPr>
              <w:t xml:space="preserve">Cash and Cash Equivalents </w:t>
            </w:r>
            <w:r>
              <w:rPr>
                <w:rFonts w:ascii="Arial" w:cs="Arial" w:eastAsia="Arial" w:hAnsi="Arial"/>
                <w:sz w:val="16"/>
                <w:szCs w:val="16"/>
                <w:color w:val="auto"/>
                <w:w w:val="97"/>
              </w:rPr>
              <w:t>. . . . . . . . . . . . . .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170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shd w:val="clear" w:color="auto" w:fill="CCCCCC"/>
          </w:tcPr>
          <w:p>
            <w:pPr>
              <w:spacing w:after="0"/>
              <w:rPr>
                <w:sz w:val="20"/>
                <w:szCs w:val="20"/>
                <w:color w:val="auto"/>
              </w:rPr>
            </w:pPr>
            <w:r>
              <w:rPr>
                <w:rFonts w:ascii="Arial" w:cs="Arial" w:eastAsia="Arial" w:hAnsi="Arial"/>
                <w:sz w:val="16"/>
                <w:szCs w:val="16"/>
                <w:b w:val="1"/>
                <w:bCs w:val="1"/>
                <w:color w:val="auto"/>
              </w:rPr>
              <w:t>Equity Securities:</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r>
      <w:tr>
        <w:trPr>
          <w:trHeight w:val="205"/>
        </w:trPr>
        <w:tc>
          <w:tcPr>
            <w:tcW w:w="3480" w:type="dxa"/>
            <w:vAlign w:val="bottom"/>
          </w:tcPr>
          <w:p>
            <w:pPr>
              <w:jc w:val="right"/>
              <w:ind w:right="20"/>
              <w:spacing w:after="0"/>
              <w:rPr>
                <w:sz w:val="20"/>
                <w:szCs w:val="20"/>
                <w:color w:val="auto"/>
              </w:rPr>
            </w:pPr>
            <w:r>
              <w:rPr>
                <w:rFonts w:ascii="Arial" w:cs="Arial" w:eastAsia="Arial" w:hAnsi="Arial"/>
                <w:sz w:val="16"/>
                <w:szCs w:val="16"/>
                <w:color w:val="auto"/>
              </w:rPr>
              <w:t>US  . . . . . . . . . . . . . . . . . . . . . . . . . . . . . . . .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International . . . .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273</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273</w:t>
            </w:r>
          </w:p>
        </w:tc>
        <w:tc>
          <w:tcPr>
            <w:tcW w:w="10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480" w:type="dxa"/>
            <w:vAlign w:val="bottom"/>
          </w:tcPr>
          <w:p>
            <w:pPr>
              <w:spacing w:after="0"/>
              <w:rPr>
                <w:sz w:val="20"/>
                <w:szCs w:val="20"/>
                <w:color w:val="auto"/>
              </w:rPr>
            </w:pPr>
            <w:r>
              <w:rPr>
                <w:rFonts w:ascii="Arial" w:cs="Arial" w:eastAsia="Arial" w:hAnsi="Arial"/>
                <w:sz w:val="16"/>
                <w:szCs w:val="16"/>
                <w:b w:val="1"/>
                <w:bCs w:val="1"/>
                <w:color w:val="auto"/>
              </w:rPr>
              <w:t>Debt Securities: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Corporate bonds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2,224</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2,224</w:t>
            </w:r>
          </w:p>
        </w:tc>
        <w:tc>
          <w:tcPr>
            <w:tcW w:w="8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2,859</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2,859</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480" w:type="dxa"/>
            <w:vAlign w:val="bottom"/>
          </w:tcPr>
          <w:p>
            <w:pPr>
              <w:jc w:val="right"/>
              <w:ind w:right="20"/>
              <w:spacing w:after="0"/>
              <w:rPr>
                <w:sz w:val="20"/>
                <w:szCs w:val="20"/>
                <w:color w:val="auto"/>
              </w:rPr>
            </w:pPr>
            <w:r>
              <w:rPr>
                <w:rFonts w:ascii="Arial" w:cs="Arial" w:eastAsia="Arial" w:hAnsi="Arial"/>
                <w:sz w:val="16"/>
                <w:szCs w:val="16"/>
                <w:color w:val="auto"/>
              </w:rPr>
              <w:t>Government and related debt securities . .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2,283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1,947</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Mortgage and asset-based securities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480" w:type="dxa"/>
            <w:vAlign w:val="bottom"/>
          </w:tcPr>
          <w:p>
            <w:pPr>
              <w:spacing w:after="0"/>
              <w:rPr>
                <w:sz w:val="20"/>
                <w:szCs w:val="20"/>
                <w:color w:val="auto"/>
              </w:rPr>
            </w:pPr>
            <w:r>
              <w:rPr>
                <w:rFonts w:ascii="Arial" w:cs="Arial" w:eastAsia="Arial" w:hAnsi="Arial"/>
                <w:sz w:val="16"/>
                <w:szCs w:val="16"/>
                <w:b w:val="1"/>
                <w:bCs w:val="1"/>
                <w:color w:val="auto"/>
              </w:rPr>
              <w:t>Alternative Investments: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Private equity . . .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1,362</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1,362</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1,284</w:t>
            </w: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1,284</w:t>
            </w:r>
          </w:p>
        </w:tc>
      </w:tr>
      <w:tr>
        <w:trPr>
          <w:trHeight w:val="205"/>
        </w:trPr>
        <w:tc>
          <w:tcPr>
            <w:tcW w:w="3480" w:type="dxa"/>
            <w:vAlign w:val="bottom"/>
          </w:tcPr>
          <w:p>
            <w:pPr>
              <w:jc w:val="right"/>
              <w:ind w:right="20"/>
              <w:spacing w:after="0"/>
              <w:rPr>
                <w:sz w:val="20"/>
                <w:szCs w:val="20"/>
                <w:color w:val="auto"/>
              </w:rPr>
            </w:pPr>
            <w:r>
              <w:rPr>
                <w:rFonts w:ascii="Arial" w:cs="Arial" w:eastAsia="Arial" w:hAnsi="Arial"/>
                <w:sz w:val="16"/>
                <w:szCs w:val="16"/>
                <w:color w:val="auto"/>
              </w:rPr>
              <w:t>Private debt . . . . . . . . . . . . . . . . . . . . . . . . .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1,041</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13"/>
        </w:trPr>
        <w:tc>
          <w:tcPr>
            <w:tcW w:w="3480" w:type="dxa"/>
            <w:vAlign w:val="bottom"/>
            <w:shd w:val="clear" w:color="auto" w:fill="CCCCCC"/>
          </w:tcPr>
          <w:p>
            <w:pPr>
              <w:jc w:val="right"/>
              <w:ind w:right="20"/>
              <w:spacing w:after="0"/>
              <w:rPr>
                <w:sz w:val="20"/>
                <w:szCs w:val="20"/>
                <w:color w:val="auto"/>
              </w:rPr>
            </w:pPr>
            <w:r>
              <w:rPr>
                <w:rFonts w:ascii="Arial" w:cs="Arial" w:eastAsia="Arial" w:hAnsi="Arial"/>
                <w:sz w:val="16"/>
                <w:szCs w:val="16"/>
                <w:color w:val="auto"/>
              </w:rPr>
              <w:t>Real estate  . . . . . . . . . . . . . . . . . . . . . . . . . .</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60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187</w:t>
            </w:r>
          </w:p>
        </w:tc>
      </w:tr>
      <w:tr>
        <w:trPr>
          <w:trHeight w:val="70"/>
        </w:trPr>
        <w:tc>
          <w:tcPr>
            <w:tcW w:w="34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r>
      <w:tr>
        <w:trPr>
          <w:trHeight w:val="191"/>
        </w:trPr>
        <w:tc>
          <w:tcPr>
            <w:tcW w:w="3480" w:type="dxa"/>
            <w:vAlign w:val="bottom"/>
          </w:tcPr>
          <w:p>
            <w:pPr>
              <w:jc w:val="right"/>
              <w:ind w:right="20"/>
              <w:spacing w:after="0"/>
              <w:rPr>
                <w:sz w:val="20"/>
                <w:szCs w:val="20"/>
                <w:color w:val="auto"/>
              </w:rPr>
            </w:pPr>
            <w:r>
              <w:rPr>
                <w:rFonts w:ascii="Arial" w:cs="Arial" w:eastAsia="Arial" w:hAnsi="Arial"/>
                <w:sz w:val="16"/>
                <w:szCs w:val="16"/>
                <w:color w:val="auto"/>
                <w:w w:val="95"/>
              </w:rPr>
              <w:t>Total  . . . . . . . . . . . . . . . . . . . . . . . . . . . . . . . . . .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8,126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1,269</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4,274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2,583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11,221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5,990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2,340</w:t>
            </w:r>
          </w:p>
        </w:tc>
      </w:tr>
      <w:tr>
        <w:trPr>
          <w:trHeight w:val="38"/>
        </w:trPr>
        <w:tc>
          <w:tcPr>
            <w:tcW w:w="3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SLB’s funding policy is to annually contribute amounts that are based upon a number of factors including the funded status of the plans, amounts that are deductible for income tax purposes, legal funding requirements and available cash flow. SLB does not expect to make any material contributions to its postretirement benefit plans in 2023.</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Postretirement Benefits Other Than Pensions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SLB provides healthcare benefits to certain former US employees who have retired.</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9360"/>
          </w:cols>
          <w:pgMar w:left="1440" w:top="1440" w:right="1440" w:bottom="836" w:gutter="0" w:footer="0" w:header="0"/>
          <w:type w:val="continuous"/>
        </w:sectPr>
      </w:pPr>
    </w:p>
    <w:bookmarkStart w:id="94" w:name="page95"/>
    <w:bookmarkEnd w:id="94"/>
    <w:p>
      <w:pPr>
        <w:spacing w:after="0" w:line="5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actuarial assumptions used to determine the accumulated postretirement benefit obligation and net periodic benefit cost for the US postretirement medical plan were as follows: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1800" w:type="dxa"/>
            <w:vAlign w:val="bottom"/>
            <w:gridSpan w:val="4"/>
          </w:tcPr>
          <w:p>
            <w:pPr>
              <w:jc w:val="center"/>
              <w:ind w:right="40"/>
              <w:spacing w:after="0"/>
              <w:rPr>
                <w:sz w:val="20"/>
                <w:szCs w:val="20"/>
                <w:color w:val="auto"/>
              </w:rPr>
            </w:pPr>
            <w:r>
              <w:rPr>
                <w:rFonts w:ascii="Arial" w:cs="Arial" w:eastAsia="Arial" w:hAnsi="Arial"/>
                <w:sz w:val="20"/>
                <w:szCs w:val="20"/>
                <w:color w:val="auto"/>
              </w:rPr>
              <w:t>Benefit Obligations</w:t>
            </w:r>
          </w:p>
        </w:tc>
        <w:tc>
          <w:tcPr>
            <w:tcW w:w="2660" w:type="dxa"/>
            <w:vAlign w:val="bottom"/>
            <w:gridSpan w:val="5"/>
          </w:tcPr>
          <w:p>
            <w:pPr>
              <w:jc w:val="center"/>
              <w:spacing w:after="0"/>
              <w:rPr>
                <w:sz w:val="20"/>
                <w:szCs w:val="20"/>
                <w:color w:val="auto"/>
              </w:rPr>
            </w:pPr>
            <w:r>
              <w:rPr>
                <w:rFonts w:ascii="Arial" w:cs="Arial" w:eastAsia="Arial" w:hAnsi="Arial"/>
                <w:sz w:val="20"/>
                <w:szCs w:val="20"/>
                <w:color w:val="auto"/>
                <w:w w:val="99"/>
              </w:rPr>
              <w:t>Net Periodic Benefit</w:t>
            </w:r>
          </w:p>
        </w:tc>
      </w:tr>
      <w:tr>
        <w:trPr>
          <w:trHeight w:val="226"/>
        </w:trPr>
        <w:tc>
          <w:tcPr>
            <w:tcW w:w="4660" w:type="dxa"/>
            <w:vAlign w:val="bottom"/>
          </w:tcPr>
          <w:p>
            <w:pPr>
              <w:spacing w:after="0"/>
              <w:rPr>
                <w:sz w:val="19"/>
                <w:szCs w:val="19"/>
                <w:color w:val="auto"/>
              </w:rPr>
            </w:pPr>
          </w:p>
        </w:tc>
        <w:tc>
          <w:tcPr>
            <w:tcW w:w="1800" w:type="dxa"/>
            <w:vAlign w:val="bottom"/>
            <w:gridSpan w:val="4"/>
          </w:tcPr>
          <w:p>
            <w:pPr>
              <w:jc w:val="center"/>
              <w:ind w:right="60"/>
              <w:spacing w:after="0" w:line="226" w:lineRule="exact"/>
              <w:rPr>
                <w:sz w:val="20"/>
                <w:szCs w:val="20"/>
                <w:color w:val="auto"/>
              </w:rPr>
            </w:pPr>
            <w:r>
              <w:rPr>
                <w:rFonts w:ascii="Arial" w:cs="Arial" w:eastAsia="Arial" w:hAnsi="Arial"/>
                <w:sz w:val="20"/>
                <w:szCs w:val="20"/>
                <w:color w:val="auto"/>
                <w:w w:val="99"/>
              </w:rPr>
              <w:t>At December 31,</w:t>
            </w:r>
          </w:p>
        </w:tc>
        <w:tc>
          <w:tcPr>
            <w:tcW w:w="2660" w:type="dxa"/>
            <w:vAlign w:val="bottom"/>
            <w:gridSpan w:val="5"/>
          </w:tcPr>
          <w:p>
            <w:pPr>
              <w:jc w:val="center"/>
              <w:spacing w:after="0" w:line="226" w:lineRule="exact"/>
              <w:rPr>
                <w:sz w:val="20"/>
                <w:szCs w:val="20"/>
                <w:color w:val="auto"/>
              </w:rPr>
            </w:pPr>
            <w:r>
              <w:rPr>
                <w:rFonts w:ascii="Arial" w:cs="Arial" w:eastAsia="Arial" w:hAnsi="Arial"/>
                <w:sz w:val="20"/>
                <w:szCs w:val="20"/>
                <w:color w:val="auto"/>
              </w:rPr>
              <w:t>Cost for the Year</w:t>
            </w:r>
          </w:p>
        </w:tc>
      </w:tr>
      <w:tr>
        <w:trPr>
          <w:trHeight w:val="28"/>
        </w:trPr>
        <w:tc>
          <w:tcPr>
            <w:tcW w:w="4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2"/>
        </w:trPr>
        <w:tc>
          <w:tcPr>
            <w:tcW w:w="466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8"/>
              </w:rPr>
              <w:t>2021</w:t>
            </w:r>
          </w:p>
        </w:tc>
        <w:tc>
          <w:tcPr>
            <w:tcW w:w="6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color w:val="auto"/>
              </w:rPr>
              <w:t>2020</w:t>
            </w:r>
          </w:p>
        </w:tc>
      </w:tr>
      <w:tr>
        <w:trPr>
          <w:trHeight w:val="28"/>
        </w:trPr>
        <w:tc>
          <w:tcPr>
            <w:tcW w:w="4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4660" w:type="dxa"/>
            <w:vAlign w:val="bottom"/>
            <w:shd w:val="clear" w:color="auto" w:fill="CCCCCC"/>
          </w:tcPr>
          <w:p>
            <w:pPr>
              <w:spacing w:after="0"/>
              <w:rPr>
                <w:sz w:val="20"/>
                <w:szCs w:val="20"/>
                <w:color w:val="auto"/>
              </w:rPr>
            </w:pPr>
            <w:r>
              <w:rPr>
                <w:rFonts w:ascii="Arial" w:cs="Arial" w:eastAsia="Arial" w:hAnsi="Arial"/>
                <w:sz w:val="20"/>
                <w:szCs w:val="20"/>
                <w:color w:val="auto"/>
                <w:highlight w:val="lightGray"/>
                <w:w w:val="97"/>
              </w:rPr>
              <w:t>Discount rate . . . . . . . . . . . . . . . . . . . . . . . . . . . . . . . .</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rPr>
              <w:t>5.50%</w:t>
            </w:r>
          </w:p>
        </w:tc>
        <w:tc>
          <w:tcPr>
            <w:tcW w:w="60" w:type="dxa"/>
            <w:vAlign w:val="bottom"/>
            <w:shd w:val="clear" w:color="auto" w:fill="CCCCCC"/>
          </w:tcPr>
          <w:p>
            <w:pPr>
              <w:spacing w:after="0"/>
              <w:rPr>
                <w:sz w:val="23"/>
                <w:szCs w:val="23"/>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3.00%</w:t>
            </w:r>
          </w:p>
        </w:tc>
        <w:tc>
          <w:tcPr>
            <w:tcW w:w="60" w:type="dxa"/>
            <w:vAlign w:val="bottom"/>
            <w:shd w:val="clear" w:color="auto" w:fill="CCCCCC"/>
          </w:tcPr>
          <w:p>
            <w:pPr>
              <w:spacing w:after="0"/>
              <w:rPr>
                <w:sz w:val="23"/>
                <w:szCs w:val="23"/>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rPr>
              <w:t>3.00%</w:t>
            </w:r>
          </w:p>
        </w:tc>
        <w:tc>
          <w:tcPr>
            <w:tcW w:w="60" w:type="dxa"/>
            <w:vAlign w:val="bottom"/>
            <w:shd w:val="clear" w:color="auto" w:fill="CCCCCC"/>
          </w:tcPr>
          <w:p>
            <w:pPr>
              <w:spacing w:after="0"/>
              <w:rPr>
                <w:sz w:val="23"/>
                <w:szCs w:val="23"/>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2.60%</w:t>
            </w:r>
          </w:p>
        </w:tc>
        <w:tc>
          <w:tcPr>
            <w:tcW w:w="60" w:type="dxa"/>
            <w:vAlign w:val="bottom"/>
            <w:shd w:val="clear" w:color="auto" w:fill="CCCCCC"/>
          </w:tcPr>
          <w:p>
            <w:pPr>
              <w:spacing w:after="0"/>
              <w:rPr>
                <w:sz w:val="23"/>
                <w:szCs w:val="23"/>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3.30%</w:t>
            </w:r>
          </w:p>
        </w:tc>
      </w:tr>
      <w:tr>
        <w:trPr>
          <w:trHeight w:val="280"/>
        </w:trPr>
        <w:tc>
          <w:tcPr>
            <w:tcW w:w="4660" w:type="dxa"/>
            <w:vAlign w:val="bottom"/>
          </w:tcPr>
          <w:p>
            <w:pPr>
              <w:spacing w:after="0"/>
              <w:rPr>
                <w:sz w:val="20"/>
                <w:szCs w:val="20"/>
                <w:color w:val="auto"/>
              </w:rPr>
            </w:pPr>
            <w:r>
              <w:rPr>
                <w:rFonts w:ascii="Arial" w:cs="Arial" w:eastAsia="Arial" w:hAnsi="Arial"/>
                <w:sz w:val="20"/>
                <w:szCs w:val="20"/>
                <w:color w:val="auto"/>
                <w:w w:val="98"/>
              </w:rPr>
              <w:t>Return on plan assets . . . . . . . . . . . . . . . . . . . . . . . . .</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2.94%</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6.21%</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6.21%</w:t>
            </w:r>
          </w:p>
        </w:tc>
      </w:tr>
      <w:tr>
        <w:trPr>
          <w:trHeight w:val="280"/>
        </w:trPr>
        <w:tc>
          <w:tcPr>
            <w:tcW w:w="4660" w:type="dxa"/>
            <w:vAlign w:val="bottom"/>
            <w:shd w:val="clear" w:color="auto" w:fill="CCCCCC"/>
          </w:tcPr>
          <w:p>
            <w:pPr>
              <w:spacing w:after="0"/>
              <w:rPr>
                <w:sz w:val="20"/>
                <w:szCs w:val="20"/>
                <w:color w:val="auto"/>
              </w:rPr>
            </w:pPr>
            <w:r>
              <w:rPr>
                <w:rFonts w:ascii="Arial" w:cs="Arial" w:eastAsia="Arial" w:hAnsi="Arial"/>
                <w:sz w:val="20"/>
                <w:szCs w:val="20"/>
                <w:color w:val="auto"/>
                <w:highlight w:val="lightGray"/>
              </w:rPr>
              <w:t>Current medical cost trend rate . . . . . . . . . . . . . . . . .</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rPr>
              <w:t>7.50%</w:t>
            </w:r>
          </w:p>
        </w:tc>
        <w:tc>
          <w:tcPr>
            <w:tcW w:w="6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6.75%</w:t>
            </w:r>
          </w:p>
        </w:tc>
        <w:tc>
          <w:tcPr>
            <w:tcW w:w="60" w:type="dxa"/>
            <w:vAlign w:val="bottom"/>
            <w:shd w:val="clear" w:color="auto" w:fill="CCCCCC"/>
          </w:tcPr>
          <w:p>
            <w:pPr>
              <w:spacing w:after="0"/>
              <w:rPr>
                <w:sz w:val="24"/>
                <w:szCs w:val="24"/>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highlight w:val="lightGray"/>
              </w:rPr>
              <w:t>6.75%</w:t>
            </w:r>
          </w:p>
        </w:tc>
        <w:tc>
          <w:tcPr>
            <w:tcW w:w="6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7.00%</w:t>
            </w:r>
          </w:p>
        </w:tc>
        <w:tc>
          <w:tcPr>
            <w:tcW w:w="60" w:type="dxa"/>
            <w:vAlign w:val="bottom"/>
            <w:shd w:val="clear" w:color="auto" w:fill="CCCCCC"/>
          </w:tcPr>
          <w:p>
            <w:pPr>
              <w:spacing w:after="0"/>
              <w:rPr>
                <w:sz w:val="24"/>
                <w:szCs w:val="24"/>
                <w:color w:val="auto"/>
              </w:rPr>
            </w:pP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highlight w:val="lightGray"/>
              </w:rPr>
              <w:t>7.25%</w:t>
            </w:r>
          </w:p>
        </w:tc>
      </w:tr>
      <w:tr>
        <w:trPr>
          <w:trHeight w:val="280"/>
        </w:trPr>
        <w:tc>
          <w:tcPr>
            <w:tcW w:w="4660" w:type="dxa"/>
            <w:vAlign w:val="bottom"/>
          </w:tcPr>
          <w:p>
            <w:pPr>
              <w:spacing w:after="0"/>
              <w:rPr>
                <w:sz w:val="20"/>
                <w:szCs w:val="20"/>
                <w:color w:val="auto"/>
              </w:rPr>
            </w:pPr>
            <w:r>
              <w:rPr>
                <w:rFonts w:ascii="Arial" w:cs="Arial" w:eastAsia="Arial" w:hAnsi="Arial"/>
                <w:sz w:val="20"/>
                <w:szCs w:val="20"/>
                <w:color w:val="auto"/>
                <w:w w:val="99"/>
              </w:rPr>
              <w:t>Ultimate medical cost trend rate  . . . . . . . . . . . . . . . .</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4.50%</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4.50%</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4.50%</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4.50%</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4.50%</w:t>
            </w:r>
          </w:p>
        </w:tc>
      </w:tr>
      <w:tr>
        <w:trPr>
          <w:trHeight w:val="280"/>
        </w:trPr>
        <w:tc>
          <w:tcPr>
            <w:tcW w:w="4660" w:type="dxa"/>
            <w:vAlign w:val="bottom"/>
            <w:shd w:val="clear" w:color="auto" w:fill="CCCCCC"/>
          </w:tcPr>
          <w:p>
            <w:pPr>
              <w:spacing w:after="0"/>
              <w:rPr>
                <w:sz w:val="20"/>
                <w:szCs w:val="20"/>
                <w:color w:val="auto"/>
              </w:rPr>
            </w:pPr>
            <w:r>
              <w:rPr>
                <w:rFonts w:ascii="Arial" w:cs="Arial" w:eastAsia="Arial" w:hAnsi="Arial"/>
                <w:sz w:val="20"/>
                <w:szCs w:val="20"/>
                <w:color w:val="auto"/>
              </w:rPr>
              <w:t>Year that the rate reaches the ultimate trend rate . .</w:t>
            </w:r>
          </w:p>
        </w:tc>
        <w:tc>
          <w:tcPr>
            <w:tcW w:w="9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2035</w:t>
            </w:r>
          </w:p>
        </w:tc>
        <w:tc>
          <w:tcPr>
            <w:tcW w:w="9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2031</w:t>
            </w:r>
          </w:p>
        </w:tc>
        <w:tc>
          <w:tcPr>
            <w:tcW w:w="9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2031</w:t>
            </w:r>
          </w:p>
        </w:tc>
        <w:tc>
          <w:tcPr>
            <w:tcW w:w="90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2031</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2031</w:t>
            </w:r>
          </w:p>
        </w:tc>
      </w:tr>
    </w:tbl>
    <w:p>
      <w:pPr>
        <w:spacing w:after="0" w:line="29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net periodic benefit credit for the US postretirement medical plan included the following components: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70"/>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22"/>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20"/>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4"/>
                <w:szCs w:val="24"/>
                <w:color w:val="auto"/>
              </w:rPr>
            </w:pPr>
          </w:p>
        </w:tc>
      </w:tr>
      <w:tr>
        <w:trPr>
          <w:trHeight w:val="28"/>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460" w:type="dxa"/>
            <w:vAlign w:val="bottom"/>
            <w:shd w:val="clear" w:color="auto" w:fill="CCCCCC"/>
          </w:tcPr>
          <w:p>
            <w:pPr>
              <w:spacing w:after="0"/>
              <w:rPr>
                <w:sz w:val="20"/>
                <w:szCs w:val="20"/>
                <w:color w:val="auto"/>
              </w:rPr>
            </w:pPr>
            <w:r>
              <w:rPr>
                <w:rFonts w:ascii="Arial" w:cs="Arial" w:eastAsia="Arial" w:hAnsi="Arial"/>
                <w:sz w:val="20"/>
                <w:szCs w:val="20"/>
                <w:color w:val="auto"/>
              </w:rPr>
              <w:t>Service cost . . . . . . . . . . . . . . . . . . . . . . . . . . . . . . . . . . . . . . .</w:t>
            </w:r>
          </w:p>
        </w:tc>
        <w:tc>
          <w:tcPr>
            <w:tcW w:w="2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104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23</w:t>
            </w:r>
          </w:p>
        </w:tc>
        <w:tc>
          <w:tcPr>
            <w:tcW w:w="22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28</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31</w:t>
            </w:r>
          </w:p>
        </w:tc>
      </w:tr>
      <w:tr>
        <w:trPr>
          <w:trHeight w:val="280"/>
        </w:trPr>
        <w:tc>
          <w:tcPr>
            <w:tcW w:w="5460" w:type="dxa"/>
            <w:vAlign w:val="bottom"/>
          </w:tcPr>
          <w:p>
            <w:pPr>
              <w:spacing w:after="0"/>
              <w:rPr>
                <w:sz w:val="20"/>
                <w:szCs w:val="20"/>
                <w:color w:val="auto"/>
              </w:rPr>
            </w:pPr>
            <w:r>
              <w:rPr>
                <w:rFonts w:ascii="Arial" w:cs="Arial" w:eastAsia="Arial" w:hAnsi="Arial"/>
                <w:sz w:val="20"/>
                <w:szCs w:val="20"/>
                <w:color w:val="auto"/>
              </w:rPr>
              <w:t>Interest cost . . . . . . . . . . . . . . . . . . . . . . . . . . . . . . . . . . . . . . .</w:t>
            </w:r>
          </w:p>
        </w:tc>
        <w:tc>
          <w:tcPr>
            <w:tcW w:w="2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33</w:t>
            </w:r>
          </w:p>
        </w:tc>
        <w:tc>
          <w:tcPr>
            <w:tcW w:w="2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32</w:t>
            </w:r>
          </w:p>
        </w:tc>
        <w:tc>
          <w:tcPr>
            <w:tcW w:w="2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36</w:t>
            </w:r>
          </w:p>
        </w:tc>
      </w:tr>
      <w:tr>
        <w:trPr>
          <w:trHeight w:val="280"/>
        </w:trPr>
        <w:tc>
          <w:tcPr>
            <w:tcW w:w="5460" w:type="dxa"/>
            <w:vAlign w:val="bottom"/>
            <w:shd w:val="clear" w:color="auto" w:fill="CCCCCC"/>
          </w:tcPr>
          <w:p>
            <w:pPr>
              <w:spacing w:after="0"/>
              <w:rPr>
                <w:sz w:val="20"/>
                <w:szCs w:val="20"/>
                <w:color w:val="auto"/>
              </w:rPr>
            </w:pPr>
            <w:r>
              <w:rPr>
                <w:rFonts w:ascii="Arial" w:cs="Arial" w:eastAsia="Arial" w:hAnsi="Arial"/>
                <w:sz w:val="20"/>
                <w:szCs w:val="20"/>
                <w:color w:val="auto"/>
              </w:rPr>
              <w:t>Expected return on plan assets . . . . . . . . . . . . . . . . . . . . . . .</w:t>
            </w:r>
          </w:p>
        </w:tc>
        <w:tc>
          <w:tcPr>
            <w:tcW w:w="220" w:type="dxa"/>
            <w:vAlign w:val="bottom"/>
            <w:shd w:val="clear" w:color="auto" w:fill="CCCCCC"/>
          </w:tcPr>
          <w:p>
            <w:pPr>
              <w:spacing w:after="0"/>
              <w:rPr>
                <w:sz w:val="24"/>
                <w:szCs w:val="24"/>
                <w:color w:val="auto"/>
              </w:rPr>
            </w:pPr>
          </w:p>
        </w:tc>
        <w:tc>
          <w:tcPr>
            <w:tcW w:w="104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(38)</w:t>
            </w:r>
          </w:p>
        </w:tc>
        <w:tc>
          <w:tcPr>
            <w:tcW w:w="220" w:type="dxa"/>
            <w:vAlign w:val="bottom"/>
            <w:shd w:val="clear" w:color="auto" w:fill="CCCCCC"/>
          </w:tcPr>
          <w:p>
            <w:pPr>
              <w:spacing w:after="0"/>
              <w:rPr>
                <w:sz w:val="24"/>
                <w:szCs w:val="24"/>
                <w:color w:val="auto"/>
              </w:rPr>
            </w:pPr>
          </w:p>
        </w:tc>
        <w:tc>
          <w:tcPr>
            <w:tcW w:w="106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(73)</w:t>
            </w:r>
          </w:p>
        </w:tc>
        <w:tc>
          <w:tcPr>
            <w:tcW w:w="20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(70)</w:t>
            </w:r>
          </w:p>
        </w:tc>
      </w:tr>
      <w:tr>
        <w:trPr>
          <w:trHeight w:val="280"/>
        </w:trPr>
        <w:tc>
          <w:tcPr>
            <w:tcW w:w="5460" w:type="dxa"/>
            <w:vAlign w:val="bottom"/>
          </w:tcPr>
          <w:p>
            <w:pPr>
              <w:spacing w:after="0"/>
              <w:rPr>
                <w:sz w:val="20"/>
                <w:szCs w:val="20"/>
                <w:color w:val="auto"/>
              </w:rPr>
            </w:pPr>
            <w:r>
              <w:rPr>
                <w:rFonts w:ascii="Arial" w:cs="Arial" w:eastAsia="Arial" w:hAnsi="Arial"/>
                <w:sz w:val="20"/>
                <w:szCs w:val="20"/>
                <w:color w:val="auto"/>
              </w:rPr>
              <w:t>Amortization of prior service credit . . . . . . . . . . . . . . . . . . . . .</w:t>
            </w:r>
          </w:p>
        </w:tc>
        <w:tc>
          <w:tcPr>
            <w:tcW w:w="2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(23)</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(23)</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80"/>
        </w:trPr>
        <w:tc>
          <w:tcPr>
            <w:tcW w:w="5460" w:type="dxa"/>
            <w:vAlign w:val="bottom"/>
            <w:shd w:val="clear" w:color="auto" w:fill="CCCCCC"/>
          </w:tcPr>
          <w:p>
            <w:pPr>
              <w:spacing w:after="0"/>
              <w:rPr>
                <w:sz w:val="20"/>
                <w:szCs w:val="20"/>
                <w:color w:val="auto"/>
              </w:rPr>
            </w:pPr>
            <w:r>
              <w:rPr>
                <w:rFonts w:ascii="Arial" w:cs="Arial" w:eastAsia="Arial" w:hAnsi="Arial"/>
                <w:sz w:val="20"/>
                <w:szCs w:val="20"/>
                <w:color w:val="auto"/>
              </w:rPr>
              <w:t>Amortization of net loss . . . . . . . . . . . . . . . . . . . . . . . . . . . . . .</w:t>
            </w:r>
          </w:p>
        </w:tc>
        <w:tc>
          <w:tcPr>
            <w:tcW w:w="220" w:type="dxa"/>
            <w:vAlign w:val="bottom"/>
            <w:shd w:val="clear" w:color="auto" w:fill="CCCCCC"/>
          </w:tcPr>
          <w:p>
            <w:pPr>
              <w:spacing w:after="0"/>
              <w:rPr>
                <w:sz w:val="24"/>
                <w:szCs w:val="24"/>
                <w:color w:val="auto"/>
              </w:rPr>
            </w:pPr>
          </w:p>
        </w:tc>
        <w:tc>
          <w:tcPr>
            <w:tcW w:w="104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(10)</w:t>
            </w:r>
          </w:p>
        </w:tc>
        <w:tc>
          <w:tcPr>
            <w:tcW w:w="220" w:type="dxa"/>
            <w:vAlign w:val="bottom"/>
            <w:shd w:val="clear" w:color="auto" w:fill="CCCCCC"/>
          </w:tcPr>
          <w:p>
            <w:pPr>
              <w:spacing w:after="0"/>
              <w:rPr>
                <w:sz w:val="24"/>
                <w:szCs w:val="24"/>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CCCC"/>
          </w:tcPr>
          <w:p>
            <w:pPr>
              <w:spacing w:after="0"/>
              <w:rPr>
                <w:sz w:val="24"/>
                <w:szCs w:val="24"/>
                <w:color w:val="auto"/>
              </w:rPr>
            </w:pPr>
          </w:p>
        </w:tc>
      </w:tr>
      <w:tr>
        <w:trPr>
          <w:trHeight w:val="282"/>
        </w:trPr>
        <w:tc>
          <w:tcPr>
            <w:tcW w:w="5460" w:type="dxa"/>
            <w:vAlign w:val="bottom"/>
          </w:tcPr>
          <w:p>
            <w:pPr>
              <w:spacing w:after="0"/>
              <w:rPr>
                <w:sz w:val="20"/>
                <w:szCs w:val="20"/>
                <w:color w:val="auto"/>
              </w:rPr>
            </w:pPr>
            <w:r>
              <w:rPr>
                <w:rFonts w:ascii="Arial" w:cs="Arial" w:eastAsia="Arial" w:hAnsi="Arial"/>
                <w:sz w:val="20"/>
                <w:szCs w:val="20"/>
                <w:color w:val="auto"/>
              </w:rPr>
              <w:t>Curtailment gain  . . . . . . . . . . . . . . . . . . . . . . . . . . . . . . . . . . .</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(69)</w:t>
            </w:r>
          </w:p>
        </w:tc>
      </w:tr>
      <w:tr>
        <w:trPr>
          <w:trHeight w:val="68"/>
        </w:trPr>
        <w:tc>
          <w:tcPr>
            <w:tcW w:w="54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5460" w:type="dxa"/>
            <w:vAlign w:val="bottom"/>
            <w:shd w:val="clear" w:color="auto" w:fill="CCCCCC"/>
          </w:tcPr>
          <w:p>
            <w:pPr>
              <w:spacing w:after="0"/>
              <w:rPr>
                <w:sz w:val="23"/>
                <w:szCs w:val="23"/>
                <w:color w:val="auto"/>
              </w:rPr>
            </w:pPr>
          </w:p>
        </w:tc>
        <w:tc>
          <w:tcPr>
            <w:tcW w:w="2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84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(15)</w:t>
            </w:r>
          </w:p>
        </w:tc>
        <w:tc>
          <w:tcPr>
            <w:tcW w:w="200" w:type="dxa"/>
            <w:vAlign w:val="bottom"/>
            <w:shd w:val="clear" w:color="auto" w:fill="CCCCCC"/>
          </w:tcPr>
          <w:p>
            <w:pPr>
              <w:spacing w:after="0"/>
              <w:rPr>
                <w:sz w:val="23"/>
                <w:szCs w:val="23"/>
                <w:color w:val="auto"/>
              </w:rPr>
            </w:pPr>
          </w:p>
        </w:tc>
        <w:tc>
          <w:tcPr>
            <w:tcW w:w="22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(36)</w:t>
            </w: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(97)</w:t>
            </w:r>
          </w:p>
        </w:tc>
        <w:tc>
          <w:tcPr>
            <w:tcW w:w="60" w:type="dxa"/>
            <w:vAlign w:val="bottom"/>
            <w:shd w:val="clear" w:color="auto" w:fill="CCCCCC"/>
          </w:tcPr>
          <w:p>
            <w:pPr>
              <w:spacing w:after="0"/>
              <w:rPr>
                <w:sz w:val="23"/>
                <w:szCs w:val="23"/>
                <w:color w:val="auto"/>
              </w:rPr>
            </w:pPr>
          </w:p>
        </w:tc>
      </w:tr>
      <w:tr>
        <w:trPr>
          <w:trHeight w:val="70"/>
        </w:trPr>
        <w:tc>
          <w:tcPr>
            <w:tcW w:w="54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Due to the actions taken by SLB to reduce its global workforce during 2020, SLB experienced a significant reduction in the expected aggregate years of future service of its employees in its US postretirement medical plan. Accordingly, SLB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SLB performed a remeasurement of the plan, which had an immaterial impact. This gain was classified in </w:t>
      </w:r>
      <w:r>
        <w:rPr>
          <w:rFonts w:ascii="Arial" w:cs="Arial" w:eastAsia="Arial" w:hAnsi="Arial"/>
          <w:sz w:val="20"/>
          <w:szCs w:val="20"/>
          <w:i w:val="1"/>
          <w:iCs w:val="1"/>
          <w:color w:val="auto"/>
        </w:rPr>
        <w:t xml:space="preserve">Impairments &amp; other </w:t>
      </w:r>
      <w:r>
        <w:rPr>
          <w:rFonts w:ascii="Arial" w:cs="Arial" w:eastAsia="Arial" w:hAnsi="Arial"/>
          <w:sz w:val="20"/>
          <w:szCs w:val="20"/>
          <w:color w:val="auto"/>
        </w:rPr>
        <w:t>in the</w:t>
      </w:r>
      <w:r>
        <w:rPr>
          <w:rFonts w:ascii="Arial" w:cs="Arial" w:eastAsia="Arial" w:hAnsi="Arial"/>
          <w:sz w:val="20"/>
          <w:szCs w:val="20"/>
          <w:i w:val="1"/>
          <w:iCs w:val="1"/>
          <w:color w:val="auto"/>
        </w:rPr>
        <w:t xml:space="preserve"> Consolidated Statement of Income (Loss)</w:t>
      </w:r>
      <w:r>
        <w:rPr>
          <w:rFonts w:ascii="Arial" w:cs="Arial" w:eastAsia="Arial" w:hAnsi="Arial"/>
          <w:sz w:val="20"/>
          <w:szCs w:val="20"/>
          <w:color w:val="auto"/>
        </w:rPr>
        <w:t>. See Note 3 –</w:t>
      </w:r>
      <w:r>
        <w:rPr>
          <w:rFonts w:ascii="Arial" w:cs="Arial" w:eastAsia="Arial" w:hAnsi="Arial"/>
          <w:sz w:val="20"/>
          <w:szCs w:val="20"/>
          <w:i w:val="1"/>
          <w:iCs w:val="1"/>
          <w:color w:val="auto"/>
        </w:rPr>
        <w:t xml:space="preserve"> Charges and Credits</w:t>
      </w:r>
      <w:r>
        <w:rPr>
          <w:rFonts w:ascii="Arial" w:cs="Arial" w:eastAsia="Arial" w:hAnsi="Arial"/>
          <w:sz w:val="20"/>
          <w:szCs w:val="20"/>
          <w:color w:val="auto"/>
        </w:rPr>
        <w:t>.</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9360"/>
          </w:cols>
          <w:pgMar w:left="1440" w:top="1440" w:right="1440" w:bottom="836" w:gutter="0" w:footer="0" w:header="0"/>
          <w:type w:val="continuous"/>
        </w:sectPr>
      </w:pPr>
    </w:p>
    <w:bookmarkStart w:id="95" w:name="page96"/>
    <w:bookmarkEnd w:id="95"/>
    <w:p>
      <w:pPr>
        <w:spacing w:after="0" w:line="56"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changes in the accumulated postretirement benefit obligation, plan assets and funded status were as follows: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jc w:val="right"/>
              <w:ind w:right="60"/>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468"/>
        </w:trPr>
        <w:tc>
          <w:tcPr>
            <w:tcW w:w="6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81"/>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Change in Accumulated Postretirement Benefit Obligation:</w:t>
            </w:r>
          </w:p>
        </w:tc>
        <w:tc>
          <w:tcPr>
            <w:tcW w:w="200" w:type="dxa"/>
            <w:vAlign w:val="bottom"/>
            <w:shd w:val="clear" w:color="auto" w:fill="CCCCCC"/>
          </w:tcPr>
          <w:p>
            <w:pPr>
              <w:spacing w:after="0"/>
              <w:rPr>
                <w:sz w:val="23"/>
                <w:szCs w:val="23"/>
                <w:color w:val="auto"/>
              </w:rPr>
            </w:pPr>
          </w:p>
        </w:tc>
        <w:tc>
          <w:tcPr>
            <w:tcW w:w="80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82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rPr>
              <w:t>Benefit obligation at beginning of year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1,146</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1,234</w:t>
            </w:r>
          </w:p>
        </w:tc>
        <w:tc>
          <w:tcPr>
            <w:tcW w:w="0" w:type="dxa"/>
            <w:vAlign w:val="bottom"/>
          </w:tcPr>
          <w:p>
            <w:pPr>
              <w:spacing w:after="0"/>
              <w:rPr>
                <w:sz w:val="1"/>
                <w:szCs w:val="1"/>
                <w:color w:val="auto"/>
              </w:rPr>
            </w:pP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w w:val="99"/>
              </w:rPr>
              <w:t>Service cost . . . . . . . . . . . . . . . . . . . . . . . . . . . . . . . . . . . . . . . . . . . . . . . . . . . .</w:t>
            </w:r>
          </w:p>
        </w:tc>
        <w:tc>
          <w:tcPr>
            <w:tcW w:w="2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23</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w w:val="99"/>
              </w:rPr>
              <w:t>Interest cost . . . . . . . . . . . . . . . . . . . . . . . . . . . . . . . . . . . . . . . . . . . . . . . . . . . .</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rPr>
              <w:t>Contribution by plan participants . . . . . . . . . . . . . . . . . . . . . . . . . . . . . . . . . . .</w:t>
            </w:r>
          </w:p>
        </w:tc>
        <w:tc>
          <w:tcPr>
            <w:tcW w:w="200" w:type="dxa"/>
            <w:vAlign w:val="bottom"/>
            <w:shd w:val="clear" w:color="auto" w:fill="CCCCCC"/>
          </w:tcPr>
          <w:p>
            <w:pPr>
              <w:spacing w:after="0"/>
              <w:rPr>
                <w:sz w:val="24"/>
                <w:szCs w:val="2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9</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w w:val="99"/>
              </w:rPr>
              <w:t>Actuarial gains . . . . . . . . . . . . . . . . . . . . . . . . . . . . . . . . . . . . . . . . . . . . . . . . . .</w:t>
            </w:r>
          </w:p>
        </w:tc>
        <w:tc>
          <w:tcPr>
            <w:tcW w:w="2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(338)</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w w:val="99"/>
              </w:rPr>
              <w:t>Benefits paid . . . . . . . . . . . . . . . . . . . . . . . . . . . . . . . . . . . . . . . . . . . . . . . . . . .</w:t>
            </w: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(65)</w:t>
            </w:r>
          </w:p>
        </w:tc>
        <w:tc>
          <w:tcPr>
            <w:tcW w:w="200" w:type="dxa"/>
            <w:vAlign w:val="bottom"/>
            <w:shd w:val="clear" w:color="auto" w:fill="CCCCCC"/>
          </w:tcPr>
          <w:p>
            <w:pPr>
              <w:spacing w:after="0"/>
              <w:rPr>
                <w:sz w:val="24"/>
                <w:szCs w:val="24"/>
                <w:color w:val="auto"/>
              </w:rPr>
            </w:pPr>
          </w:p>
        </w:tc>
        <w:tc>
          <w:tcPr>
            <w:tcW w:w="88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70"/>
        </w:trPr>
        <w:tc>
          <w:tcPr>
            <w:tcW w:w="68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0"/>
                <w:szCs w:val="20"/>
                <w:color w:val="auto"/>
              </w:rPr>
              <w:t>Benefit obligation at end of year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808</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1,146</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rPr>
              <w:t>Change in Plan Assets:</w:t>
            </w:r>
          </w:p>
        </w:tc>
        <w:tc>
          <w:tcPr>
            <w:tcW w:w="200" w:type="dxa"/>
            <w:vAlign w:val="bottom"/>
            <w:shd w:val="clear" w:color="auto" w:fill="CCCCCC"/>
          </w:tcPr>
          <w:p>
            <w:pPr>
              <w:spacing w:after="0"/>
              <w:rPr>
                <w:sz w:val="23"/>
                <w:szCs w:val="23"/>
                <w:color w:val="auto"/>
              </w:rPr>
            </w:pPr>
          </w:p>
        </w:tc>
        <w:tc>
          <w:tcPr>
            <w:tcW w:w="80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spacing w:after="0"/>
              <w:rPr>
                <w:sz w:val="23"/>
                <w:szCs w:val="23"/>
                <w:color w:val="auto"/>
              </w:rPr>
            </w:pPr>
          </w:p>
        </w:tc>
        <w:tc>
          <w:tcPr>
            <w:tcW w:w="820" w:type="dxa"/>
            <w:vAlign w:val="bottom"/>
            <w:shd w:val="clear" w:color="auto" w:fill="CCCCCC"/>
          </w:tcPr>
          <w:p>
            <w:pPr>
              <w:spacing w:after="0"/>
              <w:rPr>
                <w:sz w:val="23"/>
                <w:szCs w:val="23"/>
                <w:color w:val="auto"/>
              </w:rPr>
            </w:pPr>
          </w:p>
        </w:tc>
        <w:tc>
          <w:tcPr>
            <w:tcW w:w="6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rPr>
              <w:t>Plan assets at fair value at beginning of year . . . . . . . . . . . . . . . . . . . . . . . . .</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1,318</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1,356</w:t>
            </w:r>
          </w:p>
        </w:tc>
        <w:tc>
          <w:tcPr>
            <w:tcW w:w="0" w:type="dxa"/>
            <w:vAlign w:val="bottom"/>
          </w:tcPr>
          <w:p>
            <w:pPr>
              <w:spacing w:after="0"/>
              <w:rPr>
                <w:sz w:val="1"/>
                <w:szCs w:val="1"/>
                <w:color w:val="auto"/>
              </w:rPr>
            </w:pP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rPr>
              <w:t>Actual return on plan assets . . . . . . . . . . . . . . . . . . . . . . . . . . . . . . . . . . . . . . .</w:t>
            </w: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(323)</w:t>
            </w:r>
          </w:p>
        </w:tc>
        <w:tc>
          <w:tcPr>
            <w:tcW w:w="200" w:type="dxa"/>
            <w:vAlign w:val="bottom"/>
            <w:shd w:val="clear" w:color="auto" w:fill="CCCCCC"/>
          </w:tcPr>
          <w:p>
            <w:pPr>
              <w:spacing w:after="0"/>
              <w:rPr>
                <w:sz w:val="24"/>
                <w:szCs w:val="24"/>
                <w:color w:val="auto"/>
              </w:rPr>
            </w:pP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0"/>
        </w:trPr>
        <w:tc>
          <w:tcPr>
            <w:tcW w:w="6840" w:type="dxa"/>
            <w:vAlign w:val="bottom"/>
          </w:tcPr>
          <w:p>
            <w:pPr>
              <w:spacing w:after="0"/>
              <w:rPr>
                <w:sz w:val="20"/>
                <w:szCs w:val="20"/>
                <w:color w:val="auto"/>
              </w:rPr>
            </w:pPr>
            <w:r>
              <w:rPr>
                <w:rFonts w:ascii="Arial" w:cs="Arial" w:eastAsia="Arial" w:hAnsi="Arial"/>
                <w:sz w:val="20"/>
                <w:szCs w:val="20"/>
                <w:color w:val="auto"/>
              </w:rPr>
              <w:t>Contributions by plan participants . . . . . . . . . . . . . . . . . . . . . . . . . . . . . . . . . .</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w w:val="99"/>
              </w:rPr>
              <w:t>Benefits paid . . . . . . . . . . . . . . . . . . . . . . . . . . . . . . . . . . . . . . . . . . . . . . . . . . .</w:t>
            </w: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b w:val="1"/>
                <w:bCs w:val="1"/>
                <w:color w:val="auto"/>
              </w:rPr>
              <w:t>(65)</w:t>
            </w:r>
          </w:p>
        </w:tc>
        <w:tc>
          <w:tcPr>
            <w:tcW w:w="200" w:type="dxa"/>
            <w:vAlign w:val="bottom"/>
            <w:shd w:val="clear" w:color="auto" w:fill="CCCCCC"/>
          </w:tcPr>
          <w:p>
            <w:pPr>
              <w:spacing w:after="0"/>
              <w:rPr>
                <w:sz w:val="24"/>
                <w:szCs w:val="24"/>
                <w:color w:val="auto"/>
              </w:rPr>
            </w:pPr>
          </w:p>
        </w:tc>
        <w:tc>
          <w:tcPr>
            <w:tcW w:w="88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70"/>
        </w:trPr>
        <w:tc>
          <w:tcPr>
            <w:tcW w:w="68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840" w:type="dxa"/>
            <w:vAlign w:val="bottom"/>
          </w:tcPr>
          <w:p>
            <w:pPr>
              <w:spacing w:after="0"/>
              <w:rPr>
                <w:sz w:val="20"/>
                <w:szCs w:val="20"/>
                <w:color w:val="auto"/>
              </w:rPr>
            </w:pPr>
            <w:r>
              <w:rPr>
                <w:rFonts w:ascii="Arial" w:cs="Arial" w:eastAsia="Arial" w:hAnsi="Arial"/>
                <w:sz w:val="20"/>
                <w:szCs w:val="20"/>
                <w:color w:val="auto"/>
              </w:rPr>
              <w:t>Plan assets at fair value at end of year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938</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1,318</w:t>
            </w:r>
          </w:p>
        </w:tc>
        <w:tc>
          <w:tcPr>
            <w:tcW w:w="0" w:type="dxa"/>
            <w:vAlign w:val="bottom"/>
          </w:tcPr>
          <w:p>
            <w:pPr>
              <w:spacing w:after="0"/>
              <w:rPr>
                <w:sz w:val="1"/>
                <w:szCs w:val="1"/>
                <w:color w:val="auto"/>
              </w:rPr>
            </w:pPr>
          </w:p>
        </w:tc>
      </w:tr>
      <w:tr>
        <w:trPr>
          <w:trHeight w:val="28"/>
        </w:trPr>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CCCCCC"/>
          </w:tcPr>
          <w:p>
            <w:pPr>
              <w:spacing w:after="0"/>
              <w:rPr>
                <w:sz w:val="20"/>
                <w:szCs w:val="20"/>
                <w:color w:val="auto"/>
              </w:rPr>
            </w:pPr>
            <w:r>
              <w:rPr>
                <w:rFonts w:ascii="Arial" w:cs="Arial" w:eastAsia="Arial" w:hAnsi="Arial"/>
                <w:sz w:val="20"/>
                <w:szCs w:val="20"/>
                <w:b w:val="1"/>
                <w:bCs w:val="1"/>
                <w:i w:val="1"/>
                <w:iCs w:val="1"/>
                <w:color w:val="auto"/>
                <w:w w:val="99"/>
              </w:rPr>
              <w:t xml:space="preserve">Asset </w:t>
            </w:r>
            <w:r>
              <w:rPr>
                <w:rFonts w:ascii="Arial" w:cs="Arial" w:eastAsia="Arial" w:hAnsi="Arial"/>
                <w:sz w:val="20"/>
                <w:szCs w:val="20"/>
                <w:color w:val="auto"/>
                <w:w w:val="99"/>
              </w:rPr>
              <w:t>. . . . . . . . . . . . . . . . . . . . . . . . . . . . . . . . .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130</w:t>
            </w: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70"/>
        </w:trPr>
        <w:tc>
          <w:tcPr>
            <w:tcW w:w="684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Amounts Recognized in Accumulated Other Comprehensive Loss:</w:t>
            </w: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840" w:type="dxa"/>
            <w:vAlign w:val="bottom"/>
            <w:shd w:val="clear" w:color="auto" w:fill="CCCCCC"/>
          </w:tcPr>
          <w:p>
            <w:pPr>
              <w:spacing w:after="0"/>
              <w:rPr>
                <w:sz w:val="20"/>
                <w:szCs w:val="20"/>
                <w:color w:val="auto"/>
              </w:rPr>
            </w:pPr>
            <w:r>
              <w:rPr>
                <w:rFonts w:ascii="Arial" w:cs="Arial" w:eastAsia="Arial" w:hAnsi="Arial"/>
                <w:sz w:val="20"/>
                <w:szCs w:val="20"/>
                <w:color w:val="auto"/>
                <w:w w:val="99"/>
              </w:rPr>
              <w:t>Actuarial gains . . . . . . . . . . . . . . . . . . . . . . . . . .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199</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82"/>
        </w:trPr>
        <w:tc>
          <w:tcPr>
            <w:tcW w:w="6840" w:type="dxa"/>
            <w:vAlign w:val="bottom"/>
          </w:tcPr>
          <w:p>
            <w:pPr>
              <w:spacing w:after="0"/>
              <w:rPr>
                <w:sz w:val="20"/>
                <w:szCs w:val="20"/>
                <w:color w:val="auto"/>
              </w:rPr>
            </w:pPr>
            <w:r>
              <w:rPr>
                <w:rFonts w:ascii="Arial" w:cs="Arial" w:eastAsia="Arial" w:hAnsi="Arial"/>
                <w:sz w:val="20"/>
                <w:szCs w:val="20"/>
                <w:color w:val="auto"/>
                <w:w w:val="99"/>
              </w:rPr>
              <w:t>Prior service credit . . . . . . . . . . . . . . . . . . . . . . . . . . . . . . . . . . . . . . . . . . . . . . .</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68"/>
        </w:trPr>
        <w:tc>
          <w:tcPr>
            <w:tcW w:w="68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CCCC"/>
          </w:tcPr>
          <w:p>
            <w:pPr>
              <w:spacing w:after="0"/>
              <w:rPr>
                <w:sz w:val="20"/>
                <w:szCs w:val="20"/>
                <w:color w:val="auto"/>
              </w:rPr>
            </w:pPr>
          </w:p>
        </w:tc>
        <w:tc>
          <w:tcPr>
            <w:tcW w:w="200" w:type="dxa"/>
            <w:vAlign w:val="bottom"/>
            <w:shd w:val="clear" w:color="auto" w:fill="CCCCCC"/>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800" w:type="dxa"/>
            <w:vAlign w:val="bottom"/>
            <w:shd w:val="clear" w:color="auto" w:fill="CCCCCC"/>
          </w:tcPr>
          <w:p>
            <w:pPr>
              <w:jc w:val="right"/>
              <w:spacing w:after="0" w:line="220" w:lineRule="exact"/>
              <w:rPr>
                <w:sz w:val="20"/>
                <w:szCs w:val="20"/>
                <w:color w:val="auto"/>
              </w:rPr>
            </w:pPr>
            <w:r>
              <w:rPr>
                <w:rFonts w:ascii="Arial" w:cs="Arial" w:eastAsia="Arial" w:hAnsi="Arial"/>
                <w:sz w:val="20"/>
                <w:szCs w:val="20"/>
                <w:b w:val="1"/>
                <w:bCs w:val="1"/>
                <w:color w:val="auto"/>
              </w:rPr>
              <w:t>258</w:t>
            </w:r>
          </w:p>
        </w:tc>
        <w:tc>
          <w:tcPr>
            <w:tcW w:w="200" w:type="dxa"/>
            <w:vAlign w:val="bottom"/>
            <w:shd w:val="clear" w:color="auto" w:fill="CCCCCC"/>
          </w:tcPr>
          <w:p>
            <w:pPr>
              <w:spacing w:after="0"/>
              <w:rPr>
                <w:sz w:val="20"/>
                <w:szCs w:val="20"/>
                <w:color w:val="auto"/>
              </w:rPr>
            </w:pPr>
          </w:p>
        </w:tc>
        <w:tc>
          <w:tcPr>
            <w:tcW w:w="200" w:type="dxa"/>
            <w:vAlign w:val="bottom"/>
            <w:shd w:val="clear" w:color="auto" w:fill="CCCCCC"/>
          </w:tcPr>
          <w:p>
            <w:pPr>
              <w:jc w:val="right"/>
              <w:spacing w:after="0" w:line="220" w:lineRule="exact"/>
              <w:rPr>
                <w:sz w:val="20"/>
                <w:szCs w:val="20"/>
                <w:color w:val="auto"/>
              </w:rPr>
            </w:pPr>
            <w:r>
              <w:rPr>
                <w:rFonts w:ascii="Arial" w:cs="Arial" w:eastAsia="Arial" w:hAnsi="Arial"/>
                <w:sz w:val="20"/>
                <w:szCs w:val="20"/>
                <w:color w:val="auto"/>
                <w:w w:val="89"/>
              </w:rPr>
              <w:t>$</w:t>
            </w:r>
          </w:p>
        </w:tc>
        <w:tc>
          <w:tcPr>
            <w:tcW w:w="880" w:type="dxa"/>
            <w:vAlign w:val="bottom"/>
            <w:gridSpan w:val="2"/>
            <w:shd w:val="clear" w:color="auto" w:fill="CCCCCC"/>
          </w:tcPr>
          <w:p>
            <w:pPr>
              <w:jc w:val="right"/>
              <w:ind w:right="60"/>
              <w:spacing w:after="0" w:line="220" w:lineRule="exact"/>
              <w:rPr>
                <w:sz w:val="20"/>
                <w:szCs w:val="20"/>
                <w:color w:val="auto"/>
              </w:rPr>
            </w:pPr>
            <w:r>
              <w:rPr>
                <w:rFonts w:ascii="Arial" w:cs="Arial" w:eastAsia="Arial" w:hAnsi="Arial"/>
                <w:sz w:val="20"/>
                <w:szCs w:val="20"/>
                <w:color w:val="auto"/>
              </w:rPr>
              <w:t>306</w:t>
            </w:r>
          </w:p>
        </w:tc>
        <w:tc>
          <w:tcPr>
            <w:tcW w:w="0" w:type="dxa"/>
            <w:vAlign w:val="bottom"/>
          </w:tcPr>
          <w:p>
            <w:pPr>
              <w:spacing w:after="0"/>
              <w:rPr>
                <w:sz w:val="1"/>
                <w:szCs w:val="1"/>
                <w:color w:val="auto"/>
              </w:rPr>
            </w:pPr>
          </w:p>
        </w:tc>
      </w:tr>
      <w:tr>
        <w:trPr>
          <w:trHeight w:val="70"/>
        </w:trPr>
        <w:tc>
          <w:tcPr>
            <w:tcW w:w="68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 xml:space="preserve">The asset balance relating to this plan was included in </w:t>
      </w:r>
      <w:r>
        <w:rPr>
          <w:rFonts w:ascii="Arial" w:cs="Arial" w:eastAsia="Arial" w:hAnsi="Arial"/>
          <w:sz w:val="20"/>
          <w:szCs w:val="20"/>
          <w:i w:val="1"/>
          <w:iCs w:val="1"/>
          <w:color w:val="auto"/>
        </w:rPr>
        <w:t>Other Assets</w:t>
      </w:r>
      <w:r>
        <w:rPr>
          <w:rFonts w:ascii="Arial" w:cs="Arial" w:eastAsia="Arial" w:hAnsi="Arial"/>
          <w:sz w:val="20"/>
          <w:szCs w:val="20"/>
          <w:color w:val="auto"/>
        </w:rPr>
        <w:t xml:space="preserve"> in the </w:t>
      </w:r>
      <w:r>
        <w:rPr>
          <w:rFonts w:ascii="Arial" w:cs="Arial" w:eastAsia="Arial" w:hAnsi="Arial"/>
          <w:sz w:val="20"/>
          <w:szCs w:val="20"/>
          <w:i w:val="1"/>
          <w:iCs w:val="1"/>
          <w:color w:val="auto"/>
        </w:rPr>
        <w:t>Consolidated Balance</w:t>
      </w:r>
      <w:r>
        <w:rPr>
          <w:rFonts w:ascii="Arial" w:cs="Arial" w:eastAsia="Arial" w:hAnsi="Arial"/>
          <w:sz w:val="20"/>
          <w:szCs w:val="20"/>
          <w:color w:val="auto"/>
        </w:rPr>
        <w:t xml:space="preserve"> </w:t>
      </w:r>
      <w:r>
        <w:rPr>
          <w:rFonts w:ascii="Arial" w:cs="Arial" w:eastAsia="Arial" w:hAnsi="Arial"/>
          <w:sz w:val="20"/>
          <w:szCs w:val="20"/>
          <w:i w:val="1"/>
          <w:iCs w:val="1"/>
          <w:color w:val="auto"/>
        </w:rPr>
        <w:t>Sheet</w:t>
      </w:r>
      <w:r>
        <w:rPr>
          <w:rFonts w:ascii="Arial" w:cs="Arial" w:eastAsia="Arial" w:hAnsi="Arial"/>
          <w:sz w:val="20"/>
          <w:szCs w:val="20"/>
          <w:color w:val="auto"/>
        </w:rPr>
        <w:t>.</w:t>
      </w:r>
    </w:p>
    <w:p>
      <w:pPr>
        <w:spacing w:after="0" w:line="141"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assets of the US postretirement medical plan are invested 87% in debt securities and 13% in equity securities at December 31, 2022. The fair value of these assets was primarily determined based on Level Two valuation techniques.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Other Information</w:t>
      </w:r>
    </w:p>
    <w:p>
      <w:pPr>
        <w:spacing w:after="0" w:line="78"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expected benefits to be paid under the US and International pension plans as well as the postretirement medical plan are as follows: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Arial" w:cs="Arial" w:eastAsia="Arial" w:hAnsi="Arial"/>
                <w:sz w:val="16"/>
                <w:szCs w:val="16"/>
                <w:i w:val="1"/>
                <w:iCs w:val="1"/>
                <w:color w:val="auto"/>
                <w:w w:val="98"/>
              </w:rPr>
              <w:t>(Stated in millions)</w:t>
            </w:r>
          </w:p>
        </w:tc>
        <w:tc>
          <w:tcPr>
            <w:tcW w:w="0" w:type="dxa"/>
            <w:vAlign w:val="bottom"/>
          </w:tcPr>
          <w:p>
            <w:pPr>
              <w:spacing w:after="0"/>
              <w:rPr>
                <w:sz w:val="1"/>
                <w:szCs w:val="1"/>
                <w:color w:val="auto"/>
              </w:rPr>
            </w:pPr>
          </w:p>
        </w:tc>
      </w:tr>
      <w:tr>
        <w:trPr>
          <w:trHeight w:val="470"/>
        </w:trPr>
        <w:tc>
          <w:tcPr>
            <w:tcW w:w="4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20"/>
                <w:szCs w:val="20"/>
                <w:color w:val="auto"/>
              </w:rPr>
              <w:t>Pension Plans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Arial" w:cs="Arial" w:eastAsia="Arial" w:hAnsi="Arial"/>
                <w:sz w:val="20"/>
                <w:szCs w:val="20"/>
                <w:color w:val="auto"/>
                <w:w w:val="98"/>
              </w:rPr>
              <w:t>Postretirement</w:t>
            </w: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20"/>
                <w:szCs w:val="20"/>
                <w:color w:val="auto"/>
              </w:rPr>
              <w:t>US</w:t>
            </w:r>
          </w:p>
        </w:tc>
        <w:tc>
          <w:tcPr>
            <w:tcW w:w="1320" w:type="dxa"/>
            <w:vAlign w:val="bottom"/>
            <w:gridSpan w:val="3"/>
          </w:tcPr>
          <w:p>
            <w:pPr>
              <w:ind w:left="60"/>
              <w:spacing w:after="0"/>
              <w:rPr>
                <w:sz w:val="20"/>
                <w:szCs w:val="20"/>
                <w:color w:val="auto"/>
              </w:rPr>
            </w:pPr>
            <w:r>
              <w:rPr>
                <w:rFonts w:ascii="Arial" w:cs="Arial" w:eastAsia="Arial" w:hAnsi="Arial"/>
                <w:sz w:val="20"/>
                <w:szCs w:val="20"/>
                <w:color w:val="auto"/>
              </w:rPr>
              <w:t>International</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Medical Plan</w:t>
            </w: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95"/>
              </w:rPr>
              <w:t>2023 . . . . . . . . . . . . . . . . . . . . . . . . . . . . . . . . . . . . .</w:t>
            </w:r>
          </w:p>
        </w:tc>
        <w:tc>
          <w:tcPr>
            <w:tcW w:w="880" w:type="dxa"/>
            <w:vAlign w:val="bottom"/>
            <w:gridSpan w:val="2"/>
            <w:shd w:val="clear" w:color="auto" w:fill="CCCCCC"/>
          </w:tcPr>
          <w:p>
            <w:pPr>
              <w:ind w:left="20"/>
              <w:spacing w:after="0"/>
              <w:rPr>
                <w:sz w:val="20"/>
                <w:szCs w:val="20"/>
                <w:color w:val="auto"/>
              </w:rPr>
            </w:pPr>
            <w:r>
              <w:rPr>
                <w:rFonts w:ascii="Arial" w:cs="Arial" w:eastAsia="Arial" w:hAnsi="Arial"/>
                <w:sz w:val="20"/>
                <w:szCs w:val="20"/>
                <w:color w:val="auto"/>
              </w:rPr>
              <w:t>. . . .  $</w:t>
            </w:r>
          </w:p>
        </w:tc>
        <w:tc>
          <w:tcPr>
            <w:tcW w:w="11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226</w:t>
            </w:r>
          </w:p>
        </w:tc>
        <w:tc>
          <w:tcPr>
            <w:tcW w:w="640" w:type="dxa"/>
            <w:vAlign w:val="bottom"/>
            <w:shd w:val="clear" w:color="auto" w:fill="CCCCCC"/>
          </w:tcPr>
          <w:p>
            <w:pPr>
              <w:jc w:val="right"/>
              <w:ind w:right="420"/>
              <w:spacing w:after="0"/>
              <w:rPr>
                <w:sz w:val="20"/>
                <w:szCs w:val="20"/>
                <w:color w:val="auto"/>
              </w:rPr>
            </w:pPr>
            <w:r>
              <w:rPr>
                <w:rFonts w:ascii="Arial" w:cs="Arial" w:eastAsia="Arial" w:hAnsi="Arial"/>
                <w:sz w:val="20"/>
                <w:szCs w:val="20"/>
                <w:color w:val="auto"/>
                <w:w w:val="89"/>
              </w:rPr>
              <w:t>$</w:t>
            </w:r>
          </w:p>
        </w:tc>
        <w:tc>
          <w:tcPr>
            <w:tcW w:w="68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390</w:t>
            </w:r>
          </w:p>
        </w:tc>
        <w:tc>
          <w:tcPr>
            <w:tcW w:w="640" w:type="dxa"/>
            <w:vAlign w:val="bottom"/>
            <w:gridSpan w:val="2"/>
            <w:shd w:val="clear" w:color="auto" w:fill="CCCCCC"/>
          </w:tcPr>
          <w:p>
            <w:pPr>
              <w:ind w:left="1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80"/>
        </w:trPr>
        <w:tc>
          <w:tcPr>
            <w:tcW w:w="4400" w:type="dxa"/>
            <w:vAlign w:val="bottom"/>
          </w:tcPr>
          <w:p>
            <w:pPr>
              <w:jc w:val="right"/>
              <w:spacing w:after="0"/>
              <w:rPr>
                <w:sz w:val="20"/>
                <w:szCs w:val="20"/>
                <w:color w:val="auto"/>
              </w:rPr>
            </w:pPr>
            <w:r>
              <w:rPr>
                <w:rFonts w:ascii="Arial" w:cs="Arial" w:eastAsia="Arial" w:hAnsi="Arial"/>
                <w:sz w:val="20"/>
                <w:szCs w:val="20"/>
                <w:color w:val="auto"/>
                <w:w w:val="95"/>
              </w:rPr>
              <w:t>2024 . . . . . . . . . . . . . . . . . . . . . . . . . . . . . . . . . . . . .</w:t>
            </w:r>
          </w:p>
        </w:tc>
        <w:tc>
          <w:tcPr>
            <w:tcW w:w="880" w:type="dxa"/>
            <w:vAlign w:val="bottom"/>
            <w:gridSpan w:val="2"/>
          </w:tcPr>
          <w:p>
            <w:pPr>
              <w:ind w:left="20"/>
              <w:spacing w:after="0"/>
              <w:rPr>
                <w:sz w:val="20"/>
                <w:szCs w:val="20"/>
                <w:color w:val="auto"/>
              </w:rPr>
            </w:pPr>
            <w:r>
              <w:rPr>
                <w:rFonts w:ascii="Arial" w:cs="Arial" w:eastAsia="Arial" w:hAnsi="Arial"/>
                <w:sz w:val="20"/>
                <w:szCs w:val="20"/>
                <w:color w:val="auto"/>
              </w:rPr>
              <w:t>. . . .  $</w:t>
            </w: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227</w:t>
            </w:r>
          </w:p>
        </w:tc>
        <w:tc>
          <w:tcPr>
            <w:tcW w:w="640" w:type="dxa"/>
            <w:vAlign w:val="bottom"/>
          </w:tcPr>
          <w:p>
            <w:pPr>
              <w:jc w:val="right"/>
              <w:ind w:right="420"/>
              <w:spacing w:after="0"/>
              <w:rPr>
                <w:sz w:val="20"/>
                <w:szCs w:val="20"/>
                <w:color w:val="auto"/>
              </w:rPr>
            </w:pPr>
            <w:r>
              <w:rPr>
                <w:rFonts w:ascii="Arial" w:cs="Arial" w:eastAsia="Arial" w:hAnsi="Arial"/>
                <w:sz w:val="20"/>
                <w:szCs w:val="20"/>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20"/>
                <w:szCs w:val="20"/>
                <w:color w:val="auto"/>
              </w:rPr>
              <w:t>399</w:t>
            </w:r>
          </w:p>
        </w:tc>
        <w:tc>
          <w:tcPr>
            <w:tcW w:w="6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80"/>
        </w:trPr>
        <w:tc>
          <w:tcPr>
            <w:tcW w:w="44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95"/>
              </w:rPr>
              <w:t>2025 . . . . . . . . . . . . . . . . . . . . . . . . . . . . . . . . . . . . .</w:t>
            </w:r>
          </w:p>
        </w:tc>
        <w:tc>
          <w:tcPr>
            <w:tcW w:w="880" w:type="dxa"/>
            <w:vAlign w:val="bottom"/>
            <w:gridSpan w:val="2"/>
            <w:shd w:val="clear" w:color="auto" w:fill="CCCCCC"/>
          </w:tcPr>
          <w:p>
            <w:pPr>
              <w:ind w:left="20"/>
              <w:spacing w:after="0"/>
              <w:rPr>
                <w:sz w:val="20"/>
                <w:szCs w:val="20"/>
                <w:color w:val="auto"/>
              </w:rPr>
            </w:pPr>
            <w:r>
              <w:rPr>
                <w:rFonts w:ascii="Arial" w:cs="Arial" w:eastAsia="Arial" w:hAnsi="Arial"/>
                <w:sz w:val="20"/>
                <w:szCs w:val="20"/>
                <w:color w:val="auto"/>
              </w:rPr>
              <w:t>. . . .  $</w:t>
            </w:r>
          </w:p>
        </w:tc>
        <w:tc>
          <w:tcPr>
            <w:tcW w:w="11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228</w:t>
            </w:r>
          </w:p>
        </w:tc>
        <w:tc>
          <w:tcPr>
            <w:tcW w:w="640" w:type="dxa"/>
            <w:vAlign w:val="bottom"/>
            <w:shd w:val="clear" w:color="auto" w:fill="CCCCCC"/>
          </w:tcPr>
          <w:p>
            <w:pPr>
              <w:jc w:val="right"/>
              <w:ind w:right="420"/>
              <w:spacing w:after="0"/>
              <w:rPr>
                <w:sz w:val="20"/>
                <w:szCs w:val="20"/>
                <w:color w:val="auto"/>
              </w:rPr>
            </w:pPr>
            <w:r>
              <w:rPr>
                <w:rFonts w:ascii="Arial" w:cs="Arial" w:eastAsia="Arial" w:hAnsi="Arial"/>
                <w:sz w:val="20"/>
                <w:szCs w:val="20"/>
                <w:color w:val="auto"/>
                <w:w w:val="89"/>
              </w:rPr>
              <w:t>$</w:t>
            </w:r>
          </w:p>
        </w:tc>
        <w:tc>
          <w:tcPr>
            <w:tcW w:w="68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412</w:t>
            </w:r>
          </w:p>
        </w:tc>
        <w:tc>
          <w:tcPr>
            <w:tcW w:w="640" w:type="dxa"/>
            <w:vAlign w:val="bottom"/>
            <w:gridSpan w:val="2"/>
            <w:shd w:val="clear" w:color="auto" w:fill="CCCCCC"/>
          </w:tcPr>
          <w:p>
            <w:pPr>
              <w:ind w:left="1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80"/>
        </w:trPr>
        <w:tc>
          <w:tcPr>
            <w:tcW w:w="4400" w:type="dxa"/>
            <w:vAlign w:val="bottom"/>
          </w:tcPr>
          <w:p>
            <w:pPr>
              <w:jc w:val="right"/>
              <w:spacing w:after="0"/>
              <w:rPr>
                <w:sz w:val="20"/>
                <w:szCs w:val="20"/>
                <w:color w:val="auto"/>
              </w:rPr>
            </w:pPr>
            <w:r>
              <w:rPr>
                <w:rFonts w:ascii="Arial" w:cs="Arial" w:eastAsia="Arial" w:hAnsi="Arial"/>
                <w:sz w:val="20"/>
                <w:szCs w:val="20"/>
                <w:color w:val="auto"/>
                <w:w w:val="95"/>
              </w:rPr>
              <w:t>2026 . . . . . . . . . . . . . . . . . . . . . . . . . . . . . . . . . . . . .</w:t>
            </w:r>
          </w:p>
        </w:tc>
        <w:tc>
          <w:tcPr>
            <w:tcW w:w="880" w:type="dxa"/>
            <w:vAlign w:val="bottom"/>
            <w:gridSpan w:val="2"/>
          </w:tcPr>
          <w:p>
            <w:pPr>
              <w:ind w:left="20"/>
              <w:spacing w:after="0"/>
              <w:rPr>
                <w:sz w:val="20"/>
                <w:szCs w:val="20"/>
                <w:color w:val="auto"/>
              </w:rPr>
            </w:pPr>
            <w:r>
              <w:rPr>
                <w:rFonts w:ascii="Arial" w:cs="Arial" w:eastAsia="Arial" w:hAnsi="Arial"/>
                <w:sz w:val="20"/>
                <w:szCs w:val="20"/>
                <w:color w:val="auto"/>
              </w:rPr>
              <w:t>. . . .  $</w:t>
            </w: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230</w:t>
            </w:r>
          </w:p>
        </w:tc>
        <w:tc>
          <w:tcPr>
            <w:tcW w:w="640" w:type="dxa"/>
            <w:vAlign w:val="bottom"/>
          </w:tcPr>
          <w:p>
            <w:pPr>
              <w:jc w:val="right"/>
              <w:ind w:right="420"/>
              <w:spacing w:after="0"/>
              <w:rPr>
                <w:sz w:val="20"/>
                <w:szCs w:val="20"/>
                <w:color w:val="auto"/>
              </w:rPr>
            </w:pPr>
            <w:r>
              <w:rPr>
                <w:rFonts w:ascii="Arial" w:cs="Arial" w:eastAsia="Arial" w:hAnsi="Arial"/>
                <w:sz w:val="20"/>
                <w:szCs w:val="20"/>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20"/>
                <w:szCs w:val="20"/>
                <w:color w:val="auto"/>
              </w:rPr>
              <w:t>425</w:t>
            </w:r>
          </w:p>
        </w:tc>
        <w:tc>
          <w:tcPr>
            <w:tcW w:w="6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80"/>
        </w:trPr>
        <w:tc>
          <w:tcPr>
            <w:tcW w:w="44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95"/>
              </w:rPr>
              <w:t>2027 . . . . . . . . . . . . . . . . . . . . . . . . . . . . . . . . . . . . .</w:t>
            </w:r>
          </w:p>
        </w:tc>
        <w:tc>
          <w:tcPr>
            <w:tcW w:w="880" w:type="dxa"/>
            <w:vAlign w:val="bottom"/>
            <w:gridSpan w:val="2"/>
            <w:shd w:val="clear" w:color="auto" w:fill="CCCCCC"/>
          </w:tcPr>
          <w:p>
            <w:pPr>
              <w:ind w:left="20"/>
              <w:spacing w:after="0"/>
              <w:rPr>
                <w:sz w:val="20"/>
                <w:szCs w:val="20"/>
                <w:color w:val="auto"/>
              </w:rPr>
            </w:pPr>
            <w:r>
              <w:rPr>
                <w:rFonts w:ascii="Arial" w:cs="Arial" w:eastAsia="Arial" w:hAnsi="Arial"/>
                <w:sz w:val="20"/>
                <w:szCs w:val="20"/>
                <w:color w:val="auto"/>
              </w:rPr>
              <w:t>. . . .  $</w:t>
            </w:r>
          </w:p>
        </w:tc>
        <w:tc>
          <w:tcPr>
            <w:tcW w:w="11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231</w:t>
            </w:r>
          </w:p>
        </w:tc>
        <w:tc>
          <w:tcPr>
            <w:tcW w:w="640" w:type="dxa"/>
            <w:vAlign w:val="bottom"/>
            <w:shd w:val="clear" w:color="auto" w:fill="CCCCCC"/>
          </w:tcPr>
          <w:p>
            <w:pPr>
              <w:jc w:val="right"/>
              <w:ind w:right="420"/>
              <w:spacing w:after="0"/>
              <w:rPr>
                <w:sz w:val="20"/>
                <w:szCs w:val="20"/>
                <w:color w:val="auto"/>
              </w:rPr>
            </w:pPr>
            <w:r>
              <w:rPr>
                <w:rFonts w:ascii="Arial" w:cs="Arial" w:eastAsia="Arial" w:hAnsi="Arial"/>
                <w:sz w:val="20"/>
                <w:szCs w:val="20"/>
                <w:color w:val="auto"/>
                <w:w w:val="89"/>
              </w:rPr>
              <w:t>$</w:t>
            </w:r>
          </w:p>
        </w:tc>
        <w:tc>
          <w:tcPr>
            <w:tcW w:w="680" w:type="dxa"/>
            <w:vAlign w:val="bottom"/>
            <w:gridSpan w:val="2"/>
            <w:shd w:val="clear" w:color="auto" w:fill="CCCCCC"/>
          </w:tcPr>
          <w:p>
            <w:pPr>
              <w:jc w:val="right"/>
              <w:ind w:right="100"/>
              <w:spacing w:after="0"/>
              <w:rPr>
                <w:sz w:val="20"/>
                <w:szCs w:val="20"/>
                <w:color w:val="auto"/>
              </w:rPr>
            </w:pPr>
            <w:r>
              <w:rPr>
                <w:rFonts w:ascii="Arial" w:cs="Arial" w:eastAsia="Arial" w:hAnsi="Arial"/>
                <w:sz w:val="20"/>
                <w:szCs w:val="20"/>
                <w:color w:val="auto"/>
              </w:rPr>
              <w:t>432</w:t>
            </w:r>
          </w:p>
        </w:tc>
        <w:tc>
          <w:tcPr>
            <w:tcW w:w="640" w:type="dxa"/>
            <w:vAlign w:val="bottom"/>
            <w:gridSpan w:val="2"/>
            <w:shd w:val="clear" w:color="auto" w:fill="CCCCCC"/>
          </w:tcPr>
          <w:p>
            <w:pPr>
              <w:ind w:left="1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82"/>
        </w:trPr>
        <w:tc>
          <w:tcPr>
            <w:tcW w:w="4400" w:type="dxa"/>
            <w:vAlign w:val="bottom"/>
          </w:tcPr>
          <w:p>
            <w:pPr>
              <w:jc w:val="right"/>
              <w:spacing w:after="0"/>
              <w:rPr>
                <w:sz w:val="20"/>
                <w:szCs w:val="20"/>
                <w:color w:val="auto"/>
              </w:rPr>
            </w:pPr>
            <w:r>
              <w:rPr>
                <w:rFonts w:ascii="Arial" w:cs="Arial" w:eastAsia="Arial" w:hAnsi="Arial"/>
                <w:sz w:val="20"/>
                <w:szCs w:val="20"/>
                <w:color w:val="auto"/>
                <w:w w:val="96"/>
              </w:rPr>
              <w:t>2028-2032 . . . . . . . . . . . . . . . . . . . . . . . . . . . . . . . .</w:t>
            </w:r>
          </w:p>
        </w:tc>
        <w:tc>
          <w:tcPr>
            <w:tcW w:w="880" w:type="dxa"/>
            <w:vAlign w:val="bottom"/>
            <w:gridSpan w:val="2"/>
          </w:tcPr>
          <w:p>
            <w:pPr>
              <w:ind w:left="20"/>
              <w:spacing w:after="0"/>
              <w:rPr>
                <w:sz w:val="20"/>
                <w:szCs w:val="20"/>
                <w:color w:val="auto"/>
              </w:rPr>
            </w:pPr>
            <w:r>
              <w:rPr>
                <w:rFonts w:ascii="Arial" w:cs="Arial" w:eastAsia="Arial" w:hAnsi="Arial"/>
                <w:sz w:val="20"/>
                <w:szCs w:val="20"/>
                <w:color w:val="auto"/>
              </w:rPr>
              <w:t>. . . .  $</w:t>
            </w: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1,168</w:t>
            </w:r>
          </w:p>
        </w:tc>
        <w:tc>
          <w:tcPr>
            <w:tcW w:w="640" w:type="dxa"/>
            <w:vAlign w:val="bottom"/>
          </w:tcPr>
          <w:p>
            <w:pPr>
              <w:jc w:val="right"/>
              <w:ind w:right="420"/>
              <w:spacing w:after="0"/>
              <w:rPr>
                <w:sz w:val="20"/>
                <w:szCs w:val="20"/>
                <w:color w:val="auto"/>
              </w:rPr>
            </w:pPr>
            <w:r>
              <w:rPr>
                <w:rFonts w:ascii="Arial" w:cs="Arial" w:eastAsia="Arial" w:hAnsi="Arial"/>
                <w:sz w:val="20"/>
                <w:szCs w:val="20"/>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20"/>
                <w:szCs w:val="20"/>
                <w:color w:val="auto"/>
              </w:rPr>
              <w:t>2,376</w:t>
            </w:r>
          </w:p>
        </w:tc>
        <w:tc>
          <w:tcPr>
            <w:tcW w:w="6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296</w:t>
            </w:r>
          </w:p>
        </w:tc>
        <w:tc>
          <w:tcPr>
            <w:tcW w:w="0" w:type="dxa"/>
            <w:vAlign w:val="bottom"/>
          </w:tcPr>
          <w:p>
            <w:pPr>
              <w:spacing w:after="0"/>
              <w:rPr>
                <w:sz w:val="1"/>
                <w:szCs w:val="1"/>
                <w:color w:val="auto"/>
              </w:rPr>
            </w:pPr>
          </w:p>
        </w:tc>
      </w:tr>
      <w:tr>
        <w:trPr>
          <w:trHeight w:val="524"/>
        </w:trPr>
        <w:tc>
          <w:tcPr>
            <w:tcW w:w="440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20"/>
                <w:szCs w:val="20"/>
                <w:color w:val="auto"/>
              </w:rPr>
              <w:t>72</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440" w:right="1440" w:bottom="836" w:gutter="0" w:footer="0" w:header="0"/>
        </w:sectPr>
      </w:pPr>
    </w:p>
    <w:bookmarkStart w:id="96" w:name="page97"/>
    <w:bookmarkEnd w:id="96"/>
    <w:p>
      <w:pPr>
        <w:spacing w:after="0" w:line="52" w:lineRule="exact"/>
        <w:rPr>
          <w:sz w:val="20"/>
          <w:szCs w:val="20"/>
          <w:color w:val="auto"/>
        </w:rPr>
      </w:pPr>
    </w:p>
    <w:p>
      <w:pPr>
        <w:ind w:left="460" w:hanging="340"/>
        <w:spacing w:after="0"/>
        <w:tabs>
          <w:tab w:leader="none" w:pos="4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Supplementary Information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Cash paid for interest and income taxes was as follows:</w:t>
      </w:r>
    </w:p>
    <w:p>
      <w:pPr>
        <w:spacing w:after="0" w:line="205"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(Stated in millions)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81"/>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rPr>
              <w:t>2020</w:t>
            </w:r>
          </w:p>
        </w:tc>
      </w:tr>
      <w:tr>
        <w:trPr>
          <w:trHeight w:val="30"/>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w w:val="99"/>
              </w:rPr>
              <w:t>Interest . . . . . . . . . . . . . . . . . . . . .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562</w:t>
            </w: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560</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598</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Income tax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716</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591</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582</w:t>
            </w:r>
          </w:p>
        </w:tc>
      </w:tr>
      <w:tr>
        <w:trPr>
          <w:trHeight w:val="497"/>
        </w:trPr>
        <w:tc>
          <w:tcPr>
            <w:tcW w:w="5680" w:type="dxa"/>
            <w:vAlign w:val="bottom"/>
          </w:tcPr>
          <w:p>
            <w:pPr>
              <w:spacing w:after="0"/>
              <w:rPr>
                <w:sz w:val="20"/>
                <w:szCs w:val="20"/>
                <w:color w:val="auto"/>
              </w:rPr>
            </w:pPr>
            <w:r>
              <w:rPr>
                <w:rFonts w:ascii="Arial" w:cs="Arial" w:eastAsia="Arial" w:hAnsi="Arial"/>
                <w:sz w:val="20"/>
                <w:szCs w:val="20"/>
                <w:i w:val="1"/>
                <w:iCs w:val="1"/>
                <w:color w:val="auto"/>
              </w:rPr>
              <w:t xml:space="preserve">Interest and other income, net </w:t>
            </w:r>
            <w:r>
              <w:rPr>
                <w:rFonts w:ascii="Arial" w:cs="Arial" w:eastAsia="Arial" w:hAnsi="Arial"/>
                <w:sz w:val="20"/>
                <w:szCs w:val="20"/>
                <w:color w:val="auto"/>
              </w:rPr>
              <w:t>includes the following:</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9"/>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45"/>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81"/>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rPr>
              <w:t>2020</w:t>
            </w:r>
          </w:p>
        </w:tc>
      </w:tr>
      <w:tr>
        <w:trPr>
          <w:trHeight w:val="30"/>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Gain on sale of Liberty shares * .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325</w:t>
            </w: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28</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Loss on Blue Chip Swap transactions * . . . . . . . . . . . . . . . . . . .</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(139)</w:t>
            </w:r>
          </w:p>
        </w:tc>
        <w:tc>
          <w:tcPr>
            <w:tcW w:w="2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Gain on ADC equity investment * . . . . . . . . . . . . . . . . . . . . . . . .</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107</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Earnings of equity method investments . . . . . . . . . . . . . . . . . . .</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164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40</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8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Interest income  . . . . . . . . . . . . . . . . . . . . . . . . . . . . . . . . . . . . . .</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99</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33</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33</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Gain on sale of real estate * . . . . . . . . . . . . . . . . . . . . . . . . . . . .</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Gain on repurchase of bonds * . . . . . . . . . . . . . . . . . . . . . . . . . .</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11</w:t>
            </w:r>
          </w:p>
        </w:tc>
        <w:tc>
          <w:tcPr>
            <w:tcW w:w="20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Unrealized gain on marketable securities * . . . . . . . . . . . . . . . .</w:t>
            </w:r>
          </w:p>
        </w:tc>
        <w:tc>
          <w:tcPr>
            <w:tcW w:w="2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47</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Gain on sale of OneStim *  . . . . . . . . . . . . . . . . . . . . . . . . . . . . .</w:t>
            </w:r>
          </w:p>
        </w:tc>
        <w:tc>
          <w:tcPr>
            <w:tcW w:w="2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300"/>
              <w:spacing w:after="0"/>
              <w:rPr>
                <w:sz w:val="20"/>
                <w:szCs w:val="20"/>
                <w:color w:val="auto"/>
              </w:rPr>
            </w:pPr>
            <w:r>
              <w:rPr>
                <w:rFonts w:ascii="Arial" w:cs="Arial" w:eastAsia="Arial" w:hAnsi="Arial"/>
                <w:sz w:val="20"/>
                <w:szCs w:val="20"/>
                <w:b w:val="1"/>
                <w:bCs w:val="1"/>
                <w:color w:val="auto"/>
              </w:rPr>
              <w:t>—</w:t>
            </w: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30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104</w:t>
            </w:r>
          </w:p>
        </w:tc>
      </w:tr>
      <w:tr>
        <w:trPr>
          <w:trHeight w:val="70"/>
        </w:trPr>
        <w:tc>
          <w:tcPr>
            <w:tcW w:w="56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70"/>
        </w:trPr>
        <w:tc>
          <w:tcPr>
            <w:tcW w:w="56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610</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148</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267</w:t>
            </w:r>
          </w:p>
        </w:tc>
      </w:tr>
      <w:tr>
        <w:trPr>
          <w:trHeight w:val="30"/>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20" w:hanging="400"/>
        <w:spacing w:after="0"/>
        <w:tabs>
          <w:tab w:leader="none" w:pos="5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See Note 3 – </w:t>
      </w:r>
      <w:r>
        <w:rPr>
          <w:rFonts w:ascii="Arial" w:cs="Arial" w:eastAsia="Arial" w:hAnsi="Arial"/>
          <w:sz w:val="20"/>
          <w:szCs w:val="20"/>
          <w:i w:val="1"/>
          <w:iCs w:val="1"/>
          <w:color w:val="auto"/>
        </w:rPr>
        <w:t>Charges and Credits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components of depreciation and amortization expense were as follows: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i w:val="1"/>
                <w:iCs w:val="1"/>
                <w:color w:val="auto"/>
              </w:rPr>
              <w:t>(Stated in millions)</w:t>
            </w:r>
          </w:p>
        </w:tc>
      </w:tr>
      <w:tr>
        <w:trPr>
          <w:trHeight w:val="447"/>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83"/>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rPr>
              <w:t>2020</w:t>
            </w:r>
          </w:p>
        </w:tc>
      </w:tr>
      <w:tr>
        <w:trPr>
          <w:trHeight w:val="28"/>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Depreciation of fixed assets . . . .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1,368</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1,402</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1,625</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Amortization of APS investments . . . . . . . . . . . . . . . . . . . . . . . .</w:t>
            </w: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368</w:t>
            </w: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305</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396</w:t>
            </w:r>
          </w:p>
        </w:tc>
      </w:tr>
      <w:tr>
        <w:trPr>
          <w:trHeight w:val="28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Amortization of intangible assets . . . . . . . . . . . . . . . . . . . . . . . .</w:t>
            </w:r>
          </w:p>
        </w:tc>
        <w:tc>
          <w:tcPr>
            <w:tcW w:w="2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301</w:t>
            </w: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302</w:t>
            </w:r>
          </w:p>
        </w:tc>
        <w:tc>
          <w:tcPr>
            <w:tcW w:w="20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371</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rPr>
              <w:t>Amortization of exploration data costs . . . . . . . . . . . . . . . . . . . .</w:t>
            </w:r>
          </w:p>
        </w:tc>
        <w:tc>
          <w:tcPr>
            <w:tcW w:w="2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110</w:t>
            </w: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111</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174</w:t>
            </w:r>
          </w:p>
        </w:tc>
      </w:tr>
      <w:tr>
        <w:trPr>
          <w:trHeight w:val="70"/>
        </w:trPr>
        <w:tc>
          <w:tcPr>
            <w:tcW w:w="56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70"/>
        </w:trPr>
        <w:tc>
          <w:tcPr>
            <w:tcW w:w="568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102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b w:val="1"/>
                <w:bCs w:val="1"/>
                <w:color w:val="auto"/>
              </w:rPr>
              <w:t>2,147</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2,120</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color w:val="auto"/>
              </w:rPr>
              <w:t>2,566</w:t>
            </w:r>
          </w:p>
        </w:tc>
      </w:tr>
      <w:tr>
        <w:trPr>
          <w:trHeight w:val="70"/>
        </w:trPr>
        <w:tc>
          <w:tcPr>
            <w:tcW w:w="56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change in </w:t>
      </w:r>
      <w:r>
        <w:rPr>
          <w:rFonts w:ascii="Arial" w:cs="Arial" w:eastAsia="Arial" w:hAnsi="Arial"/>
          <w:sz w:val="20"/>
          <w:szCs w:val="20"/>
          <w:i w:val="1"/>
          <w:iCs w:val="1"/>
          <w:color w:val="auto"/>
        </w:rPr>
        <w:t>Allowance for doubtful accounts</w:t>
      </w:r>
      <w:r>
        <w:rPr>
          <w:rFonts w:ascii="Arial" w:cs="Arial" w:eastAsia="Arial" w:hAnsi="Arial"/>
          <w:sz w:val="20"/>
          <w:szCs w:val="20"/>
          <w:color w:val="auto"/>
        </w:rPr>
        <w:t xml:space="preserve"> was as follows: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right"/>
              <w:ind w:right="60"/>
              <w:spacing w:after="0"/>
              <w:rPr>
                <w:sz w:val="20"/>
                <w:szCs w:val="20"/>
                <w:color w:val="auto"/>
              </w:rPr>
            </w:pPr>
            <w:r>
              <w:rPr>
                <w:rFonts w:ascii="Arial" w:cs="Arial" w:eastAsia="Arial" w:hAnsi="Arial"/>
                <w:sz w:val="16"/>
                <w:szCs w:val="16"/>
                <w:i w:val="1"/>
                <w:iCs w:val="1"/>
                <w:color w:val="auto"/>
              </w:rPr>
              <w:t>(Stated in millions)</w:t>
            </w:r>
          </w:p>
        </w:tc>
      </w:tr>
      <w:tr>
        <w:trPr>
          <w:trHeight w:val="445"/>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83"/>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color w:val="auto"/>
              </w:rPr>
              <w:t>2020</w:t>
            </w:r>
          </w:p>
        </w:tc>
        <w:tc>
          <w:tcPr>
            <w:tcW w:w="60" w:type="dxa"/>
            <w:vAlign w:val="bottom"/>
          </w:tcPr>
          <w:p>
            <w:pPr>
              <w:spacing w:after="0"/>
              <w:rPr>
                <w:sz w:val="24"/>
                <w:szCs w:val="24"/>
                <w:color w:val="auto"/>
              </w:rPr>
            </w:pPr>
          </w:p>
        </w:tc>
      </w:tr>
      <w:tr>
        <w:trPr>
          <w:trHeight w:val="30"/>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Balance at beginning of year  . . . . . . . . . . . . . . . . . . . . . . . . . . .</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w w:val="8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20"/>
                <w:szCs w:val="20"/>
                <w:b w:val="1"/>
                <w:bCs w:val="1"/>
                <w:color w:val="auto"/>
              </w:rPr>
              <w:t>319</w:t>
            </w:r>
          </w:p>
        </w:tc>
        <w:tc>
          <w:tcPr>
            <w:tcW w:w="200" w:type="dxa"/>
            <w:vAlign w:val="bottom"/>
            <w:shd w:val="clear" w:color="auto" w:fill="CCCCCC"/>
          </w:tcPr>
          <w:p>
            <w:pPr>
              <w:spacing w:after="0"/>
              <w:rPr>
                <w:sz w:val="23"/>
                <w:szCs w:val="23"/>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20"/>
                <w:szCs w:val="20"/>
                <w:color w:val="auto"/>
              </w:rPr>
              <w:t>301</w:t>
            </w:r>
          </w:p>
        </w:tc>
        <w:tc>
          <w:tcPr>
            <w:tcW w:w="200" w:type="dxa"/>
            <w:vAlign w:val="bottom"/>
            <w:shd w:val="clear" w:color="auto" w:fill="CCCCC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color w:val="auto"/>
              </w:rPr>
              <w:t>255</w:t>
            </w:r>
          </w:p>
        </w:tc>
      </w:tr>
      <w:tr>
        <w:trPr>
          <w:trHeight w:val="280"/>
        </w:trPr>
        <w:tc>
          <w:tcPr>
            <w:tcW w:w="5680" w:type="dxa"/>
            <w:vAlign w:val="bottom"/>
          </w:tcPr>
          <w:p>
            <w:pPr>
              <w:spacing w:after="0"/>
              <w:rPr>
                <w:sz w:val="20"/>
                <w:szCs w:val="20"/>
                <w:color w:val="auto"/>
              </w:rPr>
            </w:pPr>
            <w:r>
              <w:rPr>
                <w:rFonts w:ascii="Arial" w:cs="Arial" w:eastAsia="Arial" w:hAnsi="Arial"/>
                <w:sz w:val="20"/>
                <w:szCs w:val="20"/>
                <w:color w:val="auto"/>
                <w:w w:val="99"/>
              </w:rPr>
              <w:t>Additions . . . . . . . . . . . . . . . . . . . . . . . . . . . . . . . . . . . . . . . . . . . .</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47</w:t>
            </w:r>
          </w:p>
        </w:tc>
        <w:tc>
          <w:tcPr>
            <w:tcW w:w="2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20"/>
                <w:szCs w:val="20"/>
                <w:color w:val="auto"/>
              </w:rPr>
              <w:t>58</w:t>
            </w:r>
          </w:p>
        </w:tc>
      </w:tr>
      <w:tr>
        <w:trPr>
          <w:trHeight w:val="280"/>
        </w:trPr>
        <w:tc>
          <w:tcPr>
            <w:tcW w:w="5680" w:type="dxa"/>
            <w:vAlign w:val="bottom"/>
            <w:shd w:val="clear" w:color="auto" w:fill="CCCCCC"/>
          </w:tcPr>
          <w:p>
            <w:pPr>
              <w:spacing w:after="0"/>
              <w:rPr>
                <w:sz w:val="20"/>
                <w:szCs w:val="20"/>
                <w:color w:val="auto"/>
              </w:rPr>
            </w:pPr>
            <w:r>
              <w:rPr>
                <w:rFonts w:ascii="Arial" w:cs="Arial" w:eastAsia="Arial" w:hAnsi="Arial"/>
                <w:sz w:val="20"/>
                <w:szCs w:val="20"/>
                <w:color w:val="auto"/>
              </w:rPr>
              <w:t>Amounts written off . . . . . . . . . . . . . . . . . . . . . . . . . . . . . . . . . . .</w:t>
            </w:r>
          </w:p>
        </w:tc>
        <w:tc>
          <w:tcPr>
            <w:tcW w:w="20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b w:val="1"/>
                <w:bCs w:val="1"/>
                <w:color w:val="auto"/>
              </w:rPr>
              <w:t>(33)</w:t>
            </w:r>
          </w:p>
        </w:tc>
        <w:tc>
          <w:tcPr>
            <w:tcW w:w="200" w:type="dxa"/>
            <w:vAlign w:val="bottom"/>
            <w:shd w:val="clear" w:color="auto" w:fill="CCCCCC"/>
          </w:tcPr>
          <w:p>
            <w:pPr>
              <w:spacing w:after="0"/>
              <w:rPr>
                <w:sz w:val="24"/>
                <w:szCs w:val="24"/>
                <w:color w:val="auto"/>
              </w:rPr>
            </w:pPr>
          </w:p>
        </w:tc>
        <w:tc>
          <w:tcPr>
            <w:tcW w:w="1000" w:type="dxa"/>
            <w:vAlign w:val="bottom"/>
            <w:gridSpan w:val="2"/>
            <w:shd w:val="clear" w:color="auto" w:fill="CCCCCC"/>
          </w:tcPr>
          <w:p>
            <w:pPr>
              <w:jc w:val="right"/>
              <w:ind w:right="120"/>
              <w:spacing w:after="0"/>
              <w:rPr>
                <w:sz w:val="20"/>
                <w:szCs w:val="20"/>
                <w:color w:val="auto"/>
              </w:rPr>
            </w:pPr>
            <w:r>
              <w:rPr>
                <w:rFonts w:ascii="Arial" w:cs="Arial" w:eastAsia="Arial" w:hAnsi="Arial"/>
                <w:sz w:val="20"/>
                <w:szCs w:val="20"/>
                <w:color w:val="auto"/>
              </w:rPr>
              <w:t>(29)</w:t>
            </w:r>
          </w:p>
        </w:tc>
        <w:tc>
          <w:tcPr>
            <w:tcW w:w="200" w:type="dxa"/>
            <w:vAlign w:val="bottom"/>
            <w:shd w:val="clear" w:color="auto" w:fill="CCCCCC"/>
          </w:tcPr>
          <w:p>
            <w:pPr>
              <w:spacing w:after="0"/>
              <w:rPr>
                <w:sz w:val="24"/>
                <w:szCs w:val="24"/>
                <w:color w:val="auto"/>
              </w:rPr>
            </w:pPr>
          </w:p>
        </w:tc>
        <w:tc>
          <w:tcPr>
            <w:tcW w:w="820" w:type="dxa"/>
            <w:vAlign w:val="bottom"/>
            <w:gridSpan w:val="2"/>
            <w:shd w:val="clear" w:color="auto" w:fill="CCCCCC"/>
          </w:tcPr>
          <w:p>
            <w:pPr>
              <w:jc w:val="right"/>
              <w:spacing w:after="0"/>
              <w:rPr>
                <w:sz w:val="20"/>
                <w:szCs w:val="20"/>
                <w:color w:val="auto"/>
              </w:rPr>
            </w:pPr>
            <w:r>
              <w:rPr>
                <w:rFonts w:ascii="Arial" w:cs="Arial" w:eastAsia="Arial" w:hAnsi="Arial"/>
                <w:sz w:val="20"/>
                <w:szCs w:val="20"/>
                <w:color w:val="auto"/>
              </w:rPr>
              <w:t>(12)</w:t>
            </w:r>
          </w:p>
        </w:tc>
      </w:tr>
      <w:tr>
        <w:trPr>
          <w:trHeight w:val="70"/>
        </w:trPr>
        <w:tc>
          <w:tcPr>
            <w:tcW w:w="56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0"/>
                <w:szCs w:val="20"/>
                <w:color w:val="auto"/>
              </w:rPr>
              <w:t>Balance at end of year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340</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20"/>
                <w:szCs w:val="20"/>
                <w:color w:val="auto"/>
              </w:rPr>
              <w:t>319</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20"/>
                <w:szCs w:val="20"/>
                <w:color w:val="auto"/>
              </w:rPr>
              <w:t>301</w:t>
            </w:r>
          </w:p>
        </w:tc>
      </w:tr>
      <w:tr>
        <w:trPr>
          <w:trHeight w:val="30"/>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9360"/>
          </w:cols>
          <w:pgMar w:left="1440" w:top="1440" w:right="1440" w:bottom="836" w:gutter="0" w:footer="0" w:header="0"/>
          <w:type w:val="continuous"/>
        </w:sectPr>
      </w:pPr>
    </w:p>
    <w:bookmarkStart w:id="97" w:name="page98"/>
    <w:bookmarkEnd w:id="97"/>
    <w:p>
      <w:pPr>
        <w:spacing w:after="0" w:line="5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 xml:space="preserve">Revenue in excess of billings related to contracts where revenue is recognized over time was $0.3 billion at December 31, 2022 and $0.2 billion at December 31, 2021. Such amounts are included within </w:t>
      </w:r>
      <w:r>
        <w:rPr>
          <w:rFonts w:ascii="Arial" w:cs="Arial" w:eastAsia="Arial" w:hAnsi="Arial"/>
          <w:sz w:val="20"/>
          <w:szCs w:val="20"/>
          <w:i w:val="1"/>
          <w:iCs w:val="1"/>
          <w:color w:val="auto"/>
        </w:rPr>
        <w:t xml:space="preserve">Receivables less allowance for doubtful accounts </w:t>
      </w:r>
      <w:r>
        <w:rPr>
          <w:rFonts w:ascii="Arial" w:cs="Arial" w:eastAsia="Arial" w:hAnsi="Arial"/>
          <w:sz w:val="20"/>
          <w:szCs w:val="20"/>
          <w:color w:val="auto"/>
        </w:rPr>
        <w:t>in the</w:t>
      </w:r>
      <w:r>
        <w:rPr>
          <w:rFonts w:ascii="Arial" w:cs="Arial" w:eastAsia="Arial" w:hAnsi="Arial"/>
          <w:sz w:val="20"/>
          <w:szCs w:val="20"/>
          <w:i w:val="1"/>
          <w:iCs w:val="1"/>
          <w:color w:val="auto"/>
        </w:rPr>
        <w:t xml:space="preserve"> Consolidated Balance Sheet</w:t>
      </w:r>
      <w:r>
        <w:rPr>
          <w:rFonts w:ascii="Arial" w:cs="Arial" w:eastAsia="Arial" w:hAnsi="Arial"/>
          <w:sz w:val="20"/>
          <w:szCs w:val="20"/>
          <w:color w:val="auto"/>
        </w:rPr>
        <w:t>.</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 xml:space="preserve">Other Assets </w:t>
      </w:r>
      <w:r>
        <w:rPr>
          <w:rFonts w:ascii="Arial" w:cs="Arial" w:eastAsia="Arial" w:hAnsi="Arial"/>
          <w:sz w:val="20"/>
          <w:szCs w:val="20"/>
          <w:color w:val="auto"/>
        </w:rPr>
        <w:t>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470"/>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rPr>
              <w:t>Investments in APS projects  . . . . . . . . . . . . . . . . . . . . . . . . . . . . . . . . . . .</w:t>
            </w:r>
          </w:p>
        </w:tc>
        <w:tc>
          <w:tcPr>
            <w:tcW w:w="24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2,023</w:t>
            </w:r>
          </w:p>
        </w:tc>
        <w:tc>
          <w:tcPr>
            <w:tcW w:w="4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1,786</w:t>
            </w:r>
          </w:p>
        </w:tc>
        <w:tc>
          <w:tcPr>
            <w:tcW w:w="0" w:type="dxa"/>
            <w:vAlign w:val="bottom"/>
          </w:tcPr>
          <w:p>
            <w:pPr>
              <w:spacing w:after="0"/>
              <w:rPr>
                <w:sz w:val="1"/>
                <w:szCs w:val="1"/>
                <w:color w:val="auto"/>
              </w:rPr>
            </w:pPr>
          </w:p>
        </w:tc>
      </w:tr>
      <w:tr>
        <w:trPr>
          <w:trHeight w:val="280"/>
        </w:trPr>
        <w:tc>
          <w:tcPr>
            <w:tcW w:w="6500" w:type="dxa"/>
            <w:vAlign w:val="bottom"/>
          </w:tcPr>
          <w:p>
            <w:pPr>
              <w:spacing w:after="0"/>
              <w:rPr>
                <w:sz w:val="20"/>
                <w:szCs w:val="20"/>
                <w:color w:val="auto"/>
              </w:rPr>
            </w:pPr>
            <w:r>
              <w:rPr>
                <w:rFonts w:ascii="Arial" w:cs="Arial" w:eastAsia="Arial" w:hAnsi="Arial"/>
                <w:sz w:val="20"/>
                <w:szCs w:val="20"/>
                <w:color w:val="auto"/>
              </w:rPr>
              <w:t>Pension and other postretirement plan assets . . . . . . . . . . . . . . . . . . . . .</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904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1,034</w:t>
            </w:r>
          </w:p>
        </w:tc>
        <w:tc>
          <w:tcPr>
            <w:tcW w:w="0" w:type="dxa"/>
            <w:vAlign w:val="bottom"/>
          </w:tcPr>
          <w:p>
            <w:pPr>
              <w:spacing w:after="0"/>
              <w:rPr>
                <w:sz w:val="1"/>
                <w:szCs w:val="1"/>
                <w:color w:val="auto"/>
              </w:rPr>
            </w:pPr>
          </w:p>
        </w:tc>
      </w:tr>
      <w:tr>
        <w:trPr>
          <w:trHeight w:val="28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w w:val="99"/>
              </w:rPr>
              <w:t>Operating lease assets . . . . . . . . . . . . . . . . . . . . . . . . . . . . . . . . . . . . . . . .</w:t>
            </w:r>
          </w:p>
        </w:tc>
        <w:tc>
          <w:tcPr>
            <w:tcW w:w="24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538</w:t>
            </w:r>
          </w:p>
        </w:tc>
        <w:tc>
          <w:tcPr>
            <w:tcW w:w="14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553</w:t>
            </w:r>
          </w:p>
        </w:tc>
        <w:tc>
          <w:tcPr>
            <w:tcW w:w="0" w:type="dxa"/>
            <w:vAlign w:val="bottom"/>
          </w:tcPr>
          <w:p>
            <w:pPr>
              <w:spacing w:after="0"/>
              <w:rPr>
                <w:sz w:val="1"/>
                <w:szCs w:val="1"/>
                <w:color w:val="auto"/>
              </w:rPr>
            </w:pPr>
          </w:p>
        </w:tc>
      </w:tr>
      <w:tr>
        <w:trPr>
          <w:trHeight w:val="280"/>
        </w:trPr>
        <w:tc>
          <w:tcPr>
            <w:tcW w:w="6500" w:type="dxa"/>
            <w:vAlign w:val="bottom"/>
          </w:tcPr>
          <w:p>
            <w:pPr>
              <w:spacing w:after="0"/>
              <w:rPr>
                <w:sz w:val="20"/>
                <w:szCs w:val="20"/>
                <w:color w:val="auto"/>
              </w:rPr>
            </w:pPr>
            <w:r>
              <w:rPr>
                <w:rFonts w:ascii="Arial" w:cs="Arial" w:eastAsia="Arial" w:hAnsi="Arial"/>
                <w:sz w:val="20"/>
                <w:szCs w:val="20"/>
                <w:color w:val="auto"/>
              </w:rPr>
              <w:t>Exploration data costs capitalized . . . . . . . . . . . . . . . . . . . . . . . . . . . . . . .</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141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154</w:t>
            </w:r>
          </w:p>
        </w:tc>
        <w:tc>
          <w:tcPr>
            <w:tcW w:w="0" w:type="dxa"/>
            <w:vAlign w:val="bottom"/>
          </w:tcPr>
          <w:p>
            <w:pPr>
              <w:spacing w:after="0"/>
              <w:rPr>
                <w:sz w:val="1"/>
                <w:szCs w:val="1"/>
                <w:color w:val="auto"/>
              </w:rPr>
            </w:pPr>
          </w:p>
        </w:tc>
      </w:tr>
      <w:tr>
        <w:trPr>
          <w:trHeight w:val="28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rPr>
              <w:t>Fair value of hedge contracts . . . . . . . . . . . . . . . . . . . . . . . . . . . . . . . . . . .</w:t>
            </w:r>
          </w:p>
        </w:tc>
        <w:tc>
          <w:tcPr>
            <w:tcW w:w="24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w:t>
            </w:r>
          </w:p>
        </w:tc>
        <w:tc>
          <w:tcPr>
            <w:tcW w:w="14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82"/>
        </w:trPr>
        <w:tc>
          <w:tcPr>
            <w:tcW w:w="6500" w:type="dxa"/>
            <w:vAlign w:val="bottom"/>
          </w:tcPr>
          <w:p>
            <w:pPr>
              <w:spacing w:after="0"/>
              <w:rPr>
                <w:sz w:val="20"/>
                <w:szCs w:val="20"/>
                <w:color w:val="auto"/>
              </w:rPr>
            </w:pPr>
            <w:r>
              <w:rPr>
                <w:rFonts w:ascii="Arial" w:cs="Arial" w:eastAsia="Arial" w:hAnsi="Arial"/>
                <w:sz w:val="20"/>
                <w:szCs w:val="20"/>
                <w:color w:val="auto"/>
                <w:w w:val="99"/>
              </w:rPr>
              <w:t>Other . . . . . . . . . . . . . . . . . . . . . . . . . . . . . . . . . . . . . . . . . . . . . . . . . . . . . .</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363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CCCC"/>
          </w:tcPr>
          <w:p>
            <w:pPr>
              <w:spacing w:after="0"/>
              <w:rPr>
                <w:sz w:val="23"/>
                <w:szCs w:val="23"/>
                <w:color w:val="auto"/>
              </w:rPr>
            </w:pPr>
          </w:p>
        </w:tc>
        <w:tc>
          <w:tcPr>
            <w:tcW w:w="24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3,970</w:t>
            </w:r>
          </w:p>
        </w:tc>
        <w:tc>
          <w:tcPr>
            <w:tcW w:w="4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4,183</w:t>
            </w:r>
          </w:p>
        </w:tc>
        <w:tc>
          <w:tcPr>
            <w:tcW w:w="0" w:type="dxa"/>
            <w:vAlign w:val="bottom"/>
          </w:tcPr>
          <w:p>
            <w:pPr>
              <w:spacing w:after="0"/>
              <w:rPr>
                <w:sz w:val="1"/>
                <w:szCs w:val="1"/>
                <w:color w:val="auto"/>
              </w:rPr>
            </w:pPr>
          </w:p>
        </w:tc>
      </w:tr>
      <w:tr>
        <w:trPr>
          <w:trHeight w:val="70"/>
        </w:trPr>
        <w:tc>
          <w:tcPr>
            <w:tcW w:w="6500" w:type="dxa"/>
            <w:vAlign w:val="bottom"/>
            <w:vMerge w:val="restart"/>
          </w:tcPr>
          <w:p>
            <w:pPr>
              <w:spacing w:after="0"/>
              <w:rPr>
                <w:sz w:val="20"/>
                <w:szCs w:val="20"/>
                <w:color w:val="auto"/>
              </w:rPr>
            </w:pPr>
            <w:r>
              <w:rPr>
                <w:rFonts w:ascii="Arial" w:cs="Arial" w:eastAsia="Arial" w:hAnsi="Arial"/>
                <w:sz w:val="20"/>
                <w:szCs w:val="20"/>
                <w:i w:val="1"/>
                <w:iCs w:val="1"/>
                <w:color w:val="auto"/>
              </w:rPr>
              <w:t xml:space="preserve">Accounts payable and accrued liabilities </w:t>
            </w:r>
            <w:r>
              <w:rPr>
                <w:rFonts w:ascii="Arial" w:cs="Arial" w:eastAsia="Arial" w:hAnsi="Arial"/>
                <w:sz w:val="20"/>
                <w:szCs w:val="20"/>
                <w:color w:val="auto"/>
              </w:rPr>
              <w:t>consist of the following:</w:t>
            </w: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i w:val="1"/>
                <w:iCs w:val="1"/>
                <w:color w:val="auto"/>
              </w:rPr>
              <w:t>(Stated in millions)</w:t>
            </w:r>
          </w:p>
        </w:tc>
        <w:tc>
          <w:tcPr>
            <w:tcW w:w="0" w:type="dxa"/>
            <w:vAlign w:val="bottom"/>
          </w:tcPr>
          <w:p>
            <w:pPr>
              <w:spacing w:after="0"/>
              <w:rPr>
                <w:sz w:val="1"/>
                <w:szCs w:val="1"/>
                <w:color w:val="auto"/>
              </w:rPr>
            </w:pPr>
          </w:p>
        </w:tc>
      </w:tr>
      <w:tr>
        <w:trPr>
          <w:trHeight w:val="470"/>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w w:val="99"/>
              </w:rPr>
              <w:t>Trade . . . . . . . . . . . . . . . . . . . . . . . . . . . . . . . . . . . . . . . . . . . . . . . . . . . . . .</w:t>
            </w:r>
          </w:p>
        </w:tc>
        <w:tc>
          <w:tcPr>
            <w:tcW w:w="24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3,921</w:t>
            </w:r>
          </w:p>
        </w:tc>
        <w:tc>
          <w:tcPr>
            <w:tcW w:w="4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3,205</w:t>
            </w:r>
          </w:p>
        </w:tc>
        <w:tc>
          <w:tcPr>
            <w:tcW w:w="0" w:type="dxa"/>
            <w:vAlign w:val="bottom"/>
          </w:tcPr>
          <w:p>
            <w:pPr>
              <w:spacing w:after="0"/>
              <w:rPr>
                <w:sz w:val="1"/>
                <w:szCs w:val="1"/>
                <w:color w:val="auto"/>
              </w:rPr>
            </w:pPr>
          </w:p>
        </w:tc>
      </w:tr>
      <w:tr>
        <w:trPr>
          <w:trHeight w:val="280"/>
        </w:trPr>
        <w:tc>
          <w:tcPr>
            <w:tcW w:w="6500" w:type="dxa"/>
            <w:vAlign w:val="bottom"/>
          </w:tcPr>
          <w:p>
            <w:pPr>
              <w:spacing w:after="0"/>
              <w:rPr>
                <w:sz w:val="20"/>
                <w:szCs w:val="20"/>
                <w:color w:val="auto"/>
              </w:rPr>
            </w:pPr>
            <w:r>
              <w:rPr>
                <w:rFonts w:ascii="Arial" w:cs="Arial" w:eastAsia="Arial" w:hAnsi="Arial"/>
                <w:sz w:val="20"/>
                <w:szCs w:val="20"/>
                <w:color w:val="auto"/>
              </w:rPr>
              <w:t>Payroll, vacation and employee benefits . . . . . . . . . . . . . . . . . . . . . . . . . .</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1,493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1,377</w:t>
            </w:r>
          </w:p>
        </w:tc>
        <w:tc>
          <w:tcPr>
            <w:tcW w:w="0" w:type="dxa"/>
            <w:vAlign w:val="bottom"/>
          </w:tcPr>
          <w:p>
            <w:pPr>
              <w:spacing w:after="0"/>
              <w:rPr>
                <w:sz w:val="1"/>
                <w:szCs w:val="1"/>
                <w:color w:val="auto"/>
              </w:rPr>
            </w:pPr>
          </w:p>
        </w:tc>
      </w:tr>
      <w:tr>
        <w:trPr>
          <w:trHeight w:val="280"/>
        </w:trPr>
        <w:tc>
          <w:tcPr>
            <w:tcW w:w="6500" w:type="dxa"/>
            <w:vAlign w:val="bottom"/>
            <w:shd w:val="clear" w:color="auto" w:fill="CCCCCC"/>
          </w:tcPr>
          <w:p>
            <w:pPr>
              <w:spacing w:after="0"/>
              <w:rPr>
                <w:sz w:val="20"/>
                <w:szCs w:val="20"/>
                <w:color w:val="auto"/>
              </w:rPr>
            </w:pPr>
            <w:r>
              <w:rPr>
                <w:rFonts w:ascii="Arial" w:cs="Arial" w:eastAsia="Arial" w:hAnsi="Arial"/>
                <w:sz w:val="20"/>
                <w:szCs w:val="20"/>
                <w:color w:val="auto"/>
              </w:rPr>
              <w:t>Billings and cash collections in excess of revenue . . . . . . . . . . . . . . . . . .</w:t>
            </w:r>
          </w:p>
        </w:tc>
        <w:tc>
          <w:tcPr>
            <w:tcW w:w="240" w:type="dxa"/>
            <w:vAlign w:val="bottom"/>
            <w:shd w:val="clear" w:color="auto" w:fill="CCCCCC"/>
          </w:tcPr>
          <w:p>
            <w:pPr>
              <w:spacing w:after="0"/>
              <w:rPr>
                <w:sz w:val="24"/>
                <w:szCs w:val="24"/>
                <w:color w:val="auto"/>
              </w:rPr>
            </w:pP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1,157</w:t>
            </w:r>
          </w:p>
        </w:tc>
        <w:tc>
          <w:tcPr>
            <w:tcW w:w="140" w:type="dxa"/>
            <w:vAlign w:val="bottom"/>
            <w:shd w:val="clear" w:color="auto" w:fill="CCCCCC"/>
          </w:tcPr>
          <w:p>
            <w:pPr>
              <w:spacing w:after="0"/>
              <w:rPr>
                <w:sz w:val="24"/>
                <w:szCs w:val="24"/>
                <w:color w:val="auto"/>
              </w:rPr>
            </w:pPr>
          </w:p>
        </w:tc>
        <w:tc>
          <w:tcPr>
            <w:tcW w:w="260" w:type="dxa"/>
            <w:vAlign w:val="bottom"/>
            <w:shd w:val="clear" w:color="auto" w:fill="CCCCCC"/>
          </w:tcPr>
          <w:p>
            <w:pPr>
              <w:spacing w:after="0"/>
              <w:rPr>
                <w:sz w:val="24"/>
                <w:szCs w:val="24"/>
                <w:color w:val="auto"/>
              </w:rPr>
            </w:pP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1,088</w:t>
            </w:r>
          </w:p>
        </w:tc>
        <w:tc>
          <w:tcPr>
            <w:tcW w:w="0" w:type="dxa"/>
            <w:vAlign w:val="bottom"/>
          </w:tcPr>
          <w:p>
            <w:pPr>
              <w:spacing w:after="0"/>
              <w:rPr>
                <w:sz w:val="1"/>
                <w:szCs w:val="1"/>
                <w:color w:val="auto"/>
              </w:rPr>
            </w:pPr>
          </w:p>
        </w:tc>
      </w:tr>
      <w:tr>
        <w:trPr>
          <w:trHeight w:val="282"/>
        </w:trPr>
        <w:tc>
          <w:tcPr>
            <w:tcW w:w="6500" w:type="dxa"/>
            <w:vAlign w:val="bottom"/>
          </w:tcPr>
          <w:p>
            <w:pPr>
              <w:spacing w:after="0"/>
              <w:rPr>
                <w:sz w:val="20"/>
                <w:szCs w:val="20"/>
                <w:color w:val="auto"/>
              </w:rPr>
            </w:pPr>
            <w:r>
              <w:rPr>
                <w:rFonts w:ascii="Arial" w:cs="Arial" w:eastAsia="Arial" w:hAnsi="Arial"/>
                <w:sz w:val="20"/>
                <w:szCs w:val="20"/>
                <w:color w:val="auto"/>
                <w:w w:val="99"/>
              </w:rPr>
              <w:t>Other . . . . . . . . . . . . . . . . . . . . . . . . . . . . . . . . . . . . . . . . . . . . . . . . . . . . . .</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2,550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2,712</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CCCC"/>
          </w:tcPr>
          <w:p>
            <w:pPr>
              <w:spacing w:after="0"/>
              <w:rPr>
                <w:sz w:val="23"/>
                <w:szCs w:val="23"/>
                <w:color w:val="auto"/>
              </w:rPr>
            </w:pPr>
          </w:p>
        </w:tc>
        <w:tc>
          <w:tcPr>
            <w:tcW w:w="240" w:type="dxa"/>
            <w:vAlign w:val="bottom"/>
            <w:shd w:val="clear" w:color="auto" w:fill="CCCCCC"/>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020" w:type="dxa"/>
            <w:vAlign w:val="bottom"/>
            <w:gridSpan w:val="2"/>
            <w:shd w:val="clear" w:color="auto" w:fill="CCCCCC"/>
          </w:tcPr>
          <w:p>
            <w:pPr>
              <w:jc w:val="right"/>
              <w:ind w:right="60"/>
              <w:spacing w:after="0"/>
              <w:rPr>
                <w:sz w:val="20"/>
                <w:szCs w:val="20"/>
                <w:color w:val="auto"/>
              </w:rPr>
            </w:pPr>
            <w:r>
              <w:rPr>
                <w:rFonts w:ascii="Arial" w:cs="Arial" w:eastAsia="Arial" w:hAnsi="Arial"/>
                <w:sz w:val="20"/>
                <w:szCs w:val="20"/>
                <w:b w:val="1"/>
                <w:bCs w:val="1"/>
                <w:color w:val="auto"/>
              </w:rPr>
              <w:t>9,121</w:t>
            </w:r>
          </w:p>
        </w:tc>
        <w:tc>
          <w:tcPr>
            <w:tcW w:w="400" w:type="dxa"/>
            <w:vAlign w:val="bottom"/>
            <w:gridSpan w:val="2"/>
            <w:shd w:val="clear" w:color="auto" w:fill="CCCCCC"/>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CCCC"/>
          </w:tcPr>
          <w:p>
            <w:pPr>
              <w:jc w:val="right"/>
              <w:spacing w:after="0"/>
              <w:rPr>
                <w:sz w:val="20"/>
                <w:szCs w:val="20"/>
                <w:color w:val="auto"/>
              </w:rPr>
            </w:pPr>
            <w:r>
              <w:rPr>
                <w:rFonts w:ascii="Arial" w:cs="Arial" w:eastAsia="Arial" w:hAnsi="Arial"/>
                <w:sz w:val="20"/>
                <w:szCs w:val="20"/>
                <w:color w:val="auto"/>
              </w:rPr>
              <w:t>8,382</w:t>
            </w:r>
          </w:p>
        </w:tc>
        <w:tc>
          <w:tcPr>
            <w:tcW w:w="0" w:type="dxa"/>
            <w:vAlign w:val="bottom"/>
          </w:tcPr>
          <w:p>
            <w:pPr>
              <w:spacing w:after="0"/>
              <w:rPr>
                <w:sz w:val="1"/>
                <w:szCs w:val="1"/>
                <w:color w:val="auto"/>
              </w:rPr>
            </w:pPr>
          </w:p>
        </w:tc>
      </w:tr>
      <w:tr>
        <w:trPr>
          <w:trHeight w:val="70"/>
        </w:trPr>
        <w:tc>
          <w:tcPr>
            <w:tcW w:w="65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9360"/>
          </w:cols>
          <w:pgMar w:left="1440" w:top="1440" w:right="1440" w:bottom="836" w:gutter="0" w:footer="0" w:header="0"/>
          <w:type w:val="continuous"/>
        </w:sectPr>
      </w:pPr>
    </w:p>
    <w:bookmarkStart w:id="98" w:name="page99"/>
    <w:bookmarkEnd w:id="98"/>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management is responsible for establishing and maintaining adequate internal control over financial reporting as defined in Rule 13a–15(f) of the Securities Exchange Act of 1934, as amended (the “Exchange Act”). SLB’s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4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SLB management assessed the effectiveness of its internal control over financial reporting as of December 31, 2022. In making this assessment, it used the criteria set forth in 2013 by the Committee of Sponsoring Organizations of the Treadway Commission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Based on this assessment SLB’s management has concluded that, as of December 31, 2022, its internal control over financial reporting is effective based on those criteria.</w:t>
      </w:r>
    </w:p>
    <w:p>
      <w:pPr>
        <w:spacing w:after="0" w:line="24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effectiveness of SLB’s internal control over financial reporting as of December 31, 2022 has been audited by PricewaterhouseCoopers LLP, an independent registered public accounting firm, as stated in their report which appears herein.</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9360"/>
          </w:cols>
          <w:pgMar w:left="1440" w:top="1440" w:right="1440" w:bottom="836" w:gutter="0" w:footer="0" w:header="0"/>
          <w:type w:val="continuous"/>
        </w:sectPr>
      </w:pPr>
    </w:p>
    <w:bookmarkStart w:id="99" w:name="page100"/>
    <w:bookmarkEnd w:id="99"/>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 the Board of Directors and Stockholders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of Schlumberger Limited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6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We have audited the accompanying consolidated balance sheet of Schlumberger Limited and its subsidiaries (the “Company”) as of December 31, 2022 and 2021, and the related consolidated statements of income (loss), comprehensive income (loss), stockholders’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(2013) issued by the Committee of Sponsoring Organizations of the Treadway Commission (COSO).</w:t>
      </w:r>
    </w:p>
    <w:p>
      <w:pPr>
        <w:spacing w:after="0" w:line="11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20"/>
          <w:szCs w:val="20"/>
          <w:i w:val="1"/>
          <w:iCs w:val="1"/>
          <w:color w:val="auto"/>
        </w:rPr>
        <w:t>Internal Control—Integrated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Framework </w:t>
      </w:r>
      <w:r>
        <w:rPr>
          <w:rFonts w:ascii="Arial" w:cs="Arial" w:eastAsia="Arial" w:hAnsi="Arial"/>
          <w:sz w:val="20"/>
          <w:szCs w:val="20"/>
          <w:color w:val="auto"/>
        </w:rPr>
        <w:t>(2013) issued by the COSO.</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6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0"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65"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w:t>
      </w:r>
    </w:p>
    <w:p>
      <w:pPr>
        <w:sectPr>
          <w:pgSz w:w="12240" w:h="15840" w:orient="portrait"/>
          <w:cols w:equalWidth="0" w:num="1">
            <w:col w:w="9360"/>
          </w:cols>
          <w:pgMar w:left="1440" w:top="1440" w:right="1440" w:bottom="836"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9360"/>
          </w:cols>
          <w:pgMar w:left="1440" w:top="1440" w:right="1440" w:bottom="836" w:gutter="0" w:footer="0" w:header="0"/>
          <w:type w:val="continuous"/>
        </w:sectPr>
      </w:pPr>
    </w:p>
    <w:bookmarkStart w:id="100" w:name="page101"/>
    <w:bookmarkEnd w:id="100"/>
    <w:p>
      <w:pPr>
        <w:spacing w:after="0" w:line="56"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0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Uncertain Tax Positions</w:t>
      </w:r>
    </w:p>
    <w:p>
      <w:pPr>
        <w:spacing w:after="0" w:line="107"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As described in Note 12 to the consolidated financial statements, the Company’s tax filings are subject to regular audit by the tax authorities, and those audits may result in assessments for additional taxes that are resolved with the tax authorities or, potentially, through the courts. Tax liabilities are recorded based on estimates of additional taxes that will be due upon the conclusion of these audits.</w:t>
      </w:r>
    </w:p>
    <w:p>
      <w:pPr>
        <w:spacing w:after="0" w:line="195"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principal considerations for our determination that performing procedures relating to uncertain tax positions is a critical audit matter are the significant judgment applied by management in determining these liabilities including a high degree of estimation uncertainty due to the uncertain and complex application of tax regulations, which in turn led to a high degree of auditor judgment, subjectivity, and effort in performing procedures to evaluate management’s estimates.</w:t>
      </w:r>
    </w:p>
    <w:p>
      <w:pPr>
        <w:spacing w:after="0" w:line="193"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uncertain tax positions. These procedures also included, among others (i) evaluating management’s process for determining the estimated liabilities for uncertain tax positions, (ii) testing the completeness and reasonableness of uncertain tax positions recorded in the consolidated financial statements, and</w:t>
      </w:r>
    </w:p>
    <w:p>
      <w:pPr>
        <w:spacing w:after="0" w:line="8" w:lineRule="exact"/>
        <w:rPr>
          <w:sz w:val="20"/>
          <w:szCs w:val="20"/>
          <w:color w:val="auto"/>
        </w:rPr>
      </w:pPr>
    </w:p>
    <w:p>
      <w:pPr>
        <w:jc w:val="both"/>
        <w:ind w:left="120" w:right="120"/>
        <w:spacing w:after="0" w:line="248" w:lineRule="auto"/>
        <w:tabs>
          <w:tab w:leader="none" w:pos="463" w:val="left"/>
        </w:tabs>
        <w:numPr>
          <w:ilvl w:val="0"/>
          <w:numId w:val="76"/>
        </w:numPr>
        <w:rPr>
          <w:rFonts w:ascii="Arial" w:cs="Arial" w:eastAsia="Arial" w:hAnsi="Arial"/>
          <w:sz w:val="20"/>
          <w:szCs w:val="20"/>
          <w:color w:val="auto"/>
        </w:rPr>
      </w:pPr>
      <w:r>
        <w:rPr>
          <w:rFonts w:ascii="Arial" w:cs="Arial" w:eastAsia="Arial" w:hAnsi="Arial"/>
          <w:sz w:val="20"/>
          <w:szCs w:val="20"/>
          <w:color w:val="auto"/>
        </w:rPr>
        <w:t>evaluating assessments received from the relevant tax authorities. Professionals with specialized skill and knowledge were used to assist in evaluating the reasonableness of assumptions used by management, including management’s assessment of whether tax positions are more-likely-than-not of being sustained.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PricewaterhouseCoopers LLP</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Houston, Texas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January 25, 2023</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We have served as the Company’s auditor since 1952.</w:t>
      </w:r>
    </w:p>
    <w:p>
      <w:pPr>
        <w:sectPr>
          <w:pgSz w:w="12240" w:h="15840" w:orient="portrait"/>
          <w:cols w:equalWidth="0" w:num="1">
            <w:col w:w="9360"/>
          </w:cols>
          <w:pgMar w:left="1440" w:top="1440" w:right="1440" w:bottom="836"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9360"/>
          </w:cols>
          <w:pgMar w:left="1440" w:top="1440" w:right="1440" w:bottom="836" w:gutter="0" w:footer="0" w:header="0"/>
          <w:type w:val="continuous"/>
        </w:sectPr>
      </w:pPr>
    </w:p>
    <w:bookmarkStart w:id="101" w:name="page102"/>
    <w:bookmarkEnd w:id="101"/>
    <w:p>
      <w:pPr>
        <w:spacing w:after="0" w:line="52"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None.</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9A. Controls and Procedures.</w:t>
      </w:r>
    </w:p>
    <w:p>
      <w:pPr>
        <w:spacing w:after="0" w:line="134"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SLB’s internal control over financial reporting that occurred during the fourth quarter of 2022 that has materially affected, or is reasonably likely to materially affect, SLB’s internal control over financial reporting.</w:t>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9B. Other Information.</w:t>
      </w:r>
    </w:p>
    <w:p>
      <w:pPr>
        <w:spacing w:after="0" w:line="13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In 2013, SLB completed the wind-down of its service operations in Iran. Prior to this, certain non-US subsidiaries provided oilfield services to the National Iranian Oil Company and certain of its affiliates (“NIOC”).</w:t>
      </w:r>
    </w:p>
    <w:p>
      <w:pPr>
        <w:spacing w:after="0" w:line="247"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SLB’s residual transactions or dealings with the government of Iran in 2022 consisted of payments of taxes and other typical governmental charges. Certain non-US subsidiaries of SLB maintained depository accounts at the Dubai branch of Bank Saderat Iran (“Saderat”), and at Bank Tejarat (“Tejarat”) in Tehran and in Kish for the deposit by NIOC of amounts owed to non-US subsidiaries of SLB for services rendered in Iran prior to the wind-down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9C. Disclosure Regarding Foreign Jurisdictions that Prevent Inspections.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9360"/>
          </w:cols>
          <w:pgMar w:left="1440" w:top="1440" w:right="1440" w:bottom="836" w:gutter="0" w:footer="0" w:header="0"/>
          <w:type w:val="continuous"/>
        </w:sectPr>
      </w:pPr>
    </w:p>
    <w:bookmarkStart w:id="102" w:name="page103"/>
    <w:bookmarkEnd w:id="102"/>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 III</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10. Directors, Executive Officers and Corporate Governance of SLB.</w:t>
      </w:r>
    </w:p>
    <w:p>
      <w:pPr>
        <w:spacing w:after="0" w:line="13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See “Item 1. Business—Information About Our Executive Officers” of this Report for information regarding SLB’s executive officers. The information set forth under the captions “Election of Directors,” “Corporate Governance—Process for Selecting New Directors,” and “Corporate Governance—Board Committees” in SLB’s 2023 Proxy Statement is incorporated herein by reference. The information set forth under the caption “Stock Ownership Information—Delinquent Section 16(a) Reports” in SLB’s 2023 Proxy Statement is incorporated herein by reference to the extent any disclosure is required.</w:t>
      </w:r>
    </w:p>
    <w:p>
      <w:pPr>
        <w:spacing w:after="0" w:line="24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SLB has a Code of Conduct that applies to all of its directors, officers and employees, including its principal executive, financial and accounting officers, or persons performing similar functions. SLB’s Code of Conduct is posted on its website at https://www.slb.com/who-we-are/guiding-principles/our-code-of-conduct. SLB intends to disclose future amendments to the Code of Conduct and any grant of a waiver from a provision of the Code of Conduct requiring disclosure under applicable SEC rules at https://www.slb.com/who-we-are/guiding-principles/our-code-of-conduct.</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11. Executive Compensation.</w:t>
      </w:r>
    </w:p>
    <w:p>
      <w:pPr>
        <w:spacing w:after="0" w:line="13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information set forth under the captions “Compensation Committee Report,” “Compensation Discussion and Analysis,” “Executive Compensation Tables,” “Pay Versus Performance,” and “Director Compensation” in SLB’s 2023 Proxy Statement is incorporated herein by reference.</w:t>
      </w:r>
    </w:p>
    <w:p>
      <w:pPr>
        <w:spacing w:after="0" w:line="363"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20"/>
          <w:szCs w:val="20"/>
          <w:b w:val="1"/>
          <w:bCs w:val="1"/>
          <w:u w:val="single" w:color="auto"/>
          <w:color w:val="auto"/>
        </w:rPr>
        <w:t>Item 12. Security Ownership of Certain Beneficial Owners and Management and Related Stockholder Matters.</w:t>
      </w:r>
    </w:p>
    <w:p>
      <w:pPr>
        <w:spacing w:after="0" w:line="12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information under the captions “Stock Ownership Information—Security Ownership by Management and Our Board,” “Stock Ownership Information—Security Ownership by Certain Beneficial Owners,” and “Executive Compensation Tables—Equity Compensation Plan Information” in SLB’s 2023 Proxy Statement is incorporated herein by reference.</w:t>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13. Certain Relationships and Related Transactions, and Director Independence.</w:t>
      </w:r>
    </w:p>
    <w:p>
      <w:pPr>
        <w:spacing w:after="0" w:line="13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The information under the captions “Corporate Governance—Director Independence” and “Corporate Governance—Certain Relationships and Related Person Transactions” in SLB’s 2023 Proxy Statement is incorporated herein by reference.</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14. Principal Accounting Fees and Services.</w:t>
      </w:r>
    </w:p>
    <w:p>
      <w:pPr>
        <w:spacing w:after="0" w:line="134"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The information under the caption “Ratification of Appointment of Independent Auditors for 2023” in SLB’s 2023 Proxy Statement is incorporated herein by reference.</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9360"/>
          </w:cols>
          <w:pgMar w:left="1440" w:top="1440" w:right="1440" w:bottom="836" w:gutter="0" w:footer="0" w:header="0"/>
          <w:type w:val="continuous"/>
        </w:sectPr>
      </w:pPr>
    </w:p>
    <w:bookmarkStart w:id="103" w:name="page104"/>
    <w:bookmarkEnd w:id="103"/>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 IV</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15. Exhibits and Financial Statement Schedules.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  The following documents are filed as part of this Report:</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080" w:type="dxa"/>
            <w:vAlign w:val="bottom"/>
          </w:tcPr>
          <w:p>
            <w:pPr>
              <w:jc w:val="center"/>
              <w:ind w:left="103"/>
              <w:spacing w:after="0"/>
              <w:rPr>
                <w:sz w:val="20"/>
                <w:szCs w:val="20"/>
                <w:color w:val="auto"/>
              </w:rPr>
            </w:pPr>
            <w:r>
              <w:rPr>
                <w:rFonts w:ascii="Arial" w:cs="Arial" w:eastAsia="Arial" w:hAnsi="Arial"/>
                <w:sz w:val="16"/>
                <w:szCs w:val="16"/>
                <w:color w:val="auto"/>
                <w:w w:val="99"/>
              </w:rPr>
              <w:t>Page(s)</w:t>
            </w:r>
          </w:p>
        </w:tc>
      </w:tr>
      <w:tr>
        <w:trPr>
          <w:trHeight w:val="250"/>
        </w:trPr>
        <w:tc>
          <w:tcPr>
            <w:tcW w:w="6280" w:type="dxa"/>
            <w:vAlign w:val="bottom"/>
          </w:tcPr>
          <w:p>
            <w:pPr>
              <w:jc w:val="right"/>
              <w:ind w:right="3860"/>
              <w:spacing w:after="0"/>
              <w:rPr>
                <w:sz w:val="20"/>
                <w:szCs w:val="20"/>
                <w:color w:val="auto"/>
              </w:rPr>
            </w:pPr>
            <w:r>
              <w:rPr>
                <w:rFonts w:ascii="Arial" w:cs="Arial" w:eastAsia="Arial" w:hAnsi="Arial"/>
                <w:sz w:val="20"/>
                <w:szCs w:val="20"/>
                <w:color w:val="auto"/>
              </w:rPr>
              <w:t>(1)  Financial Statements</w:t>
            </w:r>
          </w:p>
        </w:tc>
        <w:tc>
          <w:tcPr>
            <w:tcW w:w="1080" w:type="dxa"/>
            <w:vAlign w:val="bottom"/>
          </w:tcPr>
          <w:p>
            <w:pPr>
              <w:spacing w:after="0"/>
              <w:rPr>
                <w:sz w:val="21"/>
                <w:szCs w:val="21"/>
                <w:color w:val="auto"/>
              </w:rPr>
            </w:pPr>
          </w:p>
        </w:tc>
      </w:tr>
      <w:tr>
        <w:trPr>
          <w:trHeight w:val="240"/>
        </w:trPr>
        <w:tc>
          <w:tcPr>
            <w:tcW w:w="6280" w:type="dxa"/>
            <w:vAlign w:val="bottom"/>
          </w:tcPr>
          <w:p>
            <w:pPr>
              <w:ind w:left="440"/>
              <w:spacing w:after="0"/>
              <w:rPr>
                <w:sz w:val="20"/>
                <w:szCs w:val="20"/>
                <w:color w:val="auto"/>
              </w:rPr>
            </w:pPr>
            <w:r>
              <w:rPr>
                <w:rFonts w:ascii="Arial" w:cs="Arial" w:eastAsia="Arial" w:hAnsi="Arial"/>
                <w:sz w:val="20"/>
                <w:szCs w:val="20"/>
                <w:color w:val="auto"/>
              </w:rPr>
              <w:t>Consolidated Statement of Income (Loss) for the three years</w:t>
            </w:r>
          </w:p>
        </w:tc>
        <w:tc>
          <w:tcPr>
            <w:tcW w:w="1080" w:type="dxa"/>
            <w:vAlign w:val="bottom"/>
          </w:tcPr>
          <w:p>
            <w:pPr>
              <w:spacing w:after="0"/>
              <w:rPr>
                <w:sz w:val="20"/>
                <w:szCs w:val="20"/>
                <w:color w:val="auto"/>
              </w:rPr>
            </w:pPr>
          </w:p>
        </w:tc>
      </w:tr>
      <w:tr>
        <w:trPr>
          <w:trHeight w:val="240"/>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ended December 31, 2022 . . . . . . . . . . . . . . . . . . . . . . . . . . . . .</w:t>
            </w:r>
          </w:p>
        </w:tc>
        <w:tc>
          <w:tcPr>
            <w:tcW w:w="1080" w:type="dxa"/>
            <w:vAlign w:val="bottom"/>
          </w:tcPr>
          <w:p>
            <w:pPr>
              <w:jc w:val="center"/>
              <w:ind w:left="83"/>
              <w:spacing w:after="0"/>
              <w:rPr>
                <w:sz w:val="20"/>
                <w:szCs w:val="20"/>
                <w:color w:val="auto"/>
              </w:rPr>
            </w:pPr>
            <w:r>
              <w:rPr>
                <w:rFonts w:ascii="Arial" w:cs="Arial" w:eastAsia="Arial" w:hAnsi="Arial"/>
                <w:sz w:val="20"/>
                <w:szCs w:val="20"/>
                <w:color w:val="auto"/>
                <w:w w:val="98"/>
              </w:rPr>
              <w:t>38</w:t>
            </w:r>
          </w:p>
        </w:tc>
      </w:tr>
      <w:tr>
        <w:trPr>
          <w:trHeight w:val="240"/>
        </w:trPr>
        <w:tc>
          <w:tcPr>
            <w:tcW w:w="6280" w:type="dxa"/>
            <w:vAlign w:val="bottom"/>
          </w:tcPr>
          <w:p>
            <w:pPr>
              <w:ind w:left="440"/>
              <w:spacing w:after="0"/>
              <w:rPr>
                <w:sz w:val="20"/>
                <w:szCs w:val="20"/>
                <w:color w:val="auto"/>
              </w:rPr>
            </w:pPr>
            <w:r>
              <w:rPr>
                <w:rFonts w:ascii="Arial" w:cs="Arial" w:eastAsia="Arial" w:hAnsi="Arial"/>
                <w:sz w:val="20"/>
                <w:szCs w:val="20"/>
                <w:color w:val="auto"/>
              </w:rPr>
              <w:t>Consolidated Statement of Comprehensive Income (Loss) for</w:t>
            </w:r>
          </w:p>
        </w:tc>
        <w:tc>
          <w:tcPr>
            <w:tcW w:w="1080" w:type="dxa"/>
            <w:vAlign w:val="bottom"/>
          </w:tcPr>
          <w:p>
            <w:pPr>
              <w:spacing w:after="0"/>
              <w:rPr>
                <w:sz w:val="20"/>
                <w:szCs w:val="20"/>
                <w:color w:val="auto"/>
              </w:rPr>
            </w:pPr>
          </w:p>
        </w:tc>
      </w:tr>
      <w:tr>
        <w:trPr>
          <w:trHeight w:val="240"/>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the three years ended December 31, 2022 . . . . . . . . . . . . . . . .</w:t>
            </w:r>
          </w:p>
        </w:tc>
        <w:tc>
          <w:tcPr>
            <w:tcW w:w="1080" w:type="dxa"/>
            <w:vAlign w:val="bottom"/>
          </w:tcPr>
          <w:p>
            <w:pPr>
              <w:jc w:val="center"/>
              <w:ind w:left="83"/>
              <w:spacing w:after="0"/>
              <w:rPr>
                <w:sz w:val="20"/>
                <w:szCs w:val="20"/>
                <w:color w:val="auto"/>
              </w:rPr>
            </w:pPr>
            <w:r>
              <w:rPr>
                <w:rFonts w:ascii="Arial" w:cs="Arial" w:eastAsia="Arial" w:hAnsi="Arial"/>
                <w:sz w:val="20"/>
                <w:szCs w:val="20"/>
                <w:color w:val="auto"/>
                <w:w w:val="98"/>
              </w:rPr>
              <w:t>39</w:t>
            </w:r>
          </w:p>
        </w:tc>
      </w:tr>
      <w:tr>
        <w:trPr>
          <w:trHeight w:val="240"/>
        </w:trPr>
        <w:tc>
          <w:tcPr>
            <w:tcW w:w="6280" w:type="dxa"/>
            <w:vAlign w:val="bottom"/>
          </w:tcPr>
          <w:p>
            <w:pPr>
              <w:ind w:left="440"/>
              <w:spacing w:after="0"/>
              <w:rPr>
                <w:sz w:val="20"/>
                <w:szCs w:val="20"/>
                <w:color w:val="auto"/>
              </w:rPr>
            </w:pPr>
            <w:r>
              <w:rPr>
                <w:rFonts w:ascii="Arial" w:cs="Arial" w:eastAsia="Arial" w:hAnsi="Arial"/>
                <w:sz w:val="20"/>
                <w:szCs w:val="20"/>
                <w:color w:val="auto"/>
              </w:rPr>
              <w:t>Consolidated Balance Sheet at December 31, 2022 and</w:t>
            </w:r>
          </w:p>
        </w:tc>
        <w:tc>
          <w:tcPr>
            <w:tcW w:w="1080" w:type="dxa"/>
            <w:vAlign w:val="bottom"/>
          </w:tcPr>
          <w:p>
            <w:pPr>
              <w:spacing w:after="0"/>
              <w:rPr>
                <w:sz w:val="20"/>
                <w:szCs w:val="20"/>
                <w:color w:val="auto"/>
              </w:rPr>
            </w:pPr>
          </w:p>
        </w:tc>
      </w:tr>
      <w:tr>
        <w:trPr>
          <w:trHeight w:val="240"/>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2021 . . . . . . . . . . . . . . . . . . . . . . . . . . . . . . . . . . . . . . . . . . . . . . .</w:t>
            </w:r>
          </w:p>
        </w:tc>
        <w:tc>
          <w:tcPr>
            <w:tcW w:w="1080" w:type="dxa"/>
            <w:vAlign w:val="bottom"/>
          </w:tcPr>
          <w:p>
            <w:pPr>
              <w:jc w:val="center"/>
              <w:ind w:left="83"/>
              <w:spacing w:after="0"/>
              <w:rPr>
                <w:sz w:val="20"/>
                <w:szCs w:val="20"/>
                <w:color w:val="auto"/>
              </w:rPr>
            </w:pPr>
            <w:r>
              <w:rPr>
                <w:rFonts w:ascii="Arial" w:cs="Arial" w:eastAsia="Arial" w:hAnsi="Arial"/>
                <w:sz w:val="20"/>
                <w:szCs w:val="20"/>
                <w:color w:val="auto"/>
                <w:w w:val="98"/>
              </w:rPr>
              <w:t>40</w:t>
            </w:r>
          </w:p>
        </w:tc>
      </w:tr>
      <w:tr>
        <w:trPr>
          <w:trHeight w:val="240"/>
        </w:trPr>
        <w:tc>
          <w:tcPr>
            <w:tcW w:w="6280" w:type="dxa"/>
            <w:vAlign w:val="bottom"/>
          </w:tcPr>
          <w:p>
            <w:pPr>
              <w:ind w:left="440"/>
              <w:spacing w:after="0"/>
              <w:rPr>
                <w:sz w:val="20"/>
                <w:szCs w:val="20"/>
                <w:color w:val="auto"/>
              </w:rPr>
            </w:pPr>
            <w:r>
              <w:rPr>
                <w:rFonts w:ascii="Arial" w:cs="Arial" w:eastAsia="Arial" w:hAnsi="Arial"/>
                <w:sz w:val="20"/>
                <w:szCs w:val="20"/>
                <w:color w:val="auto"/>
              </w:rPr>
              <w:t>Consolidated Statement of Cash Flows for the three years</w:t>
            </w:r>
          </w:p>
        </w:tc>
        <w:tc>
          <w:tcPr>
            <w:tcW w:w="1080" w:type="dxa"/>
            <w:vAlign w:val="bottom"/>
          </w:tcPr>
          <w:p>
            <w:pPr>
              <w:spacing w:after="0"/>
              <w:rPr>
                <w:sz w:val="20"/>
                <w:szCs w:val="20"/>
                <w:color w:val="auto"/>
              </w:rPr>
            </w:pPr>
          </w:p>
        </w:tc>
      </w:tr>
      <w:tr>
        <w:trPr>
          <w:trHeight w:val="240"/>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ended December 31, 2022 . . . . . . . . . . . . . . . . . . . . . . . . . . . . .</w:t>
            </w:r>
          </w:p>
        </w:tc>
        <w:tc>
          <w:tcPr>
            <w:tcW w:w="1080" w:type="dxa"/>
            <w:vAlign w:val="bottom"/>
          </w:tcPr>
          <w:p>
            <w:pPr>
              <w:jc w:val="center"/>
              <w:ind w:left="83"/>
              <w:spacing w:after="0"/>
              <w:rPr>
                <w:sz w:val="20"/>
                <w:szCs w:val="20"/>
                <w:color w:val="auto"/>
              </w:rPr>
            </w:pPr>
            <w:r>
              <w:rPr>
                <w:rFonts w:ascii="Arial" w:cs="Arial" w:eastAsia="Arial" w:hAnsi="Arial"/>
                <w:sz w:val="20"/>
                <w:szCs w:val="20"/>
                <w:color w:val="auto"/>
                <w:w w:val="98"/>
              </w:rPr>
              <w:t>41</w:t>
            </w:r>
          </w:p>
        </w:tc>
      </w:tr>
      <w:tr>
        <w:trPr>
          <w:trHeight w:val="240"/>
        </w:trPr>
        <w:tc>
          <w:tcPr>
            <w:tcW w:w="6280" w:type="dxa"/>
            <w:vAlign w:val="bottom"/>
          </w:tcPr>
          <w:p>
            <w:pPr>
              <w:ind w:left="440"/>
              <w:spacing w:after="0"/>
              <w:rPr>
                <w:sz w:val="20"/>
                <w:szCs w:val="20"/>
                <w:color w:val="auto"/>
              </w:rPr>
            </w:pPr>
            <w:r>
              <w:rPr>
                <w:rFonts w:ascii="Arial" w:cs="Arial" w:eastAsia="Arial" w:hAnsi="Arial"/>
                <w:sz w:val="20"/>
                <w:szCs w:val="20"/>
                <w:color w:val="auto"/>
              </w:rPr>
              <w:t>Consolidated Statement of Stockholders’ Equity for the three</w:t>
            </w:r>
          </w:p>
        </w:tc>
        <w:tc>
          <w:tcPr>
            <w:tcW w:w="1080" w:type="dxa"/>
            <w:vAlign w:val="bottom"/>
          </w:tcPr>
          <w:p>
            <w:pPr>
              <w:spacing w:after="0"/>
              <w:rPr>
                <w:sz w:val="20"/>
                <w:szCs w:val="20"/>
                <w:color w:val="auto"/>
              </w:rPr>
            </w:pPr>
          </w:p>
        </w:tc>
      </w:tr>
      <w:tr>
        <w:trPr>
          <w:trHeight w:val="240"/>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years ended December 31, 2022 . . . . . . . . . . . . . . . . . . . . . . . .</w:t>
            </w:r>
          </w:p>
        </w:tc>
        <w:tc>
          <w:tcPr>
            <w:tcW w:w="1080" w:type="dxa"/>
            <w:vAlign w:val="bottom"/>
          </w:tcPr>
          <w:p>
            <w:pPr>
              <w:jc w:val="center"/>
              <w:ind w:left="103"/>
              <w:spacing w:after="0"/>
              <w:rPr>
                <w:sz w:val="20"/>
                <w:szCs w:val="20"/>
                <w:color w:val="auto"/>
              </w:rPr>
            </w:pPr>
            <w:r>
              <w:rPr>
                <w:rFonts w:ascii="Arial" w:cs="Arial" w:eastAsia="Arial" w:hAnsi="Arial"/>
                <w:sz w:val="20"/>
                <w:szCs w:val="20"/>
                <w:color w:val="auto"/>
                <w:w w:val="98"/>
              </w:rPr>
              <w:t>42 and 43</w:t>
            </w:r>
          </w:p>
        </w:tc>
      </w:tr>
      <w:tr>
        <w:trPr>
          <w:trHeight w:val="240"/>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Notes to Consolidated Financial Statements . . . . . . . . . . . . . . . .</w:t>
            </w:r>
          </w:p>
        </w:tc>
        <w:tc>
          <w:tcPr>
            <w:tcW w:w="1080" w:type="dxa"/>
            <w:vAlign w:val="bottom"/>
          </w:tcPr>
          <w:p>
            <w:pPr>
              <w:jc w:val="center"/>
              <w:ind w:left="103"/>
              <w:spacing w:after="0"/>
              <w:rPr>
                <w:sz w:val="20"/>
                <w:szCs w:val="20"/>
                <w:color w:val="auto"/>
              </w:rPr>
            </w:pPr>
            <w:r>
              <w:rPr>
                <w:rFonts w:ascii="Arial" w:cs="Arial" w:eastAsia="Arial" w:hAnsi="Arial"/>
                <w:sz w:val="20"/>
                <w:szCs w:val="20"/>
                <w:color w:val="auto"/>
                <w:w w:val="99"/>
              </w:rPr>
              <w:t>44 to 74</w:t>
            </w:r>
          </w:p>
        </w:tc>
      </w:tr>
      <w:tr>
        <w:trPr>
          <w:trHeight w:val="240"/>
        </w:trPr>
        <w:tc>
          <w:tcPr>
            <w:tcW w:w="6280" w:type="dxa"/>
            <w:vAlign w:val="bottom"/>
          </w:tcPr>
          <w:p>
            <w:pPr>
              <w:ind w:left="440"/>
              <w:spacing w:after="0"/>
              <w:rPr>
                <w:sz w:val="20"/>
                <w:szCs w:val="20"/>
                <w:color w:val="auto"/>
              </w:rPr>
            </w:pPr>
            <w:r>
              <w:rPr>
                <w:rFonts w:ascii="Arial" w:cs="Arial" w:eastAsia="Arial" w:hAnsi="Arial"/>
                <w:sz w:val="20"/>
                <w:szCs w:val="20"/>
                <w:color w:val="auto"/>
              </w:rPr>
              <w:t>Report of Independent Registered Public Accounting Firm</w:t>
            </w:r>
          </w:p>
        </w:tc>
        <w:tc>
          <w:tcPr>
            <w:tcW w:w="1080" w:type="dxa"/>
            <w:vAlign w:val="bottom"/>
          </w:tcPr>
          <w:p>
            <w:pPr>
              <w:spacing w:after="0"/>
              <w:rPr>
                <w:sz w:val="20"/>
                <w:szCs w:val="20"/>
                <w:color w:val="auto"/>
              </w:rPr>
            </w:pPr>
          </w:p>
        </w:tc>
      </w:tr>
      <w:tr>
        <w:trPr>
          <w:trHeight w:val="240"/>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(PCAOB ID 238) . . . . . . . . . . . . . . . . . . . . . . . . . . . . . . . . . . . . .</w:t>
            </w:r>
          </w:p>
        </w:tc>
        <w:tc>
          <w:tcPr>
            <w:tcW w:w="1080" w:type="dxa"/>
            <w:vAlign w:val="bottom"/>
          </w:tcPr>
          <w:p>
            <w:pPr>
              <w:jc w:val="center"/>
              <w:ind w:left="83"/>
              <w:spacing w:after="0"/>
              <w:rPr>
                <w:sz w:val="20"/>
                <w:szCs w:val="20"/>
                <w:color w:val="auto"/>
              </w:rPr>
            </w:pPr>
            <w:r>
              <w:rPr>
                <w:rFonts w:ascii="Arial" w:cs="Arial" w:eastAsia="Arial" w:hAnsi="Arial"/>
                <w:sz w:val="20"/>
                <w:szCs w:val="20"/>
                <w:color w:val="auto"/>
                <w:w w:val="98"/>
              </w:rPr>
              <w:t>76</w:t>
            </w:r>
          </w:p>
        </w:tc>
      </w:tr>
    </w:tbl>
    <w:p>
      <w:pPr>
        <w:spacing w:after="0" w:line="254" w:lineRule="exact"/>
        <w:rPr>
          <w:sz w:val="20"/>
          <w:szCs w:val="20"/>
          <w:color w:val="auto"/>
        </w:rPr>
      </w:pPr>
    </w:p>
    <w:p>
      <w:pPr>
        <w:ind w:left="120" w:right="120"/>
        <w:spacing w:after="0" w:line="245" w:lineRule="auto"/>
        <w:rPr>
          <w:sz w:val="20"/>
          <w:szCs w:val="20"/>
          <w:color w:val="auto"/>
        </w:rPr>
      </w:pPr>
      <w:r>
        <w:rPr>
          <w:rFonts w:ascii="Arial" w:cs="Arial" w:eastAsia="Arial" w:hAnsi="Arial"/>
          <w:sz w:val="20"/>
          <w:szCs w:val="20"/>
          <w:color w:val="auto"/>
        </w:rPr>
        <w:t>Financial statements of companies accounted for under the equity method and unconsolidated subsidiaries have been omitted because they do not meet the materiality tests for assets or income.</w:t>
      </w:r>
    </w:p>
    <w:p>
      <w:pPr>
        <w:spacing w:after="0" w:line="126" w:lineRule="exact"/>
        <w:rPr>
          <w:sz w:val="20"/>
          <w:szCs w:val="20"/>
          <w:color w:val="auto"/>
        </w:rPr>
      </w:pPr>
    </w:p>
    <w:p>
      <w:pPr>
        <w:ind w:left="1260" w:hanging="320"/>
        <w:spacing w:after="0"/>
        <w:tabs>
          <w:tab w:leader="none" w:pos="12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Financial Statement Schedules not required.</w:t>
      </w:r>
    </w:p>
    <w:p>
      <w:pPr>
        <w:spacing w:after="0" w:line="10" w:lineRule="exact"/>
        <w:rPr>
          <w:rFonts w:ascii="Arial" w:cs="Arial" w:eastAsia="Arial" w:hAnsi="Arial"/>
          <w:sz w:val="20"/>
          <w:szCs w:val="20"/>
          <w:color w:val="auto"/>
        </w:rPr>
      </w:pPr>
    </w:p>
    <w:p>
      <w:pPr>
        <w:ind w:left="1260" w:hanging="320"/>
        <w:spacing w:after="0"/>
        <w:tabs>
          <w:tab w:leader="none" w:pos="1260" w:val="left"/>
        </w:tabs>
        <w:numPr>
          <w:ilvl w:val="1"/>
          <w:numId w:val="77"/>
        </w:numPr>
        <w:rPr>
          <w:rFonts w:ascii="Arial" w:cs="Arial" w:eastAsia="Arial" w:hAnsi="Arial"/>
          <w:sz w:val="20"/>
          <w:szCs w:val="20"/>
          <w:color w:val="auto"/>
        </w:rPr>
      </w:pPr>
      <w:r>
        <w:rPr>
          <w:rFonts w:ascii="Arial" w:cs="Arial" w:eastAsia="Arial" w:hAnsi="Arial"/>
          <w:sz w:val="20"/>
          <w:szCs w:val="20"/>
          <w:color w:val="auto"/>
        </w:rPr>
        <w:t>Exhibits: See exhibits listed under Part (b) below.</w:t>
      </w:r>
    </w:p>
    <w:p>
      <w:pPr>
        <w:spacing w:after="0" w:line="130" w:lineRule="exact"/>
        <w:rPr>
          <w:rFonts w:ascii="Arial" w:cs="Arial" w:eastAsia="Arial" w:hAnsi="Arial"/>
          <w:sz w:val="20"/>
          <w:szCs w:val="20"/>
          <w:color w:val="auto"/>
        </w:rPr>
      </w:pPr>
    </w:p>
    <w:p>
      <w:pPr>
        <w:ind w:left="520" w:hanging="400"/>
        <w:spacing w:after="0"/>
        <w:tabs>
          <w:tab w:leader="none" w:pos="5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Exhibits</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9360"/>
          </w:cols>
          <w:pgMar w:left="1440" w:top="1440" w:right="1440" w:bottom="836" w:gutter="0" w:footer="0" w:header="0"/>
          <w:type w:val="continuous"/>
        </w:sectPr>
      </w:pPr>
    </w:p>
    <w:bookmarkStart w:id="104" w:name="page105"/>
    <w:bookmarkEnd w:id="104"/>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INDEX TO EXHIBITS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b w:val="1"/>
                <w:bCs w:val="1"/>
                <w:color w:val="auto"/>
              </w:rPr>
              <w:t>Exhibit</w:t>
            </w:r>
          </w:p>
        </w:tc>
      </w:tr>
      <w:tr>
        <w:trPr>
          <w:trHeight w:val="233"/>
        </w:trPr>
        <w:tc>
          <w:tcPr>
            <w:tcW w:w="8320" w:type="dxa"/>
            <w:vAlign w:val="bottom"/>
          </w:tcPr>
          <w:p>
            <w:pPr>
              <w:spacing w:after="0"/>
              <w:rPr>
                <w:sz w:val="20"/>
                <w:szCs w:val="20"/>
                <w:color w:val="auto"/>
              </w:rPr>
            </w:pPr>
            <w:r>
              <w:rPr>
                <w:rFonts w:ascii="Arial" w:cs="Arial" w:eastAsia="Arial" w:hAnsi="Arial"/>
                <w:sz w:val="20"/>
                <w:szCs w:val="20"/>
                <w:color w:val="auto"/>
              </w:rPr>
              <w:t>Articles of Incorporation of Schlumberger Limited (Schlumberger N.V.) (incorporated by</w:t>
            </w:r>
          </w:p>
        </w:tc>
        <w:tc>
          <w:tcPr>
            <w:tcW w:w="8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reference to Exhibit 3.1 to SLB’s Current Report on Form 8-K filed on April 6, 2016)</w:t>
            </w:r>
          </w:p>
        </w:tc>
        <w:tc>
          <w:tcPr>
            <w:tcW w:w="800" w:type="dxa"/>
            <w:vAlign w:val="bottom"/>
          </w:tcPr>
          <w:p>
            <w:pPr>
              <w:spacing w:after="0"/>
              <w:rPr>
                <w:sz w:val="19"/>
                <w:szCs w:val="19"/>
                <w:color w:val="auto"/>
              </w:rPr>
            </w:pPr>
          </w:p>
        </w:tc>
      </w:tr>
      <w:tr>
        <w:trPr>
          <w:trHeight w:val="466"/>
        </w:trPr>
        <w:tc>
          <w:tcPr>
            <w:tcW w:w="8320" w:type="dxa"/>
            <w:vAlign w:val="bottom"/>
          </w:tcPr>
          <w:p>
            <w:pPr>
              <w:spacing w:after="0"/>
              <w:rPr>
                <w:sz w:val="20"/>
                <w:szCs w:val="20"/>
                <w:color w:val="auto"/>
              </w:rPr>
            </w:pPr>
            <w:r>
              <w:rPr>
                <w:rFonts w:ascii="Arial" w:cs="Arial" w:eastAsia="Arial" w:hAnsi="Arial"/>
                <w:sz w:val="20"/>
                <w:szCs w:val="20"/>
                <w:color w:val="auto"/>
              </w:rPr>
              <w:t>Amended  and  Restated  By-Laws  of  Schlumberger  Limited  (Schlumberger  N.V.)</w:t>
            </w:r>
          </w:p>
        </w:tc>
        <w:tc>
          <w:tcPr>
            <w:tcW w:w="8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(incorporated by reference to Exhibit 3 to SLB’s Current Report on Form 8-K filed on July 22,</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2019)</w:t>
            </w:r>
          </w:p>
        </w:tc>
        <w:tc>
          <w:tcPr>
            <w:tcW w:w="800" w:type="dxa"/>
            <w:vAlign w:val="bottom"/>
          </w:tcPr>
          <w:p>
            <w:pPr>
              <w:spacing w:after="0"/>
              <w:rPr>
                <w:sz w:val="19"/>
                <w:szCs w:val="19"/>
                <w:color w:val="auto"/>
              </w:rPr>
            </w:pPr>
          </w:p>
        </w:tc>
      </w:tr>
      <w:tr>
        <w:trPr>
          <w:trHeight w:val="466"/>
        </w:trPr>
        <w:tc>
          <w:tcPr>
            <w:tcW w:w="8320" w:type="dxa"/>
            <w:vAlign w:val="bottom"/>
          </w:tcPr>
          <w:p>
            <w:pPr>
              <w:spacing w:after="0"/>
              <w:rPr>
                <w:sz w:val="20"/>
                <w:szCs w:val="20"/>
                <w:color w:val="auto"/>
              </w:rPr>
            </w:pPr>
            <w:r>
              <w:rPr>
                <w:rFonts w:ascii="Arial" w:cs="Arial" w:eastAsia="Arial" w:hAnsi="Arial"/>
                <w:sz w:val="20"/>
                <w:szCs w:val="20"/>
                <w:color w:val="auto"/>
              </w:rPr>
              <w:t>Description of Common Stock of Schlumberger Limited (incorporated by reference to Exhibit</w:t>
            </w:r>
          </w:p>
        </w:tc>
        <w:tc>
          <w:tcPr>
            <w:tcW w:w="8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4.1 to SLB’s Annual Report on Form 10-K filed on January 27, 2021)</w:t>
            </w:r>
          </w:p>
        </w:tc>
        <w:tc>
          <w:tcPr>
            <w:tcW w:w="800" w:type="dxa"/>
            <w:vAlign w:val="bottom"/>
          </w:tcPr>
          <w:p>
            <w:pPr>
              <w:spacing w:after="0"/>
              <w:rPr>
                <w:sz w:val="19"/>
                <w:szCs w:val="19"/>
                <w:color w:val="auto"/>
              </w:rPr>
            </w:pPr>
          </w:p>
        </w:tc>
      </w:tr>
      <w:tr>
        <w:trPr>
          <w:trHeight w:val="467"/>
        </w:trPr>
        <w:tc>
          <w:tcPr>
            <w:tcW w:w="8320" w:type="dxa"/>
            <w:vAlign w:val="bottom"/>
          </w:tcPr>
          <w:p>
            <w:pPr>
              <w:spacing w:after="0"/>
              <w:rPr>
                <w:sz w:val="20"/>
                <w:szCs w:val="20"/>
                <w:color w:val="auto"/>
              </w:rPr>
            </w:pPr>
            <w:r>
              <w:rPr>
                <w:rFonts w:ascii="Arial" w:cs="Arial" w:eastAsia="Arial" w:hAnsi="Arial"/>
                <w:sz w:val="20"/>
                <w:szCs w:val="20"/>
                <w:color w:val="auto"/>
              </w:rPr>
              <w:t>Indenture dated as of December 3, 2013, by and among Schlumberger Investment SA, as</w:t>
            </w:r>
          </w:p>
        </w:tc>
        <w:tc>
          <w:tcPr>
            <w:tcW w:w="8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issuer, Schlumberger Limited, as guarantor, and The Bank of New York Mellon, as trustee</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(incorporated by reference to Exhibit 4.1 to SLB’s Current Report on Form 8-K filed on</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December 3, 2013)</w:t>
            </w:r>
          </w:p>
        </w:tc>
        <w:tc>
          <w:tcPr>
            <w:tcW w:w="800" w:type="dxa"/>
            <w:vAlign w:val="bottom"/>
          </w:tcPr>
          <w:p>
            <w:pPr>
              <w:spacing w:after="0"/>
              <w:rPr>
                <w:sz w:val="19"/>
                <w:szCs w:val="19"/>
                <w:color w:val="auto"/>
              </w:rPr>
            </w:pPr>
          </w:p>
        </w:tc>
      </w:tr>
      <w:tr>
        <w:trPr>
          <w:trHeight w:val="466"/>
        </w:trPr>
        <w:tc>
          <w:tcPr>
            <w:tcW w:w="8320" w:type="dxa"/>
            <w:vAlign w:val="bottom"/>
          </w:tcPr>
          <w:p>
            <w:pPr>
              <w:spacing w:after="0"/>
              <w:rPr>
                <w:sz w:val="20"/>
                <w:szCs w:val="20"/>
                <w:color w:val="auto"/>
              </w:rPr>
            </w:pPr>
            <w:r>
              <w:rPr>
                <w:rFonts w:ascii="Arial" w:cs="Arial" w:eastAsia="Arial" w:hAnsi="Arial"/>
                <w:sz w:val="20"/>
                <w:szCs w:val="20"/>
                <w:color w:val="auto"/>
              </w:rPr>
              <w:t>First Supplemental Indenture dated as of December 3, 2013, by and among Schlumberger</w:t>
            </w:r>
          </w:p>
        </w:tc>
        <w:tc>
          <w:tcPr>
            <w:tcW w:w="8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Investment SA, as issuer, Schlumberger Limited, as guarantor, and The Bank of New York</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Mellon, as trustee (including form of global notes representing 3.650% Senior Notes due</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2023) (incorporated by reference to Exhibit 4.2 to SLB’s Current Report on Form 8-K filed on</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December 3, 2013)</w:t>
            </w:r>
          </w:p>
        </w:tc>
        <w:tc>
          <w:tcPr>
            <w:tcW w:w="800" w:type="dxa"/>
            <w:vAlign w:val="bottom"/>
          </w:tcPr>
          <w:p>
            <w:pPr>
              <w:spacing w:after="0"/>
              <w:rPr>
                <w:sz w:val="19"/>
                <w:szCs w:val="19"/>
                <w:color w:val="auto"/>
              </w:rPr>
            </w:pPr>
          </w:p>
        </w:tc>
      </w:tr>
      <w:tr>
        <w:trPr>
          <w:trHeight w:val="467"/>
        </w:trPr>
        <w:tc>
          <w:tcPr>
            <w:tcW w:w="8320" w:type="dxa"/>
            <w:vAlign w:val="bottom"/>
          </w:tcPr>
          <w:p>
            <w:pPr>
              <w:spacing w:after="0"/>
              <w:rPr>
                <w:sz w:val="20"/>
                <w:szCs w:val="20"/>
                <w:color w:val="auto"/>
              </w:rPr>
            </w:pPr>
            <w:r>
              <w:rPr>
                <w:rFonts w:ascii="Arial" w:cs="Arial" w:eastAsia="Arial" w:hAnsi="Arial"/>
                <w:sz w:val="20"/>
                <w:szCs w:val="20"/>
                <w:color w:val="auto"/>
              </w:rPr>
              <w:t>Second Supplemental Indenture dated as of June 26, 2020, by and among Schlumberger</w:t>
            </w:r>
          </w:p>
        </w:tc>
        <w:tc>
          <w:tcPr>
            <w:tcW w:w="8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Investment SA, as issuer, Schlumberger Limited, as guarantor, and The Bank of New York</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Mellon, as trustee (including form of global notes representing 2.650% Senior Notes due</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2030) (incorporated by reference to Exhibit 4.1 to SLB’s Current Report on Form 8-K filed on</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June 26, 2020)</w:t>
            </w:r>
          </w:p>
        </w:tc>
        <w:tc>
          <w:tcPr>
            <w:tcW w:w="800" w:type="dxa"/>
            <w:vAlign w:val="bottom"/>
          </w:tcPr>
          <w:p>
            <w:pPr>
              <w:spacing w:after="0"/>
              <w:rPr>
                <w:sz w:val="19"/>
                <w:szCs w:val="19"/>
                <w:color w:val="auto"/>
              </w:rPr>
            </w:pPr>
          </w:p>
        </w:tc>
      </w:tr>
      <w:tr>
        <w:trPr>
          <w:trHeight w:val="466"/>
        </w:trPr>
        <w:tc>
          <w:tcPr>
            <w:tcW w:w="8320" w:type="dxa"/>
            <w:vAlign w:val="bottom"/>
          </w:tcPr>
          <w:p>
            <w:pPr>
              <w:spacing w:after="0"/>
              <w:rPr>
                <w:sz w:val="20"/>
                <w:szCs w:val="20"/>
                <w:color w:val="auto"/>
              </w:rPr>
            </w:pPr>
            <w:r>
              <w:rPr>
                <w:rFonts w:ascii="Arial" w:cs="Arial" w:eastAsia="Arial" w:hAnsi="Arial"/>
                <w:sz w:val="20"/>
                <w:szCs w:val="20"/>
                <w:color w:val="auto"/>
              </w:rPr>
              <w:t>Officers’ Certificate dated as of August 11, 2020, executed by Schlumberger Investment SA,</w:t>
            </w:r>
          </w:p>
        </w:tc>
        <w:tc>
          <w:tcPr>
            <w:tcW w:w="8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as  issuer,  and  Schlumberger  Limited,  as  guarantor  (including  form  of  global  notes</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representing 2.650% Senior Notes due 2030) (incorporated by reference to Exhibit 4.1 to</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SLB’s Current Report on Form 8-K filed on August 11, 2020)</w:t>
            </w:r>
          </w:p>
        </w:tc>
        <w:tc>
          <w:tcPr>
            <w:tcW w:w="800" w:type="dxa"/>
            <w:vAlign w:val="bottom"/>
          </w:tcPr>
          <w:p>
            <w:pPr>
              <w:spacing w:after="0"/>
              <w:rPr>
                <w:sz w:val="19"/>
                <w:szCs w:val="19"/>
                <w:color w:val="auto"/>
              </w:rPr>
            </w:pPr>
          </w:p>
        </w:tc>
      </w:tr>
      <w:tr>
        <w:trPr>
          <w:trHeight w:val="468"/>
        </w:trPr>
        <w:tc>
          <w:tcPr>
            <w:tcW w:w="8320" w:type="dxa"/>
            <w:vAlign w:val="bottom"/>
          </w:tcPr>
          <w:p>
            <w:pPr>
              <w:spacing w:after="0"/>
              <w:rPr>
                <w:sz w:val="20"/>
                <w:szCs w:val="20"/>
                <w:color w:val="auto"/>
              </w:rPr>
            </w:pPr>
            <w:r>
              <w:rPr>
                <w:rFonts w:ascii="Arial" w:cs="Arial" w:eastAsia="Arial" w:hAnsi="Arial"/>
                <w:sz w:val="20"/>
                <w:szCs w:val="20"/>
                <w:color w:val="auto"/>
              </w:rPr>
              <w:t>Indenture dated as of September 18, 2020, by and among Schlumberger Finance Canada</w:t>
            </w:r>
          </w:p>
        </w:tc>
        <w:tc>
          <w:tcPr>
            <w:tcW w:w="8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Ltd., as issuer, Schlumberger Limited, as guarantor, and The Bank of New York Mellon, as</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trustee (incorporated by reference to Exhibit 4.1 to SLB’s Current Report on Form 8-K filed</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on September 18, 2020)</w:t>
            </w:r>
          </w:p>
        </w:tc>
        <w:tc>
          <w:tcPr>
            <w:tcW w:w="800" w:type="dxa"/>
            <w:vAlign w:val="bottom"/>
          </w:tcPr>
          <w:p>
            <w:pPr>
              <w:spacing w:after="0"/>
              <w:rPr>
                <w:sz w:val="19"/>
                <w:szCs w:val="19"/>
                <w:color w:val="auto"/>
              </w:rPr>
            </w:pPr>
          </w:p>
        </w:tc>
      </w:tr>
      <w:tr>
        <w:trPr>
          <w:trHeight w:val="465"/>
        </w:trPr>
        <w:tc>
          <w:tcPr>
            <w:tcW w:w="8320" w:type="dxa"/>
            <w:vAlign w:val="bottom"/>
          </w:tcPr>
          <w:p>
            <w:pPr>
              <w:spacing w:after="0"/>
              <w:rPr>
                <w:sz w:val="20"/>
                <w:szCs w:val="20"/>
                <w:color w:val="auto"/>
              </w:rPr>
            </w:pPr>
            <w:r>
              <w:rPr>
                <w:rFonts w:ascii="Arial" w:cs="Arial" w:eastAsia="Arial" w:hAnsi="Arial"/>
                <w:sz w:val="20"/>
                <w:szCs w:val="20"/>
                <w:color w:val="auto"/>
              </w:rPr>
              <w:t>First Supplemental Indenture dated as of September 18, 2020, by and among Schlumberger</w:t>
            </w:r>
          </w:p>
        </w:tc>
        <w:tc>
          <w:tcPr>
            <w:tcW w:w="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Finance Canada Ltd., as issuer, Schlumberger Limited, as guarantor, and The Bank of New</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York Mellon, as trustee (including form of global notes representing 1.400% Senior Notes</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due 2025) (incorporated by reference to Exhibit 4.2 to SLB’s Current Report on Form 8-K</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filed on September 18, 2020)</w:t>
            </w:r>
          </w:p>
        </w:tc>
        <w:tc>
          <w:tcPr>
            <w:tcW w:w="800" w:type="dxa"/>
            <w:vAlign w:val="bottom"/>
          </w:tcPr>
          <w:p>
            <w:pPr>
              <w:spacing w:after="0"/>
              <w:rPr>
                <w:sz w:val="19"/>
                <w:szCs w:val="19"/>
                <w:color w:val="auto"/>
              </w:rPr>
            </w:pPr>
          </w:p>
        </w:tc>
      </w:tr>
      <w:tr>
        <w:trPr>
          <w:trHeight w:val="469"/>
        </w:trPr>
        <w:tc>
          <w:tcPr>
            <w:tcW w:w="8320" w:type="dxa"/>
            <w:vAlign w:val="bottom"/>
          </w:tcPr>
          <w:p>
            <w:pPr>
              <w:spacing w:after="0"/>
              <w:rPr>
                <w:sz w:val="20"/>
                <w:szCs w:val="20"/>
                <w:color w:val="auto"/>
              </w:rPr>
            </w:pPr>
            <w:r>
              <w:rPr>
                <w:rFonts w:ascii="Arial" w:cs="Arial" w:eastAsia="Arial" w:hAnsi="Arial"/>
                <w:sz w:val="20"/>
                <w:szCs w:val="20"/>
                <w:color w:val="auto"/>
              </w:rPr>
              <w:t>Schlumberger Limited Supplementary Benefit Plan, as established effective June 1, 1995</w:t>
            </w:r>
          </w:p>
        </w:tc>
        <w:tc>
          <w:tcPr>
            <w:tcW w:w="80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and conformed to include amendments through January 1, 2019 (incorporated by reference</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to Exhibit 10.1 to SLB’s Annual Report on Form 10-K for the year ended December 31,</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2018) (+)</w:t>
            </w:r>
          </w:p>
        </w:tc>
        <w:tc>
          <w:tcPr>
            <w:tcW w:w="800" w:type="dxa"/>
            <w:vAlign w:val="bottom"/>
          </w:tcPr>
          <w:p>
            <w:pPr>
              <w:spacing w:after="0"/>
              <w:rPr>
                <w:sz w:val="19"/>
                <w:szCs w:val="19"/>
                <w:color w:val="auto"/>
              </w:rPr>
            </w:pPr>
          </w:p>
        </w:tc>
      </w:tr>
      <w:tr>
        <w:trPr>
          <w:trHeight w:val="465"/>
        </w:trPr>
        <w:tc>
          <w:tcPr>
            <w:tcW w:w="8320" w:type="dxa"/>
            <w:vAlign w:val="bottom"/>
          </w:tcPr>
          <w:p>
            <w:pPr>
              <w:spacing w:after="0"/>
              <w:rPr>
                <w:sz w:val="20"/>
                <w:szCs w:val="20"/>
                <w:color w:val="auto"/>
              </w:rPr>
            </w:pPr>
            <w:r>
              <w:rPr>
                <w:rFonts w:ascii="Arial" w:cs="Arial" w:eastAsia="Arial" w:hAnsi="Arial"/>
                <w:sz w:val="20"/>
                <w:szCs w:val="20"/>
                <w:color w:val="auto"/>
              </w:rPr>
              <w:t>Schlumberger Limited Restoration Savings Plan, as established effective June 1, 1995 and</w:t>
            </w:r>
          </w:p>
        </w:tc>
        <w:tc>
          <w:tcPr>
            <w:tcW w:w="80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conformed to include amendments through January 1, 2019 (incorporated by reference to</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Exhibit 10.2 to SLB’s Annual Report on Form 10-K for the year ended December 31, 2018)</w:t>
            </w:r>
          </w:p>
        </w:tc>
        <w:tc>
          <w:tcPr>
            <w:tcW w:w="800" w:type="dxa"/>
            <w:vAlign w:val="bottom"/>
          </w:tcPr>
          <w:p>
            <w:pPr>
              <w:spacing w:after="0"/>
              <w:rPr>
                <w:sz w:val="19"/>
                <w:szCs w:val="19"/>
                <w:color w:val="auto"/>
              </w:rPr>
            </w:pPr>
          </w:p>
        </w:tc>
      </w:tr>
      <w:tr>
        <w:trPr>
          <w:trHeight w:val="225"/>
        </w:trPr>
        <w:tc>
          <w:tcPr>
            <w:tcW w:w="8320" w:type="dxa"/>
            <w:vAlign w:val="bottom"/>
          </w:tcPr>
          <w:p>
            <w:pPr>
              <w:spacing w:after="0" w:line="225" w:lineRule="exact"/>
              <w:rPr>
                <w:sz w:val="20"/>
                <w:szCs w:val="20"/>
                <w:color w:val="auto"/>
              </w:rPr>
            </w:pPr>
            <w:r>
              <w:rPr>
                <w:rFonts w:ascii="Arial" w:cs="Arial" w:eastAsia="Arial" w:hAnsi="Arial"/>
                <w:sz w:val="20"/>
                <w:szCs w:val="20"/>
                <w:color w:val="auto"/>
              </w:rPr>
              <w:t>(+)</w:t>
            </w:r>
          </w:p>
        </w:tc>
        <w:tc>
          <w:tcPr>
            <w:tcW w:w="80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2240" w:h="15840" w:orient="portrait"/>
          <w:cols w:equalWidth="0" w:num="1">
            <w:col w:w="9360"/>
          </w:cols>
          <w:pgMar w:left="1440" w:top="1440" w:right="1440" w:bottom="836" w:gutter="0" w:footer="0" w:header="0"/>
          <w:type w:val="continuous"/>
        </w:sectPr>
      </w:pPr>
    </w:p>
    <w:bookmarkStart w:id="105" w:name="page106"/>
    <w:bookmarkEnd w:id="105"/>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Exhibit</w:t>
            </w:r>
          </w:p>
        </w:tc>
      </w:tr>
      <w:tr>
        <w:trPr>
          <w:trHeight w:val="230"/>
        </w:trPr>
        <w:tc>
          <w:tcPr>
            <w:tcW w:w="8320" w:type="dxa"/>
            <w:vAlign w:val="bottom"/>
          </w:tcPr>
          <w:p>
            <w:pPr>
              <w:spacing w:after="0"/>
              <w:rPr>
                <w:sz w:val="20"/>
                <w:szCs w:val="20"/>
                <w:color w:val="auto"/>
              </w:rPr>
            </w:pPr>
            <w:r>
              <w:rPr>
                <w:rFonts w:ascii="Arial" w:cs="Arial" w:eastAsia="Arial" w:hAnsi="Arial"/>
                <w:sz w:val="20"/>
                <w:szCs w:val="20"/>
                <w:color w:val="auto"/>
              </w:rPr>
              <w:t>Schlumberger Technology Corporation Supplementary Benefit Plan, as established effective</w:t>
            </w:r>
          </w:p>
        </w:tc>
        <w:tc>
          <w:tcPr>
            <w:tcW w:w="80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January  1,  1995  and  conformed  to  include  amendments  through  January  1,  2019</w:t>
            </w:r>
          </w:p>
        </w:tc>
        <w:tc>
          <w:tcPr>
            <w:tcW w:w="800" w:type="dxa"/>
            <w:vAlign w:val="bottom"/>
          </w:tcPr>
          <w:p>
            <w:pPr>
              <w:spacing w:after="0"/>
              <w:rPr>
                <w:sz w:val="19"/>
                <w:szCs w:val="19"/>
                <w:color w:val="auto"/>
              </w:rPr>
            </w:pP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(incorporated by reference to Exhibit 10.3 to SLB’s Annual Report on Form 10-K for the year</w:t>
            </w:r>
          </w:p>
        </w:tc>
        <w:tc>
          <w:tcPr>
            <w:tcW w:w="800" w:type="dxa"/>
            <w:vAlign w:val="bottom"/>
          </w:tcPr>
          <w:p>
            <w:pPr>
              <w:spacing w:after="0"/>
              <w:rPr>
                <w:sz w:val="19"/>
                <w:szCs w:val="19"/>
                <w:color w:val="auto"/>
              </w:rPr>
            </w:pP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ended December 31, 2018) (+)</w:t>
            </w:r>
          </w:p>
        </w:tc>
        <w:tc>
          <w:tcPr>
            <w:tcW w:w="800" w:type="dxa"/>
            <w:vAlign w:val="bottom"/>
          </w:tcPr>
          <w:p>
            <w:pPr>
              <w:spacing w:after="0"/>
              <w:rPr>
                <w:sz w:val="19"/>
                <w:szCs w:val="19"/>
                <w:color w:val="auto"/>
              </w:rPr>
            </w:pP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2010 Omnibus Stock Incentive Plan, as amended and restated as of July 19, 2017</w:t>
            </w:r>
          </w:p>
        </w:tc>
        <w:tc>
          <w:tcPr>
            <w:tcW w:w="800" w:type="dxa"/>
            <w:vAlign w:val="bottom"/>
          </w:tcPr>
          <w:p>
            <w:pPr>
              <w:jc w:val="right"/>
              <w:spacing w:after="0" w:line="223" w:lineRule="exact"/>
              <w:rPr>
                <w:sz w:val="20"/>
                <w:szCs w:val="20"/>
                <w:color w:val="auto"/>
              </w:rPr>
            </w:pPr>
            <w:r>
              <w:rPr>
                <w:rFonts w:ascii="Arial" w:cs="Arial" w:eastAsia="Arial" w:hAnsi="Arial"/>
                <w:sz w:val="20"/>
                <w:szCs w:val="20"/>
                <w:color w:val="auto"/>
              </w:rPr>
              <w:t>10.4</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(incorporated by reference to Exhibit 10.8 to SLB’s Annual Report on Form 10-K for the year</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ended December 31, 2018) (+)</w:t>
            </w:r>
          </w:p>
        </w:tc>
        <w:tc>
          <w:tcPr>
            <w:tcW w:w="800" w:type="dxa"/>
            <w:vAlign w:val="bottom"/>
          </w:tcPr>
          <w:p>
            <w:pPr>
              <w:spacing w:after="0"/>
              <w:rPr>
                <w:sz w:val="19"/>
                <w:szCs w:val="19"/>
                <w:color w:val="auto"/>
              </w:rPr>
            </w:pPr>
          </w:p>
        </w:tc>
      </w:tr>
      <w:tr>
        <w:trPr>
          <w:trHeight w:val="460"/>
        </w:trPr>
        <w:tc>
          <w:tcPr>
            <w:tcW w:w="8320" w:type="dxa"/>
            <w:vAlign w:val="bottom"/>
          </w:tcPr>
          <w:p>
            <w:pPr>
              <w:spacing w:after="0"/>
              <w:rPr>
                <w:sz w:val="20"/>
                <w:szCs w:val="20"/>
                <w:color w:val="auto"/>
              </w:rPr>
            </w:pPr>
            <w:r>
              <w:rPr>
                <w:rFonts w:ascii="Arial" w:cs="Arial" w:eastAsia="Arial" w:hAnsi="Arial"/>
                <w:sz w:val="20"/>
                <w:szCs w:val="20"/>
                <w:color w:val="auto"/>
              </w:rPr>
              <w:t>Form of Option Agreement (Employees in France), Incentive Stock Option, under SLB’s</w:t>
            </w:r>
          </w:p>
        </w:tc>
        <w:tc>
          <w:tcPr>
            <w:tcW w:w="80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2010 Omnibus Stock Incentive Plan (incorporated by reference to Exhibit 10.10 to SLB’s</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Quarterly Report on Form 10-Q for the quarter ended June 30, 2013) (+)</w:t>
            </w:r>
          </w:p>
        </w:tc>
        <w:tc>
          <w:tcPr>
            <w:tcW w:w="800" w:type="dxa"/>
            <w:vAlign w:val="bottom"/>
          </w:tcPr>
          <w:p>
            <w:pPr>
              <w:spacing w:after="0"/>
              <w:rPr>
                <w:sz w:val="19"/>
                <w:szCs w:val="19"/>
                <w:color w:val="auto"/>
              </w:rPr>
            </w:pPr>
          </w:p>
        </w:tc>
      </w:tr>
      <w:tr>
        <w:trPr>
          <w:trHeight w:val="460"/>
        </w:trPr>
        <w:tc>
          <w:tcPr>
            <w:tcW w:w="8320" w:type="dxa"/>
            <w:vAlign w:val="bottom"/>
          </w:tcPr>
          <w:p>
            <w:pPr>
              <w:spacing w:after="0"/>
              <w:rPr>
                <w:sz w:val="20"/>
                <w:szCs w:val="20"/>
                <w:color w:val="auto"/>
              </w:rPr>
            </w:pPr>
            <w:r>
              <w:rPr>
                <w:rFonts w:ascii="Arial" w:cs="Arial" w:eastAsia="Arial" w:hAnsi="Arial"/>
                <w:sz w:val="20"/>
                <w:szCs w:val="20"/>
                <w:color w:val="auto"/>
              </w:rPr>
              <w:t>Form of Option Agreement (Employees in France), Non-Qualified Stock Option, under SLB’s</w:t>
            </w:r>
          </w:p>
        </w:tc>
        <w:tc>
          <w:tcPr>
            <w:tcW w:w="80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2010 Omnibus Stock Incentive Plan (incorporated by reference to Exhibit 10.11 to SLB’s</w:t>
            </w:r>
          </w:p>
        </w:tc>
        <w:tc>
          <w:tcPr>
            <w:tcW w:w="800" w:type="dxa"/>
            <w:vAlign w:val="bottom"/>
          </w:tcPr>
          <w:p>
            <w:pPr>
              <w:spacing w:after="0"/>
              <w:rPr>
                <w:sz w:val="19"/>
                <w:szCs w:val="19"/>
                <w:color w:val="auto"/>
              </w:rPr>
            </w:pPr>
          </w:p>
        </w:tc>
      </w:tr>
      <w:tr>
        <w:trPr>
          <w:trHeight w:val="224"/>
        </w:trPr>
        <w:tc>
          <w:tcPr>
            <w:tcW w:w="8320" w:type="dxa"/>
            <w:vAlign w:val="bottom"/>
          </w:tcPr>
          <w:p>
            <w:pPr>
              <w:spacing w:after="0" w:line="224" w:lineRule="exact"/>
              <w:rPr>
                <w:sz w:val="20"/>
                <w:szCs w:val="20"/>
                <w:color w:val="auto"/>
              </w:rPr>
            </w:pPr>
            <w:r>
              <w:rPr>
                <w:rFonts w:ascii="Arial" w:cs="Arial" w:eastAsia="Arial" w:hAnsi="Arial"/>
                <w:sz w:val="20"/>
                <w:szCs w:val="20"/>
                <w:color w:val="auto"/>
              </w:rPr>
              <w:t>Quarterly Report on Form 10-Q for the quarter ended June 30, 2013) (+)</w:t>
            </w:r>
          </w:p>
        </w:tc>
        <w:tc>
          <w:tcPr>
            <w:tcW w:w="800" w:type="dxa"/>
            <w:vAlign w:val="bottom"/>
          </w:tcPr>
          <w:p>
            <w:pPr>
              <w:spacing w:after="0"/>
              <w:rPr>
                <w:sz w:val="19"/>
                <w:szCs w:val="19"/>
                <w:color w:val="auto"/>
              </w:rPr>
            </w:pPr>
          </w:p>
        </w:tc>
      </w:tr>
      <w:tr>
        <w:trPr>
          <w:trHeight w:val="462"/>
        </w:trPr>
        <w:tc>
          <w:tcPr>
            <w:tcW w:w="8320" w:type="dxa"/>
            <w:vAlign w:val="bottom"/>
          </w:tcPr>
          <w:p>
            <w:pPr>
              <w:spacing w:after="0"/>
              <w:rPr>
                <w:sz w:val="20"/>
                <w:szCs w:val="20"/>
                <w:color w:val="auto"/>
              </w:rPr>
            </w:pPr>
            <w:r>
              <w:rPr>
                <w:rFonts w:ascii="Arial" w:cs="Arial" w:eastAsia="Arial" w:hAnsi="Arial"/>
                <w:sz w:val="20"/>
                <w:szCs w:val="20"/>
                <w:color w:val="auto"/>
              </w:rPr>
              <w:t>2018 Rules of SLB’s 2010, 2013 and 2017 Omnibus Incentive Plans for Employees in</w:t>
            </w:r>
          </w:p>
        </w:tc>
        <w:tc>
          <w:tcPr>
            <w:tcW w:w="80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France (incorporated by reference to Appendix B to SLB’s Definitive Proxy Statement on</w:t>
            </w:r>
          </w:p>
        </w:tc>
        <w:tc>
          <w:tcPr>
            <w:tcW w:w="800" w:type="dxa"/>
            <w:vAlign w:val="bottom"/>
          </w:tcPr>
          <w:p>
            <w:pPr>
              <w:spacing w:after="0"/>
              <w:rPr>
                <w:sz w:val="19"/>
                <w:szCs w:val="19"/>
                <w:color w:val="auto"/>
              </w:rPr>
            </w:pPr>
          </w:p>
        </w:tc>
      </w:tr>
      <w:tr>
        <w:trPr>
          <w:trHeight w:val="224"/>
        </w:trPr>
        <w:tc>
          <w:tcPr>
            <w:tcW w:w="8320" w:type="dxa"/>
            <w:vAlign w:val="bottom"/>
          </w:tcPr>
          <w:p>
            <w:pPr>
              <w:spacing w:after="0" w:line="224" w:lineRule="exact"/>
              <w:rPr>
                <w:sz w:val="20"/>
                <w:szCs w:val="20"/>
                <w:color w:val="auto"/>
              </w:rPr>
            </w:pPr>
            <w:r>
              <w:rPr>
                <w:rFonts w:ascii="Arial" w:cs="Arial" w:eastAsia="Arial" w:hAnsi="Arial"/>
                <w:sz w:val="20"/>
                <w:szCs w:val="20"/>
                <w:color w:val="auto"/>
              </w:rPr>
              <w:t>Schedule 14A filed with the SEC on March 2, 2018) (+)</w:t>
            </w:r>
          </w:p>
        </w:tc>
        <w:tc>
          <w:tcPr>
            <w:tcW w:w="800" w:type="dxa"/>
            <w:vAlign w:val="bottom"/>
          </w:tcPr>
          <w:p>
            <w:pPr>
              <w:spacing w:after="0"/>
              <w:rPr>
                <w:sz w:val="19"/>
                <w:szCs w:val="19"/>
                <w:color w:val="auto"/>
              </w:rPr>
            </w:pPr>
          </w:p>
        </w:tc>
      </w:tr>
      <w:tr>
        <w:trPr>
          <w:trHeight w:val="462"/>
        </w:trPr>
        <w:tc>
          <w:tcPr>
            <w:tcW w:w="8320" w:type="dxa"/>
            <w:vAlign w:val="bottom"/>
          </w:tcPr>
          <w:p>
            <w:pPr>
              <w:spacing w:after="0"/>
              <w:rPr>
                <w:sz w:val="20"/>
                <w:szCs w:val="20"/>
                <w:color w:val="auto"/>
              </w:rPr>
            </w:pPr>
            <w:r>
              <w:rPr>
                <w:rFonts w:ascii="Arial" w:cs="Arial" w:eastAsia="Arial" w:hAnsi="Arial"/>
                <w:sz w:val="20"/>
                <w:szCs w:val="20"/>
                <w:color w:val="auto"/>
              </w:rPr>
              <w:t>2013 Omnibus Stock Incentive Plan, as amended and restated as of July 19, 2017</w:t>
            </w:r>
          </w:p>
        </w:tc>
        <w:tc>
          <w:tcPr>
            <w:tcW w:w="80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(incorporated by reference to Exhibit 10.15 to SLB’s Annual Report on Form 10-K for the</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year ended December 31, 2018) (+)</w:t>
            </w:r>
          </w:p>
        </w:tc>
        <w:tc>
          <w:tcPr>
            <w:tcW w:w="800" w:type="dxa"/>
            <w:vAlign w:val="bottom"/>
          </w:tcPr>
          <w:p>
            <w:pPr>
              <w:spacing w:after="0"/>
              <w:rPr>
                <w:sz w:val="19"/>
                <w:szCs w:val="19"/>
                <w:color w:val="auto"/>
              </w:rPr>
            </w:pPr>
          </w:p>
        </w:tc>
      </w:tr>
      <w:tr>
        <w:trPr>
          <w:trHeight w:val="460"/>
        </w:trPr>
        <w:tc>
          <w:tcPr>
            <w:tcW w:w="8320" w:type="dxa"/>
            <w:vAlign w:val="bottom"/>
          </w:tcPr>
          <w:p>
            <w:pPr>
              <w:spacing w:after="0"/>
              <w:rPr>
                <w:sz w:val="20"/>
                <w:szCs w:val="20"/>
                <w:color w:val="auto"/>
              </w:rPr>
            </w:pPr>
            <w:r>
              <w:rPr>
                <w:rFonts w:ascii="Arial" w:cs="Arial" w:eastAsia="Arial" w:hAnsi="Arial"/>
                <w:sz w:val="20"/>
                <w:szCs w:val="20"/>
                <w:color w:val="auto"/>
              </w:rPr>
              <w:t>Form of Option Agreement, Incentive Stock Option, under SLB’s 2013 Omnibus Stock</w:t>
            </w:r>
          </w:p>
        </w:tc>
        <w:tc>
          <w:tcPr>
            <w:tcW w:w="80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Incentive Plan (incorporated by reference to Exhibit 10.1 to the SLB’s Quarterly Report on</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Form 10-Q for the quarter ended June 30, 2015) (+)</w:t>
            </w:r>
          </w:p>
        </w:tc>
        <w:tc>
          <w:tcPr>
            <w:tcW w:w="800" w:type="dxa"/>
            <w:vAlign w:val="bottom"/>
          </w:tcPr>
          <w:p>
            <w:pPr>
              <w:spacing w:after="0"/>
              <w:rPr>
                <w:sz w:val="19"/>
                <w:szCs w:val="19"/>
                <w:color w:val="auto"/>
              </w:rPr>
            </w:pPr>
          </w:p>
        </w:tc>
      </w:tr>
      <w:tr>
        <w:trPr>
          <w:trHeight w:val="460"/>
        </w:trPr>
        <w:tc>
          <w:tcPr>
            <w:tcW w:w="8320" w:type="dxa"/>
            <w:vAlign w:val="bottom"/>
          </w:tcPr>
          <w:p>
            <w:pPr>
              <w:spacing w:after="0"/>
              <w:rPr>
                <w:sz w:val="20"/>
                <w:szCs w:val="20"/>
                <w:color w:val="auto"/>
              </w:rPr>
            </w:pPr>
            <w:r>
              <w:rPr>
                <w:rFonts w:ascii="Arial" w:cs="Arial" w:eastAsia="Arial" w:hAnsi="Arial"/>
                <w:sz w:val="20"/>
                <w:szCs w:val="20"/>
                <w:color w:val="auto"/>
              </w:rPr>
              <w:t>Form of Restricted Stock Unit Award Agreement under SLB’s 2013 Omnibus Stock Incentive</w:t>
            </w:r>
          </w:p>
        </w:tc>
        <w:tc>
          <w:tcPr>
            <w:tcW w:w="800" w:type="dxa"/>
            <w:vAlign w:val="bottom"/>
          </w:tcPr>
          <w:p>
            <w:pPr>
              <w:jc w:val="right"/>
              <w:spacing w:after="0"/>
              <w:rPr>
                <w:sz w:val="20"/>
                <w:szCs w:val="20"/>
                <w:color w:val="auto"/>
              </w:rPr>
            </w:pPr>
            <w:r>
              <w:rPr>
                <w:rFonts w:ascii="Arial" w:cs="Arial" w:eastAsia="Arial" w:hAnsi="Arial"/>
                <w:sz w:val="20"/>
                <w:szCs w:val="20"/>
                <w:color w:val="auto"/>
              </w:rPr>
              <w:t>10.10</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Plan (three-year vesting) (incorporated by reference to Exhibit 10.2 to SLB’s Quarterly</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Report on Form 10-Q for the quarter ended June 30, 2015) (+)</w:t>
            </w:r>
          </w:p>
        </w:tc>
        <w:tc>
          <w:tcPr>
            <w:tcW w:w="800" w:type="dxa"/>
            <w:vAlign w:val="bottom"/>
          </w:tcPr>
          <w:p>
            <w:pPr>
              <w:spacing w:after="0"/>
              <w:rPr>
                <w:sz w:val="19"/>
                <w:szCs w:val="19"/>
                <w:color w:val="auto"/>
              </w:rPr>
            </w:pPr>
          </w:p>
        </w:tc>
      </w:tr>
      <w:tr>
        <w:trPr>
          <w:trHeight w:val="460"/>
        </w:trPr>
        <w:tc>
          <w:tcPr>
            <w:tcW w:w="8320" w:type="dxa"/>
            <w:vAlign w:val="bottom"/>
          </w:tcPr>
          <w:p>
            <w:pPr>
              <w:spacing w:after="0"/>
              <w:rPr>
                <w:sz w:val="20"/>
                <w:szCs w:val="20"/>
                <w:color w:val="auto"/>
              </w:rPr>
            </w:pPr>
            <w:r>
              <w:rPr>
                <w:rFonts w:ascii="Arial" w:cs="Arial" w:eastAsia="Arial" w:hAnsi="Arial"/>
                <w:sz w:val="20"/>
                <w:szCs w:val="20"/>
                <w:color w:val="auto"/>
              </w:rPr>
              <w:t>Form of Restricted Stock Unit Award Agreement under SLB’s 2013 Omnibus Stock Incentive</w:t>
            </w:r>
          </w:p>
        </w:tc>
        <w:tc>
          <w:tcPr>
            <w:tcW w:w="800" w:type="dxa"/>
            <w:vAlign w:val="bottom"/>
          </w:tcPr>
          <w:p>
            <w:pPr>
              <w:jc w:val="right"/>
              <w:spacing w:after="0"/>
              <w:rPr>
                <w:sz w:val="20"/>
                <w:szCs w:val="20"/>
                <w:color w:val="auto"/>
              </w:rPr>
            </w:pPr>
            <w:r>
              <w:rPr>
                <w:rFonts w:ascii="Arial" w:cs="Arial" w:eastAsia="Arial" w:hAnsi="Arial"/>
                <w:sz w:val="20"/>
                <w:szCs w:val="20"/>
                <w:color w:val="auto"/>
              </w:rPr>
              <w:t>10.11</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Plan (ratable vesting) (incorporated by reference to Exhibit 10.15 to SLB’s Annual Report on</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Form 10-K filed on January 27, 2021) (+)</w:t>
            </w:r>
          </w:p>
        </w:tc>
        <w:tc>
          <w:tcPr>
            <w:tcW w:w="800" w:type="dxa"/>
            <w:vAlign w:val="bottom"/>
          </w:tcPr>
          <w:p>
            <w:pPr>
              <w:spacing w:after="0"/>
              <w:rPr>
                <w:sz w:val="19"/>
                <w:szCs w:val="19"/>
                <w:color w:val="auto"/>
              </w:rPr>
            </w:pPr>
          </w:p>
        </w:tc>
      </w:tr>
      <w:tr>
        <w:trPr>
          <w:trHeight w:val="460"/>
        </w:trPr>
        <w:tc>
          <w:tcPr>
            <w:tcW w:w="8320" w:type="dxa"/>
            <w:vAlign w:val="bottom"/>
          </w:tcPr>
          <w:p>
            <w:pPr>
              <w:spacing w:after="0"/>
              <w:rPr>
                <w:sz w:val="20"/>
                <w:szCs w:val="20"/>
                <w:color w:val="auto"/>
              </w:rPr>
            </w:pPr>
            <w:r>
              <w:rPr>
                <w:rFonts w:ascii="Arial" w:cs="Arial" w:eastAsia="Arial" w:hAnsi="Arial"/>
                <w:sz w:val="20"/>
                <w:szCs w:val="20"/>
                <w:color w:val="auto"/>
              </w:rPr>
              <w:t>Form of Restricted Stock Unit Award Agreement under SLB’s 2017 Omnibus Stock Incentive</w:t>
            </w:r>
          </w:p>
        </w:tc>
        <w:tc>
          <w:tcPr>
            <w:tcW w:w="800" w:type="dxa"/>
            <w:vAlign w:val="bottom"/>
          </w:tcPr>
          <w:p>
            <w:pPr>
              <w:jc w:val="right"/>
              <w:spacing w:after="0"/>
              <w:rPr>
                <w:sz w:val="20"/>
                <w:szCs w:val="20"/>
                <w:color w:val="auto"/>
              </w:rPr>
            </w:pPr>
            <w:r>
              <w:rPr>
                <w:rFonts w:ascii="Arial" w:cs="Arial" w:eastAsia="Arial" w:hAnsi="Arial"/>
                <w:sz w:val="20"/>
                <w:szCs w:val="20"/>
                <w:color w:val="auto"/>
              </w:rPr>
              <w:t>10.12</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Plan (incorporated by reference to Exhibit 10.4 to SLB’s Quarterly Report on Form 10-Q for</w:t>
            </w:r>
          </w:p>
        </w:tc>
        <w:tc>
          <w:tcPr>
            <w:tcW w:w="800" w:type="dxa"/>
            <w:vAlign w:val="bottom"/>
          </w:tcPr>
          <w:p>
            <w:pPr>
              <w:spacing w:after="0"/>
              <w:rPr>
                <w:sz w:val="19"/>
                <w:szCs w:val="19"/>
                <w:color w:val="auto"/>
              </w:rPr>
            </w:pPr>
          </w:p>
        </w:tc>
      </w:tr>
      <w:tr>
        <w:trPr>
          <w:trHeight w:val="224"/>
        </w:trPr>
        <w:tc>
          <w:tcPr>
            <w:tcW w:w="8320" w:type="dxa"/>
            <w:vAlign w:val="bottom"/>
          </w:tcPr>
          <w:p>
            <w:pPr>
              <w:spacing w:after="0" w:line="224" w:lineRule="exact"/>
              <w:rPr>
                <w:sz w:val="20"/>
                <w:szCs w:val="20"/>
                <w:color w:val="auto"/>
              </w:rPr>
            </w:pPr>
            <w:r>
              <w:rPr>
                <w:rFonts w:ascii="Arial" w:cs="Arial" w:eastAsia="Arial" w:hAnsi="Arial"/>
                <w:sz w:val="20"/>
                <w:szCs w:val="20"/>
                <w:color w:val="auto"/>
              </w:rPr>
              <w:t>the quarter ended March 31, 2017) (+)</w:t>
            </w:r>
          </w:p>
        </w:tc>
        <w:tc>
          <w:tcPr>
            <w:tcW w:w="800" w:type="dxa"/>
            <w:vAlign w:val="bottom"/>
          </w:tcPr>
          <w:p>
            <w:pPr>
              <w:spacing w:after="0"/>
              <w:rPr>
                <w:sz w:val="19"/>
                <w:szCs w:val="19"/>
                <w:color w:val="auto"/>
              </w:rPr>
            </w:pPr>
          </w:p>
        </w:tc>
      </w:tr>
      <w:tr>
        <w:trPr>
          <w:trHeight w:val="462"/>
        </w:trPr>
        <w:tc>
          <w:tcPr>
            <w:tcW w:w="8320" w:type="dxa"/>
            <w:vAlign w:val="bottom"/>
          </w:tcPr>
          <w:p>
            <w:pPr>
              <w:spacing w:after="0"/>
              <w:rPr>
                <w:sz w:val="20"/>
                <w:szCs w:val="20"/>
                <w:color w:val="auto"/>
              </w:rPr>
            </w:pPr>
            <w:r>
              <w:rPr>
                <w:rFonts w:ascii="Arial" w:cs="Arial" w:eastAsia="Arial" w:hAnsi="Arial"/>
                <w:sz w:val="20"/>
                <w:szCs w:val="20"/>
                <w:color w:val="auto"/>
              </w:rPr>
              <w:t>Addendum  to  Restricted  Stock  Unit  Award  Agreements,  Performance  Share  Unit</w:t>
            </w:r>
          </w:p>
        </w:tc>
        <w:tc>
          <w:tcPr>
            <w:tcW w:w="800" w:type="dxa"/>
            <w:vAlign w:val="bottom"/>
          </w:tcPr>
          <w:p>
            <w:pPr>
              <w:jc w:val="right"/>
              <w:spacing w:after="0"/>
              <w:rPr>
                <w:sz w:val="20"/>
                <w:szCs w:val="20"/>
                <w:color w:val="auto"/>
              </w:rPr>
            </w:pPr>
            <w:r>
              <w:rPr>
                <w:rFonts w:ascii="Arial" w:cs="Arial" w:eastAsia="Arial" w:hAnsi="Arial"/>
                <w:sz w:val="20"/>
                <w:szCs w:val="20"/>
                <w:color w:val="auto"/>
              </w:rPr>
              <w:t>10.13</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Agreements,  Incentive  Stock  Option  Agreements,  and  Non-Qualified  Stock  Option</w:t>
            </w:r>
          </w:p>
        </w:tc>
        <w:tc>
          <w:tcPr>
            <w:tcW w:w="800" w:type="dxa"/>
            <w:vAlign w:val="bottom"/>
          </w:tcPr>
          <w:p>
            <w:pPr>
              <w:spacing w:after="0"/>
              <w:rPr>
                <w:sz w:val="19"/>
                <w:szCs w:val="19"/>
                <w:color w:val="auto"/>
              </w:rPr>
            </w:pP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Agreements Issued Prior to July 19, 2017 (incorporated by reference to Exhibit 10.27 to</w:t>
            </w:r>
          </w:p>
        </w:tc>
        <w:tc>
          <w:tcPr>
            <w:tcW w:w="800" w:type="dxa"/>
            <w:vAlign w:val="bottom"/>
          </w:tcPr>
          <w:p>
            <w:pPr>
              <w:spacing w:after="0"/>
              <w:rPr>
                <w:sz w:val="19"/>
                <w:szCs w:val="19"/>
                <w:color w:val="auto"/>
              </w:rPr>
            </w:pPr>
          </w:p>
        </w:tc>
      </w:tr>
      <w:tr>
        <w:trPr>
          <w:trHeight w:val="226"/>
        </w:trPr>
        <w:tc>
          <w:tcPr>
            <w:tcW w:w="8320" w:type="dxa"/>
            <w:vAlign w:val="bottom"/>
          </w:tcPr>
          <w:p>
            <w:pPr>
              <w:spacing w:after="0" w:line="226" w:lineRule="exact"/>
              <w:rPr>
                <w:sz w:val="20"/>
                <w:szCs w:val="20"/>
                <w:color w:val="auto"/>
              </w:rPr>
            </w:pPr>
            <w:r>
              <w:rPr>
                <w:rFonts w:ascii="Arial" w:cs="Arial" w:eastAsia="Arial" w:hAnsi="Arial"/>
                <w:sz w:val="20"/>
                <w:szCs w:val="20"/>
                <w:color w:val="auto"/>
              </w:rPr>
              <w:t>SLB’s Annual Report on Form 10-K for the year ended December 31, 2018) (+)</w:t>
            </w:r>
          </w:p>
        </w:tc>
        <w:tc>
          <w:tcPr>
            <w:tcW w:w="800" w:type="dxa"/>
            <w:vAlign w:val="bottom"/>
          </w:tcPr>
          <w:p>
            <w:pPr>
              <w:spacing w:after="0"/>
              <w:rPr>
                <w:sz w:val="19"/>
                <w:szCs w:val="19"/>
                <w:color w:val="auto"/>
              </w:rPr>
            </w:pPr>
          </w:p>
        </w:tc>
      </w:tr>
      <w:tr>
        <w:trPr>
          <w:trHeight w:val="460"/>
        </w:trPr>
        <w:tc>
          <w:tcPr>
            <w:tcW w:w="8320" w:type="dxa"/>
            <w:vAlign w:val="bottom"/>
          </w:tcPr>
          <w:p>
            <w:pPr>
              <w:spacing w:after="0"/>
              <w:rPr>
                <w:sz w:val="20"/>
                <w:szCs w:val="20"/>
                <w:color w:val="auto"/>
              </w:rPr>
            </w:pPr>
            <w:r>
              <w:rPr>
                <w:rFonts w:ascii="Arial" w:cs="Arial" w:eastAsia="Arial" w:hAnsi="Arial"/>
                <w:sz w:val="20"/>
                <w:szCs w:val="20"/>
                <w:color w:val="auto"/>
              </w:rPr>
              <w:t>Form of 2020 Two-Year Performance Share Unit Award Agreement (with relative TSR</w:t>
            </w:r>
          </w:p>
        </w:tc>
        <w:tc>
          <w:tcPr>
            <w:tcW w:w="800" w:type="dxa"/>
            <w:vAlign w:val="bottom"/>
          </w:tcPr>
          <w:p>
            <w:pPr>
              <w:jc w:val="right"/>
              <w:spacing w:after="0"/>
              <w:rPr>
                <w:sz w:val="20"/>
                <w:szCs w:val="20"/>
                <w:color w:val="auto"/>
              </w:rPr>
            </w:pPr>
            <w:r>
              <w:rPr>
                <w:rFonts w:ascii="Arial" w:cs="Arial" w:eastAsia="Arial" w:hAnsi="Arial"/>
                <w:sz w:val="20"/>
                <w:szCs w:val="20"/>
                <w:color w:val="auto"/>
              </w:rPr>
              <w:t>10.14</w:t>
            </w: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modifier) under SLB’s 2017 Omnibus Stock Incentive Plan (incorporated by reference to</w:t>
            </w:r>
          </w:p>
        </w:tc>
        <w:tc>
          <w:tcPr>
            <w:tcW w:w="800" w:type="dxa"/>
            <w:vAlign w:val="bottom"/>
          </w:tcPr>
          <w:p>
            <w:pPr>
              <w:spacing w:after="0"/>
              <w:rPr>
                <w:sz w:val="19"/>
                <w:szCs w:val="19"/>
                <w:color w:val="auto"/>
              </w:rPr>
            </w:pPr>
          </w:p>
        </w:tc>
      </w:tr>
      <w:tr>
        <w:trPr>
          <w:trHeight w:val="223"/>
        </w:trPr>
        <w:tc>
          <w:tcPr>
            <w:tcW w:w="8320" w:type="dxa"/>
            <w:vAlign w:val="bottom"/>
          </w:tcPr>
          <w:p>
            <w:pPr>
              <w:spacing w:after="0" w:line="223" w:lineRule="exact"/>
              <w:rPr>
                <w:sz w:val="20"/>
                <w:szCs w:val="20"/>
                <w:color w:val="auto"/>
              </w:rPr>
            </w:pPr>
            <w:r>
              <w:rPr>
                <w:rFonts w:ascii="Arial" w:cs="Arial" w:eastAsia="Arial" w:hAnsi="Arial"/>
                <w:sz w:val="20"/>
                <w:szCs w:val="20"/>
                <w:color w:val="auto"/>
              </w:rPr>
              <w:t>Exhibit 10.2 to SLB’s Quarterly Report on Form 10-Q for the quarter ended March 31, 2020)</w:t>
            </w:r>
          </w:p>
        </w:tc>
        <w:tc>
          <w:tcPr>
            <w:tcW w:w="800" w:type="dxa"/>
            <w:vAlign w:val="bottom"/>
          </w:tcPr>
          <w:p>
            <w:pPr>
              <w:spacing w:after="0"/>
              <w:rPr>
                <w:sz w:val="19"/>
                <w:szCs w:val="19"/>
                <w:color w:val="auto"/>
              </w:rPr>
            </w:pPr>
          </w:p>
        </w:tc>
      </w:tr>
      <w:tr>
        <w:trPr>
          <w:trHeight w:val="224"/>
        </w:trPr>
        <w:tc>
          <w:tcPr>
            <w:tcW w:w="8320" w:type="dxa"/>
            <w:vAlign w:val="bottom"/>
          </w:tcPr>
          <w:p>
            <w:pPr>
              <w:spacing w:after="0" w:line="224" w:lineRule="exact"/>
              <w:rPr>
                <w:sz w:val="20"/>
                <w:szCs w:val="20"/>
                <w:color w:val="auto"/>
              </w:rPr>
            </w:pPr>
            <w:r>
              <w:rPr>
                <w:rFonts w:ascii="Arial" w:cs="Arial" w:eastAsia="Arial" w:hAnsi="Arial"/>
                <w:sz w:val="20"/>
                <w:szCs w:val="20"/>
                <w:color w:val="auto"/>
              </w:rPr>
              <w:t>(+)</w:t>
            </w:r>
          </w:p>
        </w:tc>
        <w:tc>
          <w:tcPr>
            <w:tcW w:w="800" w:type="dxa"/>
            <w:vAlign w:val="bottom"/>
          </w:tcPr>
          <w:p>
            <w:pPr>
              <w:spacing w:after="0"/>
              <w:rPr>
                <w:sz w:val="19"/>
                <w:szCs w:val="19"/>
                <w:color w:val="auto"/>
              </w:rPr>
            </w:pPr>
          </w:p>
        </w:tc>
      </w:tr>
      <w:tr>
        <w:trPr>
          <w:trHeight w:val="462"/>
        </w:trPr>
        <w:tc>
          <w:tcPr>
            <w:tcW w:w="8320" w:type="dxa"/>
            <w:vAlign w:val="bottom"/>
          </w:tcPr>
          <w:p>
            <w:pPr>
              <w:spacing w:after="0"/>
              <w:rPr>
                <w:sz w:val="20"/>
                <w:szCs w:val="20"/>
                <w:color w:val="auto"/>
              </w:rPr>
            </w:pPr>
            <w:r>
              <w:rPr>
                <w:rFonts w:ascii="Arial" w:cs="Arial" w:eastAsia="Arial" w:hAnsi="Arial"/>
                <w:sz w:val="20"/>
                <w:szCs w:val="20"/>
                <w:color w:val="auto"/>
              </w:rPr>
              <w:t>Form of 2020 Three-Year Performance Share Unit Award Agreement (with relative TSR</w:t>
            </w:r>
          </w:p>
        </w:tc>
        <w:tc>
          <w:tcPr>
            <w:tcW w:w="800" w:type="dxa"/>
            <w:vAlign w:val="bottom"/>
          </w:tcPr>
          <w:p>
            <w:pPr>
              <w:jc w:val="right"/>
              <w:spacing w:after="0"/>
              <w:rPr>
                <w:sz w:val="20"/>
                <w:szCs w:val="20"/>
                <w:color w:val="auto"/>
              </w:rPr>
            </w:pPr>
            <w:r>
              <w:rPr>
                <w:rFonts w:ascii="Arial" w:cs="Arial" w:eastAsia="Arial" w:hAnsi="Arial"/>
                <w:sz w:val="20"/>
                <w:szCs w:val="20"/>
                <w:color w:val="auto"/>
              </w:rPr>
              <w:t>10.15</w:t>
            </w:r>
          </w:p>
        </w:tc>
      </w:tr>
      <w:tr>
        <w:trPr>
          <w:trHeight w:val="224"/>
        </w:trPr>
        <w:tc>
          <w:tcPr>
            <w:tcW w:w="8320" w:type="dxa"/>
            <w:vAlign w:val="bottom"/>
          </w:tcPr>
          <w:p>
            <w:pPr>
              <w:spacing w:after="0" w:line="224" w:lineRule="exact"/>
              <w:rPr>
                <w:sz w:val="20"/>
                <w:szCs w:val="20"/>
                <w:color w:val="auto"/>
              </w:rPr>
            </w:pPr>
            <w:r>
              <w:rPr>
                <w:rFonts w:ascii="Arial" w:cs="Arial" w:eastAsia="Arial" w:hAnsi="Arial"/>
                <w:sz w:val="20"/>
                <w:szCs w:val="20"/>
                <w:color w:val="auto"/>
              </w:rPr>
              <w:t>modifier) under SLB’s 2017 Omnibus Stock Incentive Plan (incorporated by reference to</w:t>
            </w:r>
          </w:p>
        </w:tc>
        <w:tc>
          <w:tcPr>
            <w:tcW w:w="800" w:type="dxa"/>
            <w:vAlign w:val="bottom"/>
          </w:tcPr>
          <w:p>
            <w:pPr>
              <w:spacing w:after="0"/>
              <w:rPr>
                <w:sz w:val="19"/>
                <w:szCs w:val="19"/>
                <w:color w:val="auto"/>
              </w:rPr>
            </w:pPr>
          </w:p>
        </w:tc>
      </w:tr>
    </w:tbl>
    <w:p>
      <w:pPr>
        <w:ind w:left="120"/>
        <w:spacing w:after="0" w:line="232" w:lineRule="auto"/>
        <w:rPr>
          <w:sz w:val="20"/>
          <w:szCs w:val="20"/>
          <w:color w:val="auto"/>
        </w:rPr>
      </w:pPr>
      <w:r>
        <w:rPr>
          <w:rFonts w:ascii="Arial" w:cs="Arial" w:eastAsia="Arial" w:hAnsi="Arial"/>
          <w:sz w:val="20"/>
          <w:szCs w:val="20"/>
          <w:color w:val="auto"/>
        </w:rPr>
        <w:t>Exhibit 10.1 to SLB’s Quarterly Report on Form 10-Q for the quarter ended March 31, 2020)</w:t>
      </w:r>
    </w:p>
    <w:p>
      <w:pPr>
        <w:ind w:left="120"/>
        <w:spacing w:after="0" w:line="235" w:lineRule="auto"/>
        <w:rPr>
          <w:sz w:val="20"/>
          <w:szCs w:val="20"/>
          <w:color w:val="auto"/>
        </w:rPr>
      </w:pPr>
      <w:r>
        <w:rPr>
          <w:rFonts w:ascii="Arial" w:cs="Arial" w:eastAsia="Arial" w:hAnsi="Arial"/>
          <w:sz w:val="20"/>
          <w:szCs w:val="20"/>
          <w:color w:val="auto"/>
        </w:rPr>
        <w:t>(+)</w:t>
      </w:r>
    </w:p>
    <w:p>
      <w:pPr>
        <w:sectPr>
          <w:pgSz w:w="12240" w:h="15840" w:orient="portrait"/>
          <w:cols w:equalWidth="0" w:num="1">
            <w:col w:w="9360"/>
          </w:cols>
          <w:pgMar w:left="1440" w:top="1440" w:right="1440" w:bottom="836"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2240" w:h="15840" w:orient="portrait"/>
          <w:cols w:equalWidth="0" w:num="1">
            <w:col w:w="9360"/>
          </w:cols>
          <w:pgMar w:left="1440" w:top="1440" w:right="1440" w:bottom="836" w:gutter="0" w:footer="0" w:header="0"/>
          <w:type w:val="continuous"/>
        </w:sectPr>
      </w:pPr>
    </w:p>
    <w:bookmarkStart w:id="106" w:name="page107"/>
    <w:bookmarkEnd w:id="106"/>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Exhibit</w:t>
            </w:r>
          </w:p>
        </w:tc>
      </w:tr>
      <w:tr>
        <w:trPr>
          <w:trHeight w:val="250"/>
        </w:trPr>
        <w:tc>
          <w:tcPr>
            <w:tcW w:w="8320" w:type="dxa"/>
            <w:vAlign w:val="bottom"/>
          </w:tcPr>
          <w:p>
            <w:pPr>
              <w:spacing w:after="0"/>
              <w:rPr>
                <w:sz w:val="20"/>
                <w:szCs w:val="20"/>
                <w:color w:val="auto"/>
              </w:rPr>
            </w:pPr>
            <w:r>
              <w:rPr>
                <w:rFonts w:ascii="Arial" w:cs="Arial" w:eastAsia="Arial" w:hAnsi="Arial"/>
                <w:sz w:val="20"/>
                <w:szCs w:val="20"/>
                <w:color w:val="auto"/>
              </w:rPr>
              <w:t>Form of Performance Share Unit Award Agreement (Based on Free Cash Flow Margin</w:t>
            </w:r>
          </w:p>
        </w:tc>
        <w:tc>
          <w:tcPr>
            <w:tcW w:w="800" w:type="dxa"/>
            <w:vAlign w:val="bottom"/>
          </w:tcPr>
          <w:p>
            <w:pPr>
              <w:jc w:val="right"/>
              <w:spacing w:after="0"/>
              <w:rPr>
                <w:sz w:val="20"/>
                <w:szCs w:val="20"/>
                <w:color w:val="auto"/>
              </w:rPr>
            </w:pPr>
            <w:r>
              <w:rPr>
                <w:rFonts w:ascii="Arial" w:cs="Arial" w:eastAsia="Arial" w:hAnsi="Arial"/>
                <w:sz w:val="20"/>
                <w:szCs w:val="20"/>
                <w:color w:val="auto"/>
              </w:rPr>
              <w:t>10.16</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Performance) under SLB’s 2017 Omnibus Stock Incentive Plan (incorporated by reference to</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Exhibit 10.3 to SLB’s Quarterly Report on Form 10-Q for the quarter ended March 31, 2022)</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Form of Performance Share Unit Award Agreement (Based on Return on Capital Employed</w:t>
            </w:r>
          </w:p>
        </w:tc>
        <w:tc>
          <w:tcPr>
            <w:tcW w:w="800" w:type="dxa"/>
            <w:vAlign w:val="bottom"/>
          </w:tcPr>
          <w:p>
            <w:pPr>
              <w:jc w:val="right"/>
              <w:spacing w:after="0"/>
              <w:rPr>
                <w:sz w:val="20"/>
                <w:szCs w:val="20"/>
                <w:color w:val="auto"/>
              </w:rPr>
            </w:pPr>
            <w:r>
              <w:rPr>
                <w:rFonts w:ascii="Arial" w:cs="Arial" w:eastAsia="Arial" w:hAnsi="Arial"/>
                <w:sz w:val="20"/>
                <w:szCs w:val="20"/>
                <w:color w:val="auto"/>
              </w:rPr>
              <w:t>10.17</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Performance) under SLB’s 2017 Omnibus Stock Incentive Plan (incorporated by reference to</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Exhibit 10.4 to SLB’s Quarterly Report on Form 10-Q for the quarter ended March 31, 2022)</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Form of Performance Share Unit Award Agreement (Based on Relative TSR Performance)</w:t>
            </w:r>
          </w:p>
        </w:tc>
        <w:tc>
          <w:tcPr>
            <w:tcW w:w="800" w:type="dxa"/>
            <w:vAlign w:val="bottom"/>
          </w:tcPr>
          <w:p>
            <w:pPr>
              <w:jc w:val="right"/>
              <w:spacing w:after="0"/>
              <w:rPr>
                <w:sz w:val="20"/>
                <w:szCs w:val="20"/>
                <w:color w:val="auto"/>
              </w:rPr>
            </w:pPr>
            <w:r>
              <w:rPr>
                <w:rFonts w:ascii="Arial" w:cs="Arial" w:eastAsia="Arial" w:hAnsi="Arial"/>
                <w:sz w:val="20"/>
                <w:szCs w:val="20"/>
                <w:color w:val="auto"/>
              </w:rPr>
              <w:t>10.18</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under SLB’s 2017 Omnibus Stock Incentive Plan (incorporated by reference to Exhibit 10.5</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to SLB’s Quarterly Report on Form 10-Q for the quarter ended March 31, 2022) (+)</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2017 Omnibus Stock Incentive Plan, as amended and restated effective January 21, 2021</w:t>
            </w:r>
          </w:p>
        </w:tc>
        <w:tc>
          <w:tcPr>
            <w:tcW w:w="800" w:type="dxa"/>
            <w:vAlign w:val="bottom"/>
          </w:tcPr>
          <w:p>
            <w:pPr>
              <w:jc w:val="right"/>
              <w:spacing w:after="0"/>
              <w:rPr>
                <w:sz w:val="20"/>
                <w:szCs w:val="20"/>
                <w:color w:val="auto"/>
              </w:rPr>
            </w:pPr>
            <w:r>
              <w:rPr>
                <w:rFonts w:ascii="Arial" w:cs="Arial" w:eastAsia="Arial" w:hAnsi="Arial"/>
                <w:sz w:val="20"/>
                <w:szCs w:val="20"/>
                <w:color w:val="auto"/>
              </w:rPr>
              <w:t>10.19</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(incorporated by reference to Exhibit 10.1 to SLB’s Current Report on Form 8-K filed on</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April 7, 2021) (+)</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Discounted  Stock  Purchase  Plan,  as  amended  and  restated  effective  July  1,  2022</w:t>
            </w:r>
          </w:p>
        </w:tc>
        <w:tc>
          <w:tcPr>
            <w:tcW w:w="800" w:type="dxa"/>
            <w:vAlign w:val="bottom"/>
          </w:tcPr>
          <w:p>
            <w:pPr>
              <w:jc w:val="right"/>
              <w:spacing w:after="0"/>
              <w:rPr>
                <w:sz w:val="20"/>
                <w:szCs w:val="20"/>
                <w:color w:val="auto"/>
              </w:rPr>
            </w:pPr>
            <w:r>
              <w:rPr>
                <w:rFonts w:ascii="Arial" w:cs="Arial" w:eastAsia="Arial" w:hAnsi="Arial"/>
                <w:sz w:val="20"/>
                <w:szCs w:val="20"/>
                <w:color w:val="auto"/>
              </w:rPr>
              <w:t>10.20</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(incorporated by reference to Exhibit 10.1 to SLB’s Current Report on Form 10-Q filed on</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July 27, 2022) (+)</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2004 Stock and Deferral Plan for Non-Employee Directors, as amended and restated</w:t>
            </w:r>
          </w:p>
        </w:tc>
        <w:tc>
          <w:tcPr>
            <w:tcW w:w="800" w:type="dxa"/>
            <w:vAlign w:val="bottom"/>
          </w:tcPr>
          <w:p>
            <w:pPr>
              <w:jc w:val="right"/>
              <w:spacing w:after="0"/>
              <w:rPr>
                <w:sz w:val="20"/>
                <w:szCs w:val="20"/>
                <w:color w:val="auto"/>
              </w:rPr>
            </w:pPr>
            <w:r>
              <w:rPr>
                <w:rFonts w:ascii="Arial" w:cs="Arial" w:eastAsia="Arial" w:hAnsi="Arial"/>
                <w:sz w:val="20"/>
                <w:szCs w:val="20"/>
                <w:color w:val="auto"/>
              </w:rPr>
              <w:t>10.21</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effective January 21, 2021 (incorporated by reference to Exhibit 10.3 to SLB’s Current</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Report on Form 8-K filed on April 7, 2021) (+)</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Form of Indemnification Agreement (incorporated by reference to Exhibit 10 to SLB’s Current</w:t>
            </w:r>
          </w:p>
        </w:tc>
        <w:tc>
          <w:tcPr>
            <w:tcW w:w="800" w:type="dxa"/>
            <w:vAlign w:val="bottom"/>
          </w:tcPr>
          <w:p>
            <w:pPr>
              <w:jc w:val="right"/>
              <w:spacing w:after="0"/>
              <w:rPr>
                <w:sz w:val="20"/>
                <w:szCs w:val="20"/>
                <w:color w:val="auto"/>
              </w:rPr>
            </w:pPr>
            <w:r>
              <w:rPr>
                <w:rFonts w:ascii="Arial" w:cs="Arial" w:eastAsia="Arial" w:hAnsi="Arial"/>
                <w:sz w:val="20"/>
                <w:szCs w:val="20"/>
                <w:color w:val="auto"/>
              </w:rPr>
              <w:t>10.22</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Report on Form 8-K filed on October 21, 2013) (+)</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Employment, Non-Competition and Non-Solicitation Agreement effective as of April 1, 2022,</w:t>
            </w:r>
          </w:p>
        </w:tc>
        <w:tc>
          <w:tcPr>
            <w:tcW w:w="800" w:type="dxa"/>
            <w:vAlign w:val="bottom"/>
          </w:tcPr>
          <w:p>
            <w:pPr>
              <w:jc w:val="right"/>
              <w:spacing w:after="0"/>
              <w:rPr>
                <w:sz w:val="20"/>
                <w:szCs w:val="20"/>
                <w:color w:val="auto"/>
              </w:rPr>
            </w:pPr>
            <w:r>
              <w:rPr>
                <w:rFonts w:ascii="Arial" w:cs="Arial" w:eastAsia="Arial" w:hAnsi="Arial"/>
                <w:sz w:val="20"/>
                <w:szCs w:val="20"/>
                <w:color w:val="auto"/>
              </w:rPr>
              <w:t>10.23</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by and between Schlumberger Limited and Ashok Belani (incorporated by reference to</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Exhibit 10.1 to SLB’s Quarterly Report on Form 10-Q for the quarter ended March 31, 2022)</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Employment, Non-Competition and Non-Solicitation Agreement effective as of May 1, 2022,</w:t>
            </w:r>
          </w:p>
        </w:tc>
        <w:tc>
          <w:tcPr>
            <w:tcW w:w="800" w:type="dxa"/>
            <w:vAlign w:val="bottom"/>
          </w:tcPr>
          <w:p>
            <w:pPr>
              <w:jc w:val="right"/>
              <w:spacing w:after="0"/>
              <w:rPr>
                <w:sz w:val="20"/>
                <w:szCs w:val="20"/>
                <w:color w:val="auto"/>
              </w:rPr>
            </w:pPr>
            <w:r>
              <w:rPr>
                <w:rFonts w:ascii="Arial" w:cs="Arial" w:eastAsia="Arial" w:hAnsi="Arial"/>
                <w:sz w:val="20"/>
                <w:szCs w:val="20"/>
                <w:color w:val="auto"/>
              </w:rPr>
              <w:t>10.24</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by and between Schlumberger Limited and Hinda Gharbi (incorporated by reference to</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Exhibit 10.2 to SLB’s Quarterly Report on Form 10-Q for the quarter ended March 31, 2022)</w:t>
            </w:r>
          </w:p>
        </w:tc>
        <w:tc>
          <w:tcPr>
            <w:tcW w:w="800" w:type="dxa"/>
            <w:vAlign w:val="bottom"/>
          </w:tcPr>
          <w:p>
            <w:pPr>
              <w:spacing w:after="0"/>
              <w:rPr>
                <w:sz w:val="20"/>
                <w:szCs w:val="20"/>
                <w:color w:val="auto"/>
              </w:rPr>
            </w:pP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0"/>
                <w:szCs w:val="20"/>
                <w:color w:val="auto"/>
              </w:rPr>
            </w:pP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Significant Subsidiaries (*)</w:t>
            </w:r>
          </w:p>
        </w:tc>
        <w:tc>
          <w:tcPr>
            <w:tcW w:w="8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Issuers of Registered Guaranteed Debt Securities (*)</w:t>
            </w:r>
          </w:p>
        </w:tc>
        <w:tc>
          <w:tcPr>
            <w:tcW w:w="8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Consent of Independent Registered Public Accounting Firm (*)</w:t>
            </w:r>
          </w:p>
        </w:tc>
        <w:tc>
          <w:tcPr>
            <w:tcW w:w="8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Powers of Attorney (*)</w:t>
            </w:r>
          </w:p>
        </w:tc>
        <w:tc>
          <w:tcPr>
            <w:tcW w:w="8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80"/>
        </w:trPr>
        <w:tc>
          <w:tcPr>
            <w:tcW w:w="8320" w:type="dxa"/>
            <w:vAlign w:val="bottom"/>
          </w:tcPr>
          <w:p>
            <w:pPr>
              <w:spacing w:after="0"/>
              <w:rPr>
                <w:sz w:val="20"/>
                <w:szCs w:val="20"/>
                <w:color w:val="auto"/>
              </w:rPr>
            </w:pPr>
            <w:r>
              <w:rPr>
                <w:rFonts w:ascii="Arial" w:cs="Arial" w:eastAsia="Arial" w:hAnsi="Arial"/>
                <w:sz w:val="20"/>
                <w:szCs w:val="20"/>
                <w:color w:val="auto"/>
              </w:rPr>
              <w:t>Certification of Chief Executive Officer pursuant to Rule 13a-14(a) as adopted pursuant to</w:t>
            </w:r>
          </w:p>
        </w:tc>
        <w:tc>
          <w:tcPr>
            <w:tcW w:w="800" w:type="dxa"/>
            <w:vAlign w:val="bottom"/>
          </w:tcPr>
          <w:p>
            <w:pPr>
              <w:jc w:val="right"/>
              <w:spacing w:after="0"/>
              <w:rPr>
                <w:sz w:val="20"/>
                <w:szCs w:val="20"/>
                <w:color w:val="auto"/>
              </w:rPr>
            </w:pPr>
            <w:r>
              <w:rPr>
                <w:rFonts w:ascii="Arial" w:cs="Arial" w:eastAsia="Arial" w:hAnsi="Arial"/>
                <w:sz w:val="20"/>
                <w:szCs w:val="20"/>
                <w:color w:val="auto"/>
              </w:rPr>
              <w:t>31.1</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Section 302 of the Sarbanes-Oxley Act of 2002 (*)</w:t>
            </w:r>
          </w:p>
        </w:tc>
        <w:tc>
          <w:tcPr>
            <w:tcW w:w="800" w:type="dxa"/>
            <w:vAlign w:val="bottom"/>
          </w:tcPr>
          <w:p>
            <w:pPr>
              <w:spacing w:after="0"/>
              <w:rPr>
                <w:sz w:val="20"/>
                <w:szCs w:val="20"/>
                <w:color w:val="auto"/>
              </w:rPr>
            </w:pPr>
          </w:p>
        </w:tc>
      </w:tr>
      <w:tr>
        <w:trPr>
          <w:trHeight w:val="478"/>
        </w:trPr>
        <w:tc>
          <w:tcPr>
            <w:tcW w:w="8320" w:type="dxa"/>
            <w:vAlign w:val="bottom"/>
          </w:tcPr>
          <w:p>
            <w:pPr>
              <w:spacing w:after="0"/>
              <w:rPr>
                <w:sz w:val="20"/>
                <w:szCs w:val="20"/>
                <w:color w:val="auto"/>
              </w:rPr>
            </w:pPr>
            <w:r>
              <w:rPr>
                <w:rFonts w:ascii="Arial" w:cs="Arial" w:eastAsia="Arial" w:hAnsi="Arial"/>
                <w:sz w:val="20"/>
                <w:szCs w:val="20"/>
                <w:color w:val="auto"/>
              </w:rPr>
              <w:t>Certification of Chief Financial Officer pursuant to Rule 13a-14(a) as adopted pursuant to</w:t>
            </w:r>
          </w:p>
        </w:tc>
        <w:tc>
          <w:tcPr>
            <w:tcW w:w="800" w:type="dxa"/>
            <w:vAlign w:val="bottom"/>
          </w:tcPr>
          <w:p>
            <w:pPr>
              <w:jc w:val="right"/>
              <w:spacing w:after="0"/>
              <w:rPr>
                <w:sz w:val="20"/>
                <w:szCs w:val="20"/>
                <w:color w:val="auto"/>
              </w:rPr>
            </w:pPr>
            <w:r>
              <w:rPr>
                <w:rFonts w:ascii="Arial" w:cs="Arial" w:eastAsia="Arial" w:hAnsi="Arial"/>
                <w:sz w:val="20"/>
                <w:szCs w:val="20"/>
                <w:color w:val="auto"/>
              </w:rPr>
              <w:t>31.2</w:t>
            </w:r>
          </w:p>
        </w:tc>
      </w:tr>
      <w:tr>
        <w:trPr>
          <w:trHeight w:val="240"/>
        </w:trPr>
        <w:tc>
          <w:tcPr>
            <w:tcW w:w="8320" w:type="dxa"/>
            <w:vAlign w:val="bottom"/>
          </w:tcPr>
          <w:p>
            <w:pPr>
              <w:spacing w:after="0"/>
              <w:rPr>
                <w:sz w:val="20"/>
                <w:szCs w:val="20"/>
                <w:color w:val="auto"/>
              </w:rPr>
            </w:pPr>
            <w:r>
              <w:rPr>
                <w:rFonts w:ascii="Arial" w:cs="Arial" w:eastAsia="Arial" w:hAnsi="Arial"/>
                <w:sz w:val="20"/>
                <w:szCs w:val="20"/>
                <w:color w:val="auto"/>
              </w:rPr>
              <w:t>Section 302 of the Sarbanes-Oxley Act of 2002 (*)</w:t>
            </w:r>
          </w:p>
        </w:tc>
        <w:tc>
          <w:tcPr>
            <w:tcW w:w="80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9360"/>
          </w:cols>
          <w:pgMar w:left="1440" w:top="1440" w:right="1440" w:bottom="836" w:gutter="0" w:footer="0" w:header="0"/>
          <w:type w:val="continuous"/>
        </w:sectPr>
      </w:pPr>
    </w:p>
    <w:bookmarkStart w:id="107" w:name="page108"/>
    <w:bookmarkEnd w:id="107"/>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b w:val="1"/>
                <w:bCs w:val="1"/>
                <w:color w:val="auto"/>
              </w:rPr>
              <w:t>Exhibit</w:t>
            </w:r>
          </w:p>
        </w:tc>
      </w:tr>
      <w:tr>
        <w:trPr>
          <w:trHeight w:val="250"/>
        </w:trPr>
        <w:tc>
          <w:tcPr>
            <w:tcW w:w="8260" w:type="dxa"/>
            <w:vAlign w:val="bottom"/>
          </w:tcPr>
          <w:p>
            <w:pPr>
              <w:spacing w:after="0"/>
              <w:rPr>
                <w:sz w:val="20"/>
                <w:szCs w:val="20"/>
                <w:color w:val="auto"/>
              </w:rPr>
            </w:pPr>
            <w:r>
              <w:rPr>
                <w:rFonts w:ascii="Arial" w:cs="Arial" w:eastAsia="Arial" w:hAnsi="Arial"/>
                <w:sz w:val="20"/>
                <w:szCs w:val="20"/>
                <w:color w:val="auto"/>
              </w:rPr>
              <w:t>Certification of Chief Executive Officer pursuant to 18 U.S.C. Section 1350, as adopted</w:t>
            </w:r>
          </w:p>
        </w:tc>
        <w:tc>
          <w:tcPr>
            <w:tcW w:w="860" w:type="dxa"/>
            <w:vAlign w:val="bottom"/>
          </w:tcPr>
          <w:p>
            <w:pPr>
              <w:jc w:val="right"/>
              <w:spacing w:after="0"/>
              <w:rPr>
                <w:sz w:val="20"/>
                <w:szCs w:val="20"/>
                <w:color w:val="auto"/>
              </w:rPr>
            </w:pPr>
            <w:r>
              <w:rPr>
                <w:rFonts w:ascii="Arial" w:cs="Arial" w:eastAsia="Arial" w:hAnsi="Arial"/>
                <w:sz w:val="20"/>
                <w:szCs w:val="20"/>
                <w:color w:val="auto"/>
              </w:rPr>
              <w:t>32.1</w:t>
            </w:r>
          </w:p>
        </w:tc>
      </w:tr>
      <w:tr>
        <w:trPr>
          <w:trHeight w:val="240"/>
        </w:trPr>
        <w:tc>
          <w:tcPr>
            <w:tcW w:w="8260" w:type="dxa"/>
            <w:vAlign w:val="bottom"/>
          </w:tcPr>
          <w:p>
            <w:pPr>
              <w:spacing w:after="0"/>
              <w:rPr>
                <w:sz w:val="20"/>
                <w:szCs w:val="20"/>
                <w:color w:val="auto"/>
              </w:rPr>
            </w:pPr>
            <w:r>
              <w:rPr>
                <w:rFonts w:ascii="Arial" w:cs="Arial" w:eastAsia="Arial" w:hAnsi="Arial"/>
                <w:sz w:val="20"/>
                <w:szCs w:val="20"/>
                <w:color w:val="auto"/>
              </w:rPr>
              <w:t>pursuant to Section 906 of the Sarbanes-Oxley Act of 2002 (**)</w:t>
            </w:r>
          </w:p>
        </w:tc>
        <w:tc>
          <w:tcPr>
            <w:tcW w:w="860" w:type="dxa"/>
            <w:vAlign w:val="bottom"/>
          </w:tcPr>
          <w:p>
            <w:pPr>
              <w:spacing w:after="0"/>
              <w:rPr>
                <w:sz w:val="20"/>
                <w:szCs w:val="20"/>
                <w:color w:val="auto"/>
              </w:rPr>
            </w:pP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Certification of Chief Financial Officer pursuant to 18 U.S.C. Section 1350, as adopted</w:t>
            </w:r>
          </w:p>
        </w:tc>
        <w:tc>
          <w:tcPr>
            <w:tcW w:w="860" w:type="dxa"/>
            <w:vAlign w:val="bottom"/>
          </w:tcPr>
          <w:p>
            <w:pPr>
              <w:jc w:val="right"/>
              <w:spacing w:after="0"/>
              <w:rPr>
                <w:sz w:val="20"/>
                <w:szCs w:val="20"/>
                <w:color w:val="auto"/>
              </w:rPr>
            </w:pPr>
            <w:r>
              <w:rPr>
                <w:rFonts w:ascii="Arial" w:cs="Arial" w:eastAsia="Arial" w:hAnsi="Arial"/>
                <w:sz w:val="20"/>
                <w:szCs w:val="20"/>
                <w:color w:val="auto"/>
              </w:rPr>
              <w:t>32.2</w:t>
            </w:r>
          </w:p>
        </w:tc>
      </w:tr>
      <w:tr>
        <w:trPr>
          <w:trHeight w:val="240"/>
        </w:trPr>
        <w:tc>
          <w:tcPr>
            <w:tcW w:w="8260" w:type="dxa"/>
            <w:vAlign w:val="bottom"/>
          </w:tcPr>
          <w:p>
            <w:pPr>
              <w:spacing w:after="0"/>
              <w:rPr>
                <w:sz w:val="20"/>
                <w:szCs w:val="20"/>
                <w:color w:val="auto"/>
              </w:rPr>
            </w:pPr>
            <w:r>
              <w:rPr>
                <w:rFonts w:ascii="Arial" w:cs="Arial" w:eastAsia="Arial" w:hAnsi="Arial"/>
                <w:sz w:val="20"/>
                <w:szCs w:val="20"/>
                <w:color w:val="auto"/>
              </w:rPr>
              <w:t>pursuant to Section 906 of the Sarbanes-Oxley Act of 2002 (**)</w:t>
            </w:r>
          </w:p>
        </w:tc>
        <w:tc>
          <w:tcPr>
            <w:tcW w:w="860" w:type="dxa"/>
            <w:vAlign w:val="bottom"/>
          </w:tcPr>
          <w:p>
            <w:pPr>
              <w:spacing w:after="0"/>
              <w:rPr>
                <w:sz w:val="20"/>
                <w:szCs w:val="20"/>
                <w:color w:val="auto"/>
              </w:rPr>
            </w:pP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Mine Safety Disclosure (*)</w:t>
            </w:r>
          </w:p>
        </w:tc>
        <w:tc>
          <w:tcPr>
            <w:tcW w:w="86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40"/>
        </w:trPr>
        <w:tc>
          <w:tcPr>
            <w:tcW w:w="8260" w:type="dxa"/>
            <w:vAlign w:val="bottom"/>
          </w:tcPr>
          <w:p>
            <w:pPr>
              <w:spacing w:after="0"/>
              <w:rPr>
                <w:sz w:val="20"/>
                <w:szCs w:val="20"/>
                <w:color w:val="auto"/>
              </w:rPr>
            </w:pPr>
            <w:r>
              <w:rPr>
                <w:rFonts w:ascii="Arial" w:cs="Arial" w:eastAsia="Arial" w:hAnsi="Arial"/>
                <w:sz w:val="20"/>
                <w:szCs w:val="20"/>
                <w:color w:val="auto"/>
              </w:rPr>
              <w:t>Inline XBRL Instance Document (*)</w:t>
            </w:r>
          </w:p>
        </w:tc>
        <w:tc>
          <w:tcPr>
            <w:tcW w:w="860" w:type="dxa"/>
            <w:vAlign w:val="bottom"/>
          </w:tcPr>
          <w:p>
            <w:pPr>
              <w:jc w:val="right"/>
              <w:spacing w:after="0"/>
              <w:rPr>
                <w:sz w:val="20"/>
                <w:szCs w:val="20"/>
                <w:color w:val="auto"/>
              </w:rPr>
            </w:pPr>
            <w:r>
              <w:rPr>
                <w:rFonts w:ascii="Arial" w:cs="Arial" w:eastAsia="Arial" w:hAnsi="Arial"/>
                <w:sz w:val="20"/>
                <w:szCs w:val="20"/>
                <w:color w:val="auto"/>
              </w:rPr>
              <w:t>101.INS</w:t>
            </w: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Inline XBRL Taxonomy Extension Schema Document (*)</w:t>
            </w:r>
          </w:p>
        </w:tc>
        <w:tc>
          <w:tcPr>
            <w:tcW w:w="860" w:type="dxa"/>
            <w:vAlign w:val="bottom"/>
          </w:tcPr>
          <w:p>
            <w:pPr>
              <w:jc w:val="right"/>
              <w:spacing w:after="0"/>
              <w:rPr>
                <w:sz w:val="20"/>
                <w:szCs w:val="20"/>
                <w:color w:val="auto"/>
              </w:rPr>
            </w:pPr>
            <w:r>
              <w:rPr>
                <w:rFonts w:ascii="Arial" w:cs="Arial" w:eastAsia="Arial" w:hAnsi="Arial"/>
                <w:sz w:val="20"/>
                <w:szCs w:val="20"/>
                <w:color w:val="auto"/>
              </w:rPr>
              <w:t>101.SCH</w:t>
            </w: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Inline XBRL Taxonomy Extension Calculation Linkbase Document (*)</w:t>
            </w:r>
          </w:p>
        </w:tc>
        <w:tc>
          <w:tcPr>
            <w:tcW w:w="860" w:type="dxa"/>
            <w:vAlign w:val="bottom"/>
          </w:tcPr>
          <w:p>
            <w:pPr>
              <w:jc w:val="right"/>
              <w:spacing w:after="0"/>
              <w:rPr>
                <w:sz w:val="20"/>
                <w:szCs w:val="20"/>
                <w:color w:val="auto"/>
              </w:rPr>
            </w:pPr>
            <w:r>
              <w:rPr>
                <w:rFonts w:ascii="Arial" w:cs="Arial" w:eastAsia="Arial" w:hAnsi="Arial"/>
                <w:sz w:val="20"/>
                <w:szCs w:val="20"/>
                <w:color w:val="auto"/>
              </w:rPr>
              <w:t>101.CAL</w:t>
            </w: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Inline XBRL Taxonomy Extension Definition Linkbase Document (*)</w:t>
            </w:r>
          </w:p>
        </w:tc>
        <w:tc>
          <w:tcPr>
            <w:tcW w:w="860" w:type="dxa"/>
            <w:vAlign w:val="bottom"/>
          </w:tcPr>
          <w:p>
            <w:pPr>
              <w:jc w:val="right"/>
              <w:spacing w:after="0"/>
              <w:rPr>
                <w:sz w:val="20"/>
                <w:szCs w:val="20"/>
                <w:color w:val="auto"/>
              </w:rPr>
            </w:pPr>
            <w:r>
              <w:rPr>
                <w:rFonts w:ascii="Arial" w:cs="Arial" w:eastAsia="Arial" w:hAnsi="Arial"/>
                <w:sz w:val="20"/>
                <w:szCs w:val="20"/>
                <w:color w:val="auto"/>
              </w:rPr>
              <w:t>101.DEF</w:t>
            </w: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Inline XBRL Taxonomy Extension Label Linkbase Document (*)</w:t>
            </w:r>
          </w:p>
        </w:tc>
        <w:tc>
          <w:tcPr>
            <w:tcW w:w="860" w:type="dxa"/>
            <w:vAlign w:val="bottom"/>
          </w:tcPr>
          <w:p>
            <w:pPr>
              <w:jc w:val="right"/>
              <w:spacing w:after="0"/>
              <w:rPr>
                <w:sz w:val="20"/>
                <w:szCs w:val="20"/>
                <w:color w:val="auto"/>
              </w:rPr>
            </w:pPr>
            <w:r>
              <w:rPr>
                <w:rFonts w:ascii="Arial" w:cs="Arial" w:eastAsia="Arial" w:hAnsi="Arial"/>
                <w:sz w:val="20"/>
                <w:szCs w:val="20"/>
                <w:color w:val="auto"/>
              </w:rPr>
              <w:t>101.LAB</w:t>
            </w: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Inline XBRL Taxonomy Extension Presentation Linkbase Document (*)</w:t>
            </w:r>
          </w:p>
        </w:tc>
        <w:tc>
          <w:tcPr>
            <w:tcW w:w="860" w:type="dxa"/>
            <w:vAlign w:val="bottom"/>
          </w:tcPr>
          <w:p>
            <w:pPr>
              <w:jc w:val="right"/>
              <w:spacing w:after="0"/>
              <w:rPr>
                <w:sz w:val="20"/>
                <w:szCs w:val="20"/>
                <w:color w:val="auto"/>
              </w:rPr>
            </w:pPr>
            <w:r>
              <w:rPr>
                <w:rFonts w:ascii="Arial" w:cs="Arial" w:eastAsia="Arial" w:hAnsi="Arial"/>
                <w:sz w:val="20"/>
                <w:szCs w:val="20"/>
                <w:color w:val="auto"/>
              </w:rPr>
              <w:t>101.PRE</w:t>
            </w: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Cover Page Interactive Data File (formatted as inline XBRL and contained in Exhibit 101)</w:t>
            </w:r>
          </w:p>
        </w:tc>
        <w:tc>
          <w:tcPr>
            <w:tcW w:w="86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 Filed with this Form 10-K</w:t>
            </w:r>
          </w:p>
        </w:tc>
        <w:tc>
          <w:tcPr>
            <w:tcW w:w="860" w:type="dxa"/>
            <w:vAlign w:val="bottom"/>
          </w:tcPr>
          <w:p>
            <w:pPr>
              <w:spacing w:after="0"/>
              <w:rPr>
                <w:sz w:val="24"/>
                <w:szCs w:val="24"/>
                <w:color w:val="auto"/>
              </w:rPr>
            </w:pP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 Furnished with this Form 10-K</w:t>
            </w:r>
          </w:p>
        </w:tc>
        <w:tc>
          <w:tcPr>
            <w:tcW w:w="860" w:type="dxa"/>
            <w:vAlign w:val="bottom"/>
          </w:tcPr>
          <w:p>
            <w:pPr>
              <w:spacing w:after="0"/>
              <w:rPr>
                <w:sz w:val="24"/>
                <w:szCs w:val="24"/>
                <w:color w:val="auto"/>
              </w:rPr>
            </w:pPr>
          </w:p>
        </w:tc>
      </w:tr>
      <w:tr>
        <w:trPr>
          <w:trHeight w:val="480"/>
        </w:trPr>
        <w:tc>
          <w:tcPr>
            <w:tcW w:w="8260" w:type="dxa"/>
            <w:vAlign w:val="bottom"/>
          </w:tcPr>
          <w:p>
            <w:pPr>
              <w:spacing w:after="0"/>
              <w:rPr>
                <w:sz w:val="20"/>
                <w:szCs w:val="20"/>
                <w:color w:val="auto"/>
              </w:rPr>
            </w:pPr>
            <w:r>
              <w:rPr>
                <w:rFonts w:ascii="Arial" w:cs="Arial" w:eastAsia="Arial" w:hAnsi="Arial"/>
                <w:sz w:val="20"/>
                <w:szCs w:val="20"/>
                <w:color w:val="auto"/>
              </w:rPr>
              <w:t>(+) Management contracts or compensatory plans or arrangements</w:t>
            </w:r>
          </w:p>
        </w:tc>
        <w:tc>
          <w:tcPr>
            <w:tcW w:w="860" w:type="dxa"/>
            <w:vAlign w:val="bottom"/>
          </w:tcPr>
          <w:p>
            <w:pPr>
              <w:spacing w:after="0"/>
              <w:rPr>
                <w:sz w:val="24"/>
                <w:szCs w:val="24"/>
                <w:color w:val="auto"/>
              </w:rPr>
            </w:pPr>
          </w:p>
        </w:tc>
      </w:tr>
    </w:tbl>
    <w:p>
      <w:pPr>
        <w:spacing w:after="0" w:line="25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SLB agrees, pursuant to Item 601(b)(4)(iii) of Regulation S-K, that it will furnish a copy of any such instrument to the SEC upon request.</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Item 16. Form 10-K Summary.</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9360"/>
          </w:cols>
          <w:pgMar w:left="1440" w:top="144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9360"/>
          </w:cols>
          <w:pgMar w:left="1440" w:top="1440" w:right="1440" w:bottom="836" w:gutter="0" w:footer="0" w:header="0"/>
          <w:type w:val="continuous"/>
        </w:sectPr>
      </w:pPr>
    </w:p>
    <w:bookmarkStart w:id="108" w:name="page109"/>
    <w:bookmarkEnd w:id="108"/>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48"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SCHLUMBERGER LIMITED</w:t>
      </w:r>
    </w:p>
    <w:p>
      <w:pPr>
        <w:spacing w:after="0" w:line="144" w:lineRule="exact"/>
        <w:rPr>
          <w:sz w:val="20"/>
          <w:szCs w:val="20"/>
          <w:color w:val="auto"/>
        </w:rPr>
      </w:pPr>
    </w:p>
    <w:p>
      <w:pPr>
        <w:ind w:left="120"/>
        <w:spacing w:after="0"/>
        <w:tabs>
          <w:tab w:leader="none" w:pos="4680" w:val="left"/>
          <w:tab w:leader="none" w:pos="5120" w:val="left"/>
        </w:tabs>
        <w:rPr>
          <w:sz w:val="20"/>
          <w:szCs w:val="20"/>
          <w:color w:val="auto"/>
        </w:rPr>
      </w:pPr>
      <w:r>
        <w:rPr>
          <w:rFonts w:ascii="Arial" w:cs="Arial" w:eastAsia="Arial" w:hAnsi="Arial"/>
          <w:sz w:val="20"/>
          <w:szCs w:val="20"/>
          <w:color w:val="auto"/>
        </w:rPr>
        <w:t>Date: January 25, 2023</w:t>
      </w:r>
      <w:r>
        <w:rPr>
          <w:sz w:val="20"/>
          <w:szCs w:val="20"/>
          <w:color w:val="auto"/>
        </w:rPr>
        <w:tab/>
      </w:r>
      <w:r>
        <w:rPr>
          <w:rFonts w:ascii="Arial" w:cs="Arial" w:eastAsia="Arial" w:hAnsi="Arial"/>
          <w:sz w:val="20"/>
          <w:szCs w:val="20"/>
          <w:color w:val="auto"/>
        </w:rPr>
        <w:t>By:</w:t>
        <w:tab/>
        <w:t>/</w:t>
      </w:r>
      <w:r>
        <w:rPr>
          <w:rFonts w:ascii="Arial" w:cs="Arial" w:eastAsia="Arial" w:hAnsi="Arial"/>
          <w:sz w:val="15"/>
          <w:szCs w:val="15"/>
          <w:color w:val="auto"/>
        </w:rPr>
        <w:t>S</w:t>
      </w:r>
      <w:r>
        <w:rPr>
          <w:rFonts w:ascii="Arial" w:cs="Arial" w:eastAsia="Arial" w:hAnsi="Arial"/>
          <w:sz w:val="20"/>
          <w:szCs w:val="20"/>
          <w:color w:val="auto"/>
        </w:rPr>
        <w:t>/ H</w:t>
      </w:r>
      <w:r>
        <w:rPr>
          <w:rFonts w:ascii="Arial" w:cs="Arial" w:eastAsia="Arial" w:hAnsi="Arial"/>
          <w:sz w:val="15"/>
          <w:szCs w:val="15"/>
          <w:color w:val="auto"/>
        </w:rPr>
        <w:t>OWARD</w:t>
      </w:r>
      <w:r>
        <w:rPr>
          <w:rFonts w:ascii="Arial" w:cs="Arial" w:eastAsia="Arial" w:hAnsi="Arial"/>
          <w:sz w:val="20"/>
          <w:szCs w:val="20"/>
          <w:color w:val="auto"/>
        </w:rPr>
        <w:t xml:space="preserve"> G</w:t>
      </w:r>
      <w:r>
        <w:rPr>
          <w:rFonts w:ascii="Arial" w:cs="Arial" w:eastAsia="Arial" w:hAnsi="Arial"/>
          <w:sz w:val="15"/>
          <w:szCs w:val="15"/>
          <w:color w:val="auto"/>
        </w:rPr>
        <w:t>UILD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3266440</wp:posOffset>
                </wp:positionH>
                <wp:positionV relativeFrom="paragraph">
                  <wp:posOffset>9525</wp:posOffset>
                </wp:positionV>
                <wp:extent cx="260096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09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2pt,0.75pt" to="462pt,0.75pt" o:allowincell="f" strokecolor="#000000" strokeweight="0.5pt"/>
            </w:pict>
          </mc:Fallback>
        </mc:AlternateContent>
      </w:r>
    </w:p>
    <w:p>
      <w:pPr>
        <w:spacing w:after="0" w:line="28"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Howard Guild</w:t>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Chief Accounting Officer</w:t>
      </w:r>
    </w:p>
    <w:p>
      <w:pPr>
        <w:spacing w:after="0" w:line="25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80" w:type="dxa"/>
            <w:vAlign w:val="bottom"/>
          </w:tcPr>
          <w:p>
            <w:pPr>
              <w:jc w:val="center"/>
              <w:spacing w:after="0"/>
              <w:rPr>
                <w:sz w:val="20"/>
                <w:szCs w:val="20"/>
                <w:color w:val="auto"/>
              </w:rPr>
            </w:pPr>
            <w:r>
              <w:rPr>
                <w:rFonts w:ascii="Arial" w:cs="Arial" w:eastAsia="Arial" w:hAnsi="Arial"/>
                <w:sz w:val="16"/>
                <w:szCs w:val="16"/>
                <w:b w:val="1"/>
                <w:bCs w:val="1"/>
                <w:color w:val="auto"/>
              </w:rPr>
              <w:t>Name</w:t>
            </w:r>
          </w:p>
        </w:tc>
        <w:tc>
          <w:tcPr>
            <w:tcW w:w="4220" w:type="dxa"/>
            <w:vAlign w:val="bottom"/>
          </w:tcPr>
          <w:p>
            <w:pPr>
              <w:ind w:left="236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360"/>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Chief Executive Officer and Director</w:t>
            </w:r>
          </w:p>
        </w:tc>
        <w:tc>
          <w:tcPr>
            <w:tcW w:w="0" w:type="dxa"/>
            <w:vAlign w:val="bottom"/>
          </w:tcPr>
          <w:p>
            <w:pPr>
              <w:spacing w:after="0"/>
              <w:rPr>
                <w:sz w:val="1"/>
                <w:szCs w:val="1"/>
                <w:color w:val="auto"/>
              </w:rPr>
            </w:pPr>
          </w:p>
        </w:tc>
      </w:tr>
      <w:tr>
        <w:trPr>
          <w:trHeight w:val="206"/>
        </w:trPr>
        <w:tc>
          <w:tcPr>
            <w:tcW w:w="4080" w:type="dxa"/>
            <w:vAlign w:val="bottom"/>
            <w:vMerge w:val="restart"/>
          </w:tcPr>
          <w:p>
            <w:pPr>
              <w:jc w:val="center"/>
              <w:spacing w:after="0"/>
              <w:rPr>
                <w:sz w:val="20"/>
                <w:szCs w:val="20"/>
                <w:color w:val="auto"/>
              </w:rPr>
            </w:pPr>
            <w:r>
              <w:rPr>
                <w:rFonts w:ascii="Arial" w:cs="Arial" w:eastAsia="Arial" w:hAnsi="Arial"/>
                <w:sz w:val="20"/>
                <w:szCs w:val="20"/>
                <w:color w:val="auto"/>
              </w:rPr>
              <w:t>Olivier Le Peuch</w:t>
            </w:r>
          </w:p>
        </w:tc>
        <w:tc>
          <w:tcPr>
            <w:tcW w:w="4220" w:type="dxa"/>
            <w:vAlign w:val="bottom"/>
          </w:tcPr>
          <w:p>
            <w:pPr>
              <w:ind w:left="240"/>
              <w:spacing w:after="0" w:line="206" w:lineRule="exact"/>
              <w:rPr>
                <w:sz w:val="20"/>
                <w:szCs w:val="20"/>
                <w:color w:val="auto"/>
              </w:rPr>
            </w:pPr>
            <w:r>
              <w:rPr>
                <w:rFonts w:ascii="Arial" w:cs="Arial" w:eastAsia="Arial" w:hAnsi="Arial"/>
                <w:sz w:val="20"/>
                <w:szCs w:val="20"/>
                <w:color w:val="auto"/>
              </w:rPr>
              <w:t>(Principal Executive Officer)</w:t>
            </w:r>
          </w:p>
        </w:tc>
        <w:tc>
          <w:tcPr>
            <w:tcW w:w="0" w:type="dxa"/>
            <w:vAlign w:val="bottom"/>
          </w:tcPr>
          <w:p>
            <w:pPr>
              <w:spacing w:after="0"/>
              <w:rPr>
                <w:sz w:val="1"/>
                <w:szCs w:val="1"/>
                <w:color w:val="auto"/>
              </w:rPr>
            </w:pPr>
          </w:p>
        </w:tc>
      </w:tr>
      <w:tr>
        <w:trPr>
          <w:trHeight w:val="50"/>
        </w:trPr>
        <w:tc>
          <w:tcPr>
            <w:tcW w:w="4080" w:type="dxa"/>
            <w:vAlign w:val="bottom"/>
            <w:vMerge w:val="continue"/>
          </w:tcPr>
          <w:p>
            <w:pPr>
              <w:spacing w:after="0"/>
              <w:rPr>
                <w:sz w:val="4"/>
                <w:szCs w:val="4"/>
                <w:color w:val="auto"/>
              </w:rPr>
            </w:pPr>
          </w:p>
        </w:tc>
        <w:tc>
          <w:tcPr>
            <w:tcW w:w="4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S</w:t>
            </w:r>
            <w:r>
              <w:rPr>
                <w:rFonts w:ascii="Arial" w:cs="Arial" w:eastAsia="Arial" w:hAnsi="Arial"/>
                <w:sz w:val="20"/>
                <w:szCs w:val="20"/>
                <w:color w:val="auto"/>
              </w:rPr>
              <w:t>/ S</w:t>
            </w:r>
            <w:r>
              <w:rPr>
                <w:rFonts w:ascii="Arial" w:cs="Arial" w:eastAsia="Arial" w:hAnsi="Arial"/>
                <w:sz w:val="15"/>
                <w:szCs w:val="15"/>
                <w:color w:val="auto"/>
              </w:rPr>
              <w:t>TEPHANE</w:t>
            </w:r>
            <w:r>
              <w:rPr>
                <w:rFonts w:ascii="Arial" w:cs="Arial" w:eastAsia="Arial" w:hAnsi="Arial"/>
                <w:sz w:val="20"/>
                <w:szCs w:val="20"/>
                <w:color w:val="auto"/>
              </w:rPr>
              <w:t xml:space="preserve"> B</w:t>
            </w:r>
            <w:r>
              <w:rPr>
                <w:rFonts w:ascii="Arial" w:cs="Arial" w:eastAsia="Arial" w:hAnsi="Arial"/>
                <w:sz w:val="15"/>
                <w:szCs w:val="15"/>
                <w:color w:val="auto"/>
              </w:rPr>
              <w:t>IGUET</w:t>
            </w:r>
          </w:p>
        </w:tc>
        <w:tc>
          <w:tcPr>
            <w:tcW w:w="4220" w:type="dxa"/>
            <w:vAlign w:val="bottom"/>
          </w:tcPr>
          <w:p>
            <w:pPr>
              <w:ind w:left="240"/>
              <w:spacing w:after="0"/>
              <w:rPr>
                <w:sz w:val="20"/>
                <w:szCs w:val="20"/>
                <w:color w:val="auto"/>
              </w:rPr>
            </w:pPr>
            <w:r>
              <w:rPr>
                <w:rFonts w:ascii="Arial" w:cs="Arial" w:eastAsia="Arial" w:hAnsi="Arial"/>
                <w:sz w:val="20"/>
                <w:szCs w:val="20"/>
                <w:color w:val="auto"/>
                <w:w w:val="99"/>
              </w:rPr>
              <w:t>Executive Vice President and Chief Financial</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4220" w:type="dxa"/>
            <w:vAlign w:val="bottom"/>
          </w:tcPr>
          <w:p>
            <w:pPr>
              <w:ind w:left="440"/>
              <w:spacing w:after="0" w:line="186" w:lineRule="exact"/>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r>
        <w:trPr>
          <w:trHeight w:val="224"/>
        </w:trPr>
        <w:tc>
          <w:tcPr>
            <w:tcW w:w="4080" w:type="dxa"/>
            <w:vAlign w:val="bottom"/>
          </w:tcPr>
          <w:p>
            <w:pPr>
              <w:jc w:val="center"/>
              <w:spacing w:after="0" w:line="224" w:lineRule="exact"/>
              <w:rPr>
                <w:sz w:val="20"/>
                <w:szCs w:val="20"/>
                <w:color w:val="auto"/>
              </w:rPr>
            </w:pPr>
            <w:r>
              <w:rPr>
                <w:rFonts w:ascii="Arial" w:cs="Arial" w:eastAsia="Arial" w:hAnsi="Arial"/>
                <w:sz w:val="20"/>
                <w:szCs w:val="20"/>
                <w:color w:val="auto"/>
              </w:rPr>
              <w:t>Stephane Biguet</w:t>
            </w:r>
          </w:p>
        </w:tc>
        <w:tc>
          <w:tcPr>
            <w:tcW w:w="4220" w:type="dxa"/>
            <w:vAlign w:val="bottom"/>
          </w:tcPr>
          <w:p>
            <w:pPr>
              <w:ind w:left="240"/>
              <w:spacing w:after="0" w:line="224" w:lineRule="exact"/>
              <w:rPr>
                <w:sz w:val="20"/>
                <w:szCs w:val="20"/>
                <w:color w:val="auto"/>
              </w:rPr>
            </w:pPr>
            <w:r>
              <w:rPr>
                <w:rFonts w:ascii="Arial" w:cs="Arial" w:eastAsia="Arial" w:hAnsi="Arial"/>
                <w:sz w:val="20"/>
                <w:szCs w:val="20"/>
                <w:color w:val="auto"/>
              </w:rPr>
              <w:t>(Principal Financial Officer)</w:t>
            </w:r>
          </w:p>
        </w:tc>
        <w:tc>
          <w:tcPr>
            <w:tcW w:w="0" w:type="dxa"/>
            <w:vAlign w:val="bottom"/>
          </w:tcPr>
          <w:p>
            <w:pPr>
              <w:spacing w:after="0"/>
              <w:rPr>
                <w:sz w:val="1"/>
                <w:szCs w:val="1"/>
                <w:color w:val="auto"/>
              </w:rPr>
            </w:pPr>
          </w:p>
        </w:tc>
      </w:tr>
      <w:tr>
        <w:trPr>
          <w:trHeight w:val="350"/>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S</w:t>
            </w:r>
            <w:r>
              <w:rPr>
                <w:rFonts w:ascii="Arial" w:cs="Arial" w:eastAsia="Arial" w:hAnsi="Arial"/>
                <w:sz w:val="20"/>
                <w:szCs w:val="20"/>
                <w:color w:val="auto"/>
              </w:rPr>
              <w:t>/ H</w:t>
            </w:r>
            <w:r>
              <w:rPr>
                <w:rFonts w:ascii="Arial" w:cs="Arial" w:eastAsia="Arial" w:hAnsi="Arial"/>
                <w:sz w:val="15"/>
                <w:szCs w:val="15"/>
                <w:color w:val="auto"/>
              </w:rPr>
              <w:t>OWARD</w:t>
            </w:r>
            <w:r>
              <w:rPr>
                <w:rFonts w:ascii="Arial" w:cs="Arial" w:eastAsia="Arial" w:hAnsi="Arial"/>
                <w:sz w:val="20"/>
                <w:szCs w:val="20"/>
                <w:color w:val="auto"/>
              </w:rPr>
              <w:t xml:space="preserve"> G</w:t>
            </w:r>
            <w:r>
              <w:rPr>
                <w:rFonts w:ascii="Arial" w:cs="Arial" w:eastAsia="Arial" w:hAnsi="Arial"/>
                <w:sz w:val="15"/>
                <w:szCs w:val="15"/>
                <w:color w:val="auto"/>
              </w:rPr>
              <w:t>UILD</w:t>
            </w:r>
          </w:p>
        </w:tc>
        <w:tc>
          <w:tcPr>
            <w:tcW w:w="4220" w:type="dxa"/>
            <w:vAlign w:val="bottom"/>
          </w:tcPr>
          <w:p>
            <w:pPr>
              <w:ind w:left="240"/>
              <w:spacing w:after="0"/>
              <w:rPr>
                <w:sz w:val="20"/>
                <w:szCs w:val="20"/>
                <w:color w:val="auto"/>
              </w:rPr>
            </w:pPr>
            <w:r>
              <w:rPr>
                <w:rFonts w:ascii="Arial" w:cs="Arial" w:eastAsia="Arial" w:hAnsi="Arial"/>
                <w:sz w:val="20"/>
                <w:szCs w:val="20"/>
                <w:color w:val="auto"/>
              </w:rPr>
              <w:t>Chief Accounting Officer</w:t>
            </w:r>
          </w:p>
        </w:tc>
        <w:tc>
          <w:tcPr>
            <w:tcW w:w="0" w:type="dxa"/>
            <w:vAlign w:val="bottom"/>
          </w:tcPr>
          <w:p>
            <w:pPr>
              <w:spacing w:after="0"/>
              <w:rPr>
                <w:sz w:val="1"/>
                <w:szCs w:val="1"/>
                <w:color w:val="auto"/>
              </w:rPr>
            </w:pPr>
          </w:p>
        </w:tc>
      </w:tr>
      <w:tr>
        <w:trPr>
          <w:trHeight w:val="206"/>
        </w:trPr>
        <w:tc>
          <w:tcPr>
            <w:tcW w:w="4080" w:type="dxa"/>
            <w:vAlign w:val="bottom"/>
            <w:vMerge w:val="restart"/>
          </w:tcPr>
          <w:p>
            <w:pPr>
              <w:jc w:val="center"/>
              <w:spacing w:after="0"/>
              <w:rPr>
                <w:sz w:val="20"/>
                <w:szCs w:val="20"/>
                <w:color w:val="auto"/>
              </w:rPr>
            </w:pPr>
            <w:r>
              <w:rPr>
                <w:rFonts w:ascii="Arial" w:cs="Arial" w:eastAsia="Arial" w:hAnsi="Arial"/>
                <w:sz w:val="20"/>
                <w:szCs w:val="20"/>
                <w:color w:val="auto"/>
                <w:w w:val="99"/>
              </w:rPr>
              <w:t>Howard Guild</w:t>
            </w:r>
          </w:p>
        </w:tc>
        <w:tc>
          <w:tcPr>
            <w:tcW w:w="4220" w:type="dxa"/>
            <w:vAlign w:val="bottom"/>
          </w:tcPr>
          <w:p>
            <w:pPr>
              <w:ind w:left="240"/>
              <w:spacing w:after="0" w:line="206" w:lineRule="exact"/>
              <w:rPr>
                <w:sz w:val="20"/>
                <w:szCs w:val="20"/>
                <w:color w:val="auto"/>
              </w:rPr>
            </w:pPr>
            <w:r>
              <w:rPr>
                <w:rFonts w:ascii="Arial" w:cs="Arial" w:eastAsia="Arial" w:hAnsi="Arial"/>
                <w:sz w:val="20"/>
                <w:szCs w:val="20"/>
                <w:color w:val="auto"/>
              </w:rPr>
              <w:t>(Principal Accounting Officer)</w:t>
            </w:r>
          </w:p>
        </w:tc>
        <w:tc>
          <w:tcPr>
            <w:tcW w:w="0" w:type="dxa"/>
            <w:vAlign w:val="bottom"/>
          </w:tcPr>
          <w:p>
            <w:pPr>
              <w:spacing w:after="0"/>
              <w:rPr>
                <w:sz w:val="1"/>
                <w:szCs w:val="1"/>
                <w:color w:val="auto"/>
              </w:rPr>
            </w:pPr>
          </w:p>
        </w:tc>
      </w:tr>
      <w:tr>
        <w:trPr>
          <w:trHeight w:val="52"/>
        </w:trPr>
        <w:tc>
          <w:tcPr>
            <w:tcW w:w="4080" w:type="dxa"/>
            <w:vAlign w:val="bottom"/>
            <w:vMerge w:val="continue"/>
          </w:tcPr>
          <w:p>
            <w:pPr>
              <w:spacing w:after="0"/>
              <w:rPr>
                <w:sz w:val="4"/>
                <w:szCs w:val="4"/>
                <w:color w:val="auto"/>
              </w:rPr>
            </w:pPr>
          </w:p>
        </w:tc>
        <w:tc>
          <w:tcPr>
            <w:tcW w:w="4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Arial" w:cs="Arial" w:eastAsia="Arial" w:hAnsi="Arial"/>
                <w:sz w:val="20"/>
                <w:szCs w:val="20"/>
                <w:color w:val="auto"/>
                <w:w w:val="98"/>
              </w:rPr>
              <w:t>Peter Coleman</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Arial" w:cs="Arial" w:eastAsia="Arial" w:hAnsi="Arial"/>
                <w:sz w:val="20"/>
                <w:szCs w:val="20"/>
                <w:color w:val="auto"/>
              </w:rPr>
              <w:t>Patrick de La Chevardière</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Arial" w:cs="Arial" w:eastAsia="Arial" w:hAnsi="Arial"/>
                <w:sz w:val="20"/>
                <w:szCs w:val="20"/>
                <w:color w:val="auto"/>
                <w:w w:val="99"/>
              </w:rPr>
              <w:t>Miguel M. Galuccio</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0"/>
        </w:trPr>
        <w:tc>
          <w:tcPr>
            <w:tcW w:w="4080" w:type="dxa"/>
            <w:vAlign w:val="bottom"/>
          </w:tcPr>
          <w:p>
            <w:pPr>
              <w:jc w:val="center"/>
              <w:spacing w:after="0"/>
              <w:rPr>
                <w:sz w:val="20"/>
                <w:szCs w:val="20"/>
                <w:color w:val="auto"/>
              </w:rPr>
            </w:pPr>
            <w:r>
              <w:rPr>
                <w:rFonts w:ascii="Arial" w:cs="Arial" w:eastAsia="Arial" w:hAnsi="Arial"/>
                <w:sz w:val="20"/>
                <w:szCs w:val="20"/>
                <w:color w:val="auto"/>
                <w:w w:val="99"/>
              </w:rPr>
              <w:t>Samuel Leupold</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3"/>
        </w:trPr>
        <w:tc>
          <w:tcPr>
            <w:tcW w:w="4080" w:type="dxa"/>
            <w:vAlign w:val="bottom"/>
          </w:tcPr>
          <w:p>
            <w:pPr>
              <w:jc w:val="center"/>
              <w:spacing w:after="0"/>
              <w:rPr>
                <w:sz w:val="20"/>
                <w:szCs w:val="20"/>
                <w:color w:val="auto"/>
              </w:rPr>
            </w:pPr>
            <w:r>
              <w:rPr>
                <w:rFonts w:ascii="Arial" w:cs="Arial" w:eastAsia="Arial" w:hAnsi="Arial"/>
                <w:sz w:val="20"/>
                <w:szCs w:val="20"/>
                <w:color w:val="auto"/>
              </w:rPr>
              <w:t>Tatiana A. Mitrova</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Arial" w:cs="Arial" w:eastAsia="Arial" w:hAnsi="Arial"/>
                <w:sz w:val="20"/>
                <w:szCs w:val="20"/>
                <w:color w:val="auto"/>
                <w:w w:val="99"/>
              </w:rPr>
              <w:t>Maria Moræus Hanssen</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0"/>
        </w:trPr>
        <w:tc>
          <w:tcPr>
            <w:tcW w:w="4080" w:type="dxa"/>
            <w:vAlign w:val="bottom"/>
          </w:tcPr>
          <w:p>
            <w:pPr>
              <w:jc w:val="center"/>
              <w:spacing w:after="0"/>
              <w:rPr>
                <w:sz w:val="20"/>
                <w:szCs w:val="20"/>
                <w:color w:val="auto"/>
              </w:rPr>
            </w:pPr>
            <w:r>
              <w:rPr>
                <w:rFonts w:ascii="Arial" w:cs="Arial" w:eastAsia="Arial" w:hAnsi="Arial"/>
                <w:sz w:val="20"/>
                <w:szCs w:val="20"/>
                <w:color w:val="auto"/>
              </w:rPr>
              <w:t>Vanitha Narayanan</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Chairman of the Board</w:t>
            </w:r>
          </w:p>
        </w:tc>
        <w:tc>
          <w:tcPr>
            <w:tcW w:w="0" w:type="dxa"/>
            <w:vAlign w:val="bottom"/>
          </w:tcPr>
          <w:p>
            <w:pPr>
              <w:spacing w:after="0"/>
              <w:rPr>
                <w:sz w:val="1"/>
                <w:szCs w:val="1"/>
                <w:color w:val="auto"/>
              </w:rPr>
            </w:pPr>
          </w:p>
        </w:tc>
      </w:tr>
      <w:tr>
        <w:trPr>
          <w:trHeight w:val="251"/>
        </w:trPr>
        <w:tc>
          <w:tcPr>
            <w:tcW w:w="4080" w:type="dxa"/>
            <w:vAlign w:val="bottom"/>
          </w:tcPr>
          <w:p>
            <w:pPr>
              <w:jc w:val="center"/>
              <w:spacing w:after="0"/>
              <w:rPr>
                <w:sz w:val="20"/>
                <w:szCs w:val="20"/>
                <w:color w:val="auto"/>
              </w:rPr>
            </w:pPr>
            <w:r>
              <w:rPr>
                <w:rFonts w:ascii="Arial" w:cs="Arial" w:eastAsia="Arial" w:hAnsi="Arial"/>
                <w:sz w:val="20"/>
                <w:szCs w:val="20"/>
                <w:color w:val="auto"/>
              </w:rPr>
              <w:t>Mark G. Papa</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3"/>
        </w:trPr>
        <w:tc>
          <w:tcPr>
            <w:tcW w:w="4080" w:type="dxa"/>
            <w:vAlign w:val="bottom"/>
          </w:tcPr>
          <w:p>
            <w:pPr>
              <w:jc w:val="center"/>
              <w:spacing w:after="0"/>
              <w:rPr>
                <w:sz w:val="20"/>
                <w:szCs w:val="20"/>
                <w:color w:val="auto"/>
              </w:rPr>
            </w:pPr>
            <w:r>
              <w:rPr>
                <w:rFonts w:ascii="Arial" w:cs="Arial" w:eastAsia="Arial" w:hAnsi="Arial"/>
                <w:sz w:val="20"/>
                <w:szCs w:val="20"/>
                <w:color w:val="auto"/>
              </w:rPr>
              <w:t>Jeff W. Sheets</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220" w:type="dxa"/>
            <w:vAlign w:val="bottom"/>
          </w:tcPr>
          <w:p>
            <w:pPr>
              <w:ind w:left="2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252"/>
        </w:trPr>
        <w:tc>
          <w:tcPr>
            <w:tcW w:w="4080" w:type="dxa"/>
            <w:vAlign w:val="bottom"/>
          </w:tcPr>
          <w:p>
            <w:pPr>
              <w:jc w:val="center"/>
              <w:spacing w:after="0"/>
              <w:rPr>
                <w:sz w:val="20"/>
                <w:szCs w:val="20"/>
                <w:color w:val="auto"/>
              </w:rPr>
            </w:pPr>
            <w:r>
              <w:rPr>
                <w:rFonts w:ascii="Arial" w:cs="Arial" w:eastAsia="Arial" w:hAnsi="Arial"/>
                <w:sz w:val="20"/>
                <w:szCs w:val="20"/>
                <w:color w:val="auto"/>
              </w:rPr>
              <w:t>Ulrich Spiesshofer</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D</w:t>
            </w:r>
            <w:r>
              <w:rPr>
                <w:rFonts w:ascii="Arial" w:cs="Arial" w:eastAsia="Arial" w:hAnsi="Arial"/>
                <w:sz w:val="15"/>
                <w:szCs w:val="15"/>
                <w:color w:val="auto"/>
              </w:rPr>
              <w:t>IANNE</w:t>
            </w:r>
            <w:r>
              <w:rPr>
                <w:rFonts w:ascii="Arial" w:cs="Arial" w:eastAsia="Arial" w:hAnsi="Arial"/>
                <w:sz w:val="20"/>
                <w:szCs w:val="20"/>
                <w:color w:val="auto"/>
              </w:rPr>
              <w:t xml:space="preserve"> B. R</w:t>
            </w:r>
            <w:r>
              <w:rPr>
                <w:rFonts w:ascii="Arial" w:cs="Arial" w:eastAsia="Arial" w:hAnsi="Arial"/>
                <w:sz w:val="15"/>
                <w:szCs w:val="15"/>
                <w:color w:val="auto"/>
              </w:rPr>
              <w:t>ALSTON</w:t>
            </w:r>
          </w:p>
        </w:tc>
        <w:tc>
          <w:tcPr>
            <w:tcW w:w="4220" w:type="dxa"/>
            <w:vAlign w:val="bottom"/>
          </w:tcPr>
          <w:p>
            <w:pPr>
              <w:ind w:left="240"/>
              <w:spacing w:after="0"/>
              <w:rPr>
                <w:sz w:val="20"/>
                <w:szCs w:val="20"/>
                <w:color w:val="auto"/>
              </w:rPr>
            </w:pPr>
            <w:r>
              <w:rPr>
                <w:rFonts w:ascii="Arial" w:cs="Arial" w:eastAsia="Arial" w:hAnsi="Arial"/>
                <w:sz w:val="20"/>
                <w:szCs w:val="20"/>
                <w:color w:val="auto"/>
              </w:rPr>
              <w:t>January 25, 2023</w:t>
            </w:r>
          </w:p>
        </w:tc>
        <w:tc>
          <w:tcPr>
            <w:tcW w:w="0" w:type="dxa"/>
            <w:vAlign w:val="bottom"/>
          </w:tcPr>
          <w:p>
            <w:pPr>
              <w:spacing w:after="0"/>
              <w:rPr>
                <w:sz w:val="1"/>
                <w:szCs w:val="1"/>
                <w:color w:val="auto"/>
              </w:rPr>
            </w:pPr>
          </w:p>
        </w:tc>
      </w:tr>
      <w:tr>
        <w:trPr>
          <w:trHeight w:val="250"/>
        </w:trPr>
        <w:tc>
          <w:tcPr>
            <w:tcW w:w="4080" w:type="dxa"/>
            <w:vAlign w:val="bottom"/>
          </w:tcPr>
          <w:p>
            <w:pPr>
              <w:jc w:val="center"/>
              <w:spacing w:after="0"/>
              <w:rPr>
                <w:sz w:val="20"/>
                <w:szCs w:val="20"/>
                <w:color w:val="auto"/>
              </w:rPr>
            </w:pPr>
            <w:r>
              <w:rPr>
                <w:rFonts w:ascii="Arial" w:cs="Arial" w:eastAsia="Arial" w:hAnsi="Arial"/>
                <w:sz w:val="20"/>
                <w:szCs w:val="20"/>
                <w:color w:val="auto"/>
              </w:rPr>
              <w:t>*By Dianne B. Ralston, Attorney-in-Fact</w:t>
            </w:r>
          </w:p>
        </w:tc>
        <w:tc>
          <w:tcPr>
            <w:tcW w:w="4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836" w:gutter="0" w:footer="0" w:header="0"/>
        </w:sectPr>
      </w:pP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9360"/>
          </w:cols>
          <w:pgMar w:left="1440" w:top="1440" w:right="1440" w:bottom="836" w:gutter="0" w:footer="0" w:header="0"/>
          <w:type w:val="continuous"/>
        </w:sectPr>
      </w:pPr>
    </w:p>
    <w:bookmarkStart w:id="109" w:name="page110"/>
    <w:bookmarkEnd w:id="109"/>
    <w:p>
      <w:pPr>
        <w:spacing w:after="0" w:line="52" w:lineRule="exact"/>
        <w:rPr>
          <w:sz w:val="20"/>
          <w:szCs w:val="20"/>
          <w:color w:val="auto"/>
        </w:rPr>
      </w:pPr>
    </w:p>
    <w:p>
      <w:pPr>
        <w:ind w:left="8300"/>
        <w:spacing w:after="0"/>
        <w:rPr>
          <w:sz w:val="20"/>
          <w:szCs w:val="20"/>
          <w:color w:val="auto"/>
        </w:rPr>
      </w:pPr>
      <w:r>
        <w:rPr>
          <w:rFonts w:ascii="Arial" w:cs="Arial" w:eastAsia="Arial" w:hAnsi="Arial"/>
          <w:sz w:val="19"/>
          <w:szCs w:val="19"/>
          <w:b w:val="1"/>
          <w:bCs w:val="1"/>
          <w:u w:val="single" w:color="auto"/>
          <w:color w:val="auto"/>
        </w:rPr>
        <w:t>Exhibit 21</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Significant Subsidiaries</w:t>
      </w:r>
    </w:p>
    <w:p>
      <w:pPr>
        <w:spacing w:after="0" w:line="13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Listed below are the significant subsidiaries of Schlumberger Limited (Schlumberger N.V.) as of December 31, 2022,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2022.</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Schlumberger B.V., Netherlands</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Schlumberger Canada Limited, Canada</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Schlumberger Holdings Corporation, Delaware</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Cameron International Corporation, Delaware</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Technology Corporation, Texas</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Schlumberger Norge AS, Norway</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Schlumberger SA, France</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Services Petroliers Schlumberger, France</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Schlumberger UK Limited, UK</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Plc, UK</w:t>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Schlumberger Oilfield UK Limited, UK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Schlumberger Oilfield Holdings Limited, BVI</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Schlumberger Holdings II Limited, BVI</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Dowell Schlumberger Corporation, BVI</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Logelco, Inc., Panama</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Middle East SA., Panama</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Offshore Services Limited, BVI</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Oilfield Eastern Ltd., BVI</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Overseas, SA, Panama</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Schlumberger Seaco, Inc., Panama</w:t>
      </w:r>
    </w:p>
    <w:p>
      <w:pPr>
        <w:sectPr>
          <w:pgSz w:w="12240" w:h="15840" w:orient="portrait"/>
          <w:cols w:equalWidth="0" w:num="1">
            <w:col w:w="9360"/>
          </w:cols>
          <w:pgMar w:left="1440" w:top="1440" w:right="1440" w:bottom="1440" w:gutter="0" w:footer="0" w:header="0"/>
        </w:sectPr>
      </w:pPr>
    </w:p>
    <w:bookmarkStart w:id="110" w:name="page111"/>
    <w:bookmarkEnd w:id="110"/>
    <w:p>
      <w:pPr>
        <w:spacing w:after="0" w:line="52" w:lineRule="exact"/>
        <w:rPr>
          <w:sz w:val="20"/>
          <w:szCs w:val="20"/>
          <w:color w:val="auto"/>
        </w:rPr>
      </w:pPr>
    </w:p>
    <w:p>
      <w:pPr>
        <w:ind w:left="8300"/>
        <w:spacing w:after="0"/>
        <w:rPr>
          <w:sz w:val="20"/>
          <w:szCs w:val="20"/>
          <w:color w:val="auto"/>
        </w:rPr>
      </w:pPr>
      <w:r>
        <w:rPr>
          <w:rFonts w:ascii="Arial" w:cs="Arial" w:eastAsia="Arial" w:hAnsi="Arial"/>
          <w:sz w:val="19"/>
          <w:szCs w:val="19"/>
          <w:b w:val="1"/>
          <w:bCs w:val="1"/>
          <w:u w:val="single" w:color="auto"/>
          <w:color w:val="auto"/>
        </w:rPr>
        <w:t>Exhibit 22</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Issuers of Registered Guaranteed Debt Securities</w:t>
      </w:r>
    </w:p>
    <w:p>
      <w:pPr>
        <w:spacing w:after="0" w:line="13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 xml:space="preserve">Schlumberger Investment SA, a </w:t>
      </w:r>
      <w:r>
        <w:rPr>
          <w:rFonts w:ascii="Arial" w:cs="Arial" w:eastAsia="Arial" w:hAnsi="Arial"/>
          <w:sz w:val="20"/>
          <w:szCs w:val="20"/>
          <w:i w:val="1"/>
          <w:iCs w:val="1"/>
          <w:color w:val="auto"/>
        </w:rPr>
        <w:t>société anonyme</w:t>
      </w:r>
      <w:r>
        <w:rPr>
          <w:rFonts w:ascii="Arial" w:cs="Arial" w:eastAsia="Arial" w:hAnsi="Arial"/>
          <w:sz w:val="20"/>
          <w:szCs w:val="20"/>
          <w:color w:val="auto"/>
        </w:rPr>
        <w:t xml:space="preserv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248"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As of December 31, 2022,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2240" w:h="15840" w:orient="portrait"/>
          <w:cols w:equalWidth="0" w:num="1">
            <w:col w:w="9360"/>
          </w:cols>
          <w:pgMar w:left="1440" w:top="1440" w:right="1440" w:bottom="1440" w:gutter="0" w:footer="0" w:header="0"/>
        </w:sectPr>
      </w:pPr>
    </w:p>
    <w:bookmarkStart w:id="111" w:name="page112"/>
    <w:bookmarkEnd w:id="111"/>
    <w:p>
      <w:pPr>
        <w:spacing w:after="0" w:line="52" w:lineRule="exact"/>
        <w:rPr>
          <w:sz w:val="20"/>
          <w:szCs w:val="20"/>
          <w:color w:val="auto"/>
        </w:rPr>
      </w:pPr>
    </w:p>
    <w:p>
      <w:pPr>
        <w:ind w:left="8300"/>
        <w:spacing w:after="0"/>
        <w:rPr>
          <w:sz w:val="20"/>
          <w:szCs w:val="20"/>
          <w:color w:val="auto"/>
        </w:rPr>
      </w:pPr>
      <w:r>
        <w:rPr>
          <w:rFonts w:ascii="Arial" w:cs="Arial" w:eastAsia="Arial" w:hAnsi="Arial"/>
          <w:sz w:val="19"/>
          <w:szCs w:val="19"/>
          <w:b w:val="1"/>
          <w:bCs w:val="1"/>
          <w:u w:val="single" w:color="auto"/>
          <w:color w:val="auto"/>
        </w:rPr>
        <w:t>Exhibit 23</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4" w:lineRule="exact"/>
        <w:rPr>
          <w:sz w:val="20"/>
          <w:szCs w:val="20"/>
          <w:color w:val="auto"/>
        </w:rPr>
      </w:pPr>
    </w:p>
    <w:p>
      <w:pPr>
        <w:jc w:val="both"/>
        <w:ind w:left="120" w:right="120" w:firstLine="400"/>
        <w:spacing w:after="0" w:line="249" w:lineRule="auto"/>
        <w:rPr>
          <w:sz w:val="20"/>
          <w:szCs w:val="20"/>
          <w:color w:val="auto"/>
        </w:rPr>
      </w:pPr>
      <w:r>
        <w:rPr>
          <w:rFonts w:ascii="Arial" w:cs="Arial" w:eastAsia="Arial" w:hAnsi="Arial"/>
          <w:sz w:val="20"/>
          <w:szCs w:val="20"/>
          <w:color w:val="auto"/>
        </w:rPr>
        <w:t>We hereby consent to the incorporation by reference in the Registration Statements on Form S-8 (Nos. 333-124534; 333-151920; 333-173055, as amended by post-effective amendment on Form S-8; 333-188590; 333-218181; 333-218182; 333-231025; and 333-261482); on Form S-3 (Nos. 333-248675; and 333-249669); on Form S-4 (No. 333-97899); and on Form S-4 as amended by post-effective amendment on Form S-8 (No. 333-207260) of Schlumberger Limited of our report dated January 25, 2023 relating to the consolidated financial statements and the effectiveness of internal control over financial reporting, which appears in this Form 10-K.</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PricewaterhouseCoopers LLP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8255</wp:posOffset>
                </wp:positionV>
                <wp:extent cx="25908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65pt" to="210pt,0.65pt" o:allowincell="f" strokecolor="#000000" strokeweight="0.5pt"/>
            </w:pict>
          </mc:Fallback>
        </mc:AlternateConten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Houston, Texas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January 25, 2023</w:t>
      </w:r>
    </w:p>
    <w:p>
      <w:pPr>
        <w:sectPr>
          <w:pgSz w:w="12240" w:h="15840" w:orient="portrait"/>
          <w:cols w:equalWidth="0" w:num="1">
            <w:col w:w="9360"/>
          </w:cols>
          <w:pgMar w:left="1440" w:top="1440" w:right="1440" w:bottom="1440" w:gutter="0" w:footer="0" w:header="0"/>
        </w:sectPr>
      </w:pPr>
    </w:p>
    <w:bookmarkStart w:id="112" w:name="page113"/>
    <w:bookmarkEnd w:id="112"/>
    <w:p>
      <w:pPr>
        <w:spacing w:after="0" w:line="52" w:lineRule="exact"/>
        <w:rPr>
          <w:sz w:val="20"/>
          <w:szCs w:val="20"/>
          <w:color w:val="auto"/>
        </w:rPr>
      </w:pPr>
    </w:p>
    <w:p>
      <w:pPr>
        <w:ind w:left="8300"/>
        <w:spacing w:after="0"/>
        <w:rPr>
          <w:sz w:val="20"/>
          <w:szCs w:val="20"/>
          <w:color w:val="auto"/>
        </w:rPr>
      </w:pPr>
      <w:r>
        <w:rPr>
          <w:rFonts w:ascii="Arial" w:cs="Arial" w:eastAsia="Arial" w:hAnsi="Arial"/>
          <w:sz w:val="19"/>
          <w:szCs w:val="19"/>
          <w:b w:val="1"/>
          <w:bCs w:val="1"/>
          <w:u w:val="single" w:color="auto"/>
          <w:color w:val="auto"/>
        </w:rPr>
        <w:t>Exhibit 24</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Powers of Attorney</w:t>
      </w:r>
    </w:p>
    <w:p>
      <w:pPr>
        <w:spacing w:after="0" w:line="25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Each of the undersigned, in the capacity or capacities set forth below his or her signature as a member of the Board of Directors and/or an officer of Schlumberger Limited, a Curaçao company, hereby appoints Howard Guild and Dianne B. Ralston,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2022,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2240" w:h="15840" w:orient="portrait"/>
          <w:cols w:equalWidth="0" w:num="1">
            <w:col w:w="9360"/>
          </w:cols>
          <w:pgMar w:left="1440" w:top="1440"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/s/ Peter Coleman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8255</wp:posOffset>
                </wp:positionV>
                <wp:extent cx="25781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65pt" to="209pt,0.65pt" o:allowincell="f" strokecolor="#000000" strokeweight="0.5pt"/>
            </w:pict>
          </mc:Fallback>
        </mc:AlternateConten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Peter Coleman</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Director</w:t>
      </w:r>
    </w:p>
    <w:p>
      <w:pPr>
        <w:spacing w:after="0" w:line="25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 Patrick de La Chevardière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7620</wp:posOffset>
                </wp:positionV>
                <wp:extent cx="25781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6pt" to="209pt,0.6pt" o:allowincell="f" strokecolor="#000000" strokeweight="0.5pt"/>
            </w:pict>
          </mc:Fallback>
        </mc:AlternateConten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Patrick de La Chevardière</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Director</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/s/ Miguel M. Galuccio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7620</wp:posOffset>
                </wp:positionV>
                <wp:extent cx="25781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6pt" to="209pt,0.6pt" o:allowincell="f" strokecolor="#000000" strokeweight="0.5pt"/>
            </w:pict>
          </mc:Fallback>
        </mc:AlternateConten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Miguel M. Galuccio</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Director</w:t>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/s/ Olivier Le Peuch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7620</wp:posOffset>
                </wp:positionV>
                <wp:extent cx="25781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6pt" to="209pt,0.6pt" o:allowincell="f" strokecolor="#000000" strokeweight="0.5pt"/>
            </w:pict>
          </mc:Fallback>
        </mc:AlternateConten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Olivier Le Peuch</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Chief Executive Officer and Director</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 Samuel Leupold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7620</wp:posOffset>
                </wp:positionV>
                <wp:extent cx="25781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6pt" to="209pt,0.6pt" o:allowincell="f" strokecolor="#000000" strokeweight="0.5pt"/>
            </w:pict>
          </mc:Fallback>
        </mc:AlternateConten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Samuel Leupold</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Director</w:t>
      </w:r>
    </w:p>
    <w:p>
      <w:pPr>
        <w:spacing w:after="0" w:line="25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 Tatiana A. Mitrova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7620</wp:posOffset>
                </wp:positionV>
                <wp:extent cx="25781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6pt" to="209pt,0.6pt" o:allowincell="f" strokecolor="#000000" strokeweight="0.5pt"/>
            </w:pict>
          </mc:Fallback>
        </mc:AlternateContent>
      </w:r>
    </w:p>
    <w:p>
      <w:pPr>
        <w:spacing w:after="0" w:line="50"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Tatiana A. Mitrova</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 Maria Moræus Hanssen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-368300</wp:posOffset>
                </wp:positionH>
                <wp:positionV relativeFrom="paragraph">
                  <wp:posOffset>8255</wp:posOffset>
                </wp:positionV>
                <wp:extent cx="22733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0.65pt" to="150pt,0.65pt" o:allowincell="f" strokecolor="#000000" strokeweight="0.5pt"/>
            </w:pict>
          </mc:Fallback>
        </mc:AlternateConten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Maria Moræus Hanssen</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Director</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/s/ Vanitha Narayanan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-368300</wp:posOffset>
                </wp:positionH>
                <wp:positionV relativeFrom="paragraph">
                  <wp:posOffset>7620</wp:posOffset>
                </wp:positionV>
                <wp:extent cx="22733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0.6pt" to="150pt,0.6pt" o:allowincell="f" strokecolor="#000000" strokeweight="0.5pt"/>
            </w:pict>
          </mc:Fallback>
        </mc:AlternateConten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Vanitha Narayanan</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Director</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/s/ Mark G. Papa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-368300</wp:posOffset>
                </wp:positionH>
                <wp:positionV relativeFrom="paragraph">
                  <wp:posOffset>7620</wp:posOffset>
                </wp:positionV>
                <wp:extent cx="22733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0.6pt" to="150pt,0.6pt" o:allowincell="f" strokecolor="#000000" strokeweight="0.5pt"/>
            </w:pict>
          </mc:Fallback>
        </mc:AlternateConten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Mark G. Papa</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Chairman of the Board</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/s/ Jeff W.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-368300</wp:posOffset>
                </wp:positionH>
                <wp:positionV relativeFrom="paragraph">
                  <wp:posOffset>7620</wp:posOffset>
                </wp:positionV>
                <wp:extent cx="22733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0.6pt" to="150pt,0.6pt" o:allowincell="f" strokecolor="#000000" strokeweight="0.5pt"/>
            </w:pict>
          </mc:Fallback>
        </mc:AlternateConten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Jeff W. Sheets</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Director</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 Ulrich Spiesshofer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-368300</wp:posOffset>
                </wp:positionH>
                <wp:positionV relativeFrom="paragraph">
                  <wp:posOffset>7620</wp:posOffset>
                </wp:positionV>
                <wp:extent cx="22733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pt,0.6pt" to="150pt,0.6pt" o:allowincell="f" strokecolor="#000000" strokeweight="0.5pt"/>
            </w:pict>
          </mc:Fallback>
        </mc:AlternateConten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Ulrich Spiesshofer</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Director</w:t>
      </w:r>
    </w:p>
    <w:p>
      <w:pPr>
        <w:spacing w:after="0" w:line="1220" w:lineRule="exact"/>
        <w:rPr>
          <w:sz w:val="20"/>
          <w:szCs w:val="20"/>
          <w:color w:val="auto"/>
        </w:rPr>
      </w:pPr>
    </w:p>
    <w:p>
      <w:pPr>
        <w:sectPr>
          <w:pgSz w:w="12240" w:h="15840" w:orient="portrait"/>
          <w:cols w:equalWidth="0" w:num="2">
            <w:col w:w="5280" w:space="720"/>
            <w:col w:w="3360"/>
          </w:cols>
          <w:pgMar w:left="1440" w:top="1440" w:right="1440" w:bottom="144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January 20, 2023</w:t>
      </w:r>
    </w:p>
    <w:p>
      <w:pPr>
        <w:sectPr>
          <w:pgSz w:w="12240" w:h="15840" w:orient="portrait"/>
          <w:cols w:equalWidth="0" w:num="1">
            <w:col w:w="9360"/>
          </w:cols>
          <w:pgMar w:left="1440" w:top="1440" w:right="1440" w:bottom="1440" w:gutter="0" w:footer="0" w:header="0"/>
          <w:type w:val="continuous"/>
        </w:sectPr>
      </w:pPr>
    </w:p>
    <w:bookmarkStart w:id="113" w:name="page114"/>
    <w:bookmarkEnd w:id="113"/>
    <w:p>
      <w:pPr>
        <w:spacing w:after="0" w:line="52" w:lineRule="exact"/>
        <w:rPr>
          <w:sz w:val="20"/>
          <w:szCs w:val="20"/>
          <w:color w:val="auto"/>
        </w:rPr>
      </w:pPr>
    </w:p>
    <w:p>
      <w:pPr>
        <w:ind w:left="8120"/>
        <w:spacing w:after="0"/>
        <w:rPr>
          <w:sz w:val="20"/>
          <w:szCs w:val="20"/>
          <w:color w:val="auto"/>
        </w:rPr>
      </w:pPr>
      <w:r>
        <w:rPr>
          <w:rFonts w:ascii="Arial" w:cs="Arial" w:eastAsia="Arial" w:hAnsi="Arial"/>
          <w:sz w:val="20"/>
          <w:szCs w:val="20"/>
          <w:b w:val="1"/>
          <w:bCs w:val="1"/>
          <w:u w:val="single" w:color="auto"/>
          <w:color w:val="auto"/>
        </w:rPr>
        <w:t>Exhibit 31.1</w:t>
      </w:r>
    </w:p>
    <w:p>
      <w:pPr>
        <w:spacing w:after="0" w:line="177" w:lineRule="exact"/>
        <w:rPr>
          <w:sz w:val="20"/>
          <w:szCs w:val="20"/>
          <w:color w:val="auto"/>
        </w:rPr>
      </w:pPr>
    </w:p>
    <w:p>
      <w:pPr>
        <w:ind w:left="2360"/>
        <w:spacing w:after="0"/>
        <w:rPr>
          <w:sz w:val="20"/>
          <w:szCs w:val="20"/>
          <w:color w:val="auto"/>
        </w:rPr>
      </w:pPr>
      <w:r>
        <w:rPr>
          <w:rFonts w:ascii="Arial" w:cs="Arial" w:eastAsia="Arial" w:hAnsi="Arial"/>
          <w:sz w:val="20"/>
          <w:szCs w:val="20"/>
          <w:b w:val="1"/>
          <w:bCs w:val="1"/>
          <w:u w:val="single" w:color="auto"/>
          <w:color w:val="auto"/>
        </w:rPr>
        <w:t>CERTIFICATION OF CHIEF EXECUTIVE OFFICER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 Olivier Le Peuch, certify that:</w:t>
      </w:r>
    </w:p>
    <w:p>
      <w:pPr>
        <w:spacing w:after="0" w:line="183" w:lineRule="exact"/>
        <w:rPr>
          <w:sz w:val="20"/>
          <w:szCs w:val="20"/>
          <w:color w:val="auto"/>
        </w:rPr>
      </w:pPr>
    </w:p>
    <w:p>
      <w:pPr>
        <w:ind w:left="120" w:right="120" w:firstLine="400"/>
        <w:spacing w:after="0" w:line="245" w:lineRule="auto"/>
        <w:tabs>
          <w:tab w:leader="none" w:pos="804" w:val="left"/>
        </w:tabs>
        <w:numPr>
          <w:ilvl w:val="0"/>
          <w:numId w:val="7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Schlumberger N.V. (Schlumberger Limited);</w:t>
      </w:r>
    </w:p>
    <w:p>
      <w:pPr>
        <w:spacing w:after="0" w:line="179" w:lineRule="exact"/>
        <w:rPr>
          <w:rFonts w:ascii="Arial" w:cs="Arial" w:eastAsia="Arial" w:hAnsi="Arial"/>
          <w:sz w:val="20"/>
          <w:szCs w:val="20"/>
          <w:color w:val="auto"/>
        </w:rPr>
      </w:pPr>
    </w:p>
    <w:p>
      <w:pPr>
        <w:jc w:val="both"/>
        <w:ind w:left="120" w:right="120" w:firstLine="400"/>
        <w:spacing w:after="0" w:line="248" w:lineRule="auto"/>
        <w:tabs>
          <w:tab w:leader="none" w:pos="749" w:val="left"/>
        </w:tabs>
        <w:numPr>
          <w:ilvl w:val="0"/>
          <w:numId w:val="7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20"/>
          <w:szCs w:val="20"/>
          <w:color w:val="auto"/>
        </w:rPr>
      </w:pPr>
    </w:p>
    <w:p>
      <w:pPr>
        <w:jc w:val="both"/>
        <w:ind w:left="120" w:right="120" w:firstLine="400"/>
        <w:spacing w:after="0" w:line="247" w:lineRule="auto"/>
        <w:tabs>
          <w:tab w:leader="none" w:pos="767" w:val="left"/>
        </w:tabs>
        <w:numPr>
          <w:ilvl w:val="0"/>
          <w:numId w:val="7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20"/>
          <w:szCs w:val="20"/>
          <w:color w:val="auto"/>
        </w:rPr>
      </w:pPr>
    </w:p>
    <w:p>
      <w:pPr>
        <w:jc w:val="both"/>
        <w:ind w:left="120" w:right="120" w:firstLine="400"/>
        <w:spacing w:after="0" w:line="248" w:lineRule="auto"/>
        <w:tabs>
          <w:tab w:leader="none" w:pos="771"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20"/>
          <w:szCs w:val="20"/>
          <w:color w:val="auto"/>
        </w:rPr>
      </w:pPr>
    </w:p>
    <w:p>
      <w:pPr>
        <w:jc w:val="both"/>
        <w:ind w:left="1200" w:right="120" w:hanging="480"/>
        <w:spacing w:after="0" w:line="249" w:lineRule="auto"/>
        <w:tabs>
          <w:tab w:leader="none" w:pos="12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20"/>
          <w:szCs w:val="20"/>
          <w:color w:val="auto"/>
        </w:rPr>
      </w:pPr>
    </w:p>
    <w:p>
      <w:pPr>
        <w:jc w:val="both"/>
        <w:ind w:left="1200" w:right="120" w:hanging="480"/>
        <w:spacing w:after="0" w:line="248" w:lineRule="auto"/>
        <w:tabs>
          <w:tab w:leader="none" w:pos="12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20"/>
          <w:szCs w:val="20"/>
          <w:color w:val="auto"/>
        </w:rPr>
      </w:pPr>
    </w:p>
    <w:p>
      <w:pPr>
        <w:jc w:val="both"/>
        <w:ind w:left="1200" w:right="120" w:hanging="480"/>
        <w:spacing w:after="0" w:line="248" w:lineRule="auto"/>
        <w:tabs>
          <w:tab w:leader="none" w:pos="12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20"/>
          <w:szCs w:val="20"/>
          <w:color w:val="auto"/>
        </w:rPr>
      </w:pPr>
    </w:p>
    <w:p>
      <w:pPr>
        <w:jc w:val="both"/>
        <w:ind w:left="1200" w:right="120" w:hanging="480"/>
        <w:spacing w:after="0" w:line="248" w:lineRule="auto"/>
        <w:tabs>
          <w:tab w:leader="none" w:pos="12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20"/>
          <w:szCs w:val="20"/>
          <w:color w:val="auto"/>
        </w:rPr>
      </w:pPr>
    </w:p>
    <w:p>
      <w:pPr>
        <w:jc w:val="both"/>
        <w:ind w:left="120" w:right="120" w:firstLine="400"/>
        <w:spacing w:after="0" w:line="247" w:lineRule="auto"/>
        <w:tabs>
          <w:tab w:leader="none" w:pos="807"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20"/>
          <w:szCs w:val="20"/>
          <w:color w:val="auto"/>
        </w:rPr>
      </w:pPr>
    </w:p>
    <w:p>
      <w:pPr>
        <w:jc w:val="both"/>
        <w:ind w:left="1200" w:right="120" w:hanging="480"/>
        <w:spacing w:after="0" w:line="248" w:lineRule="auto"/>
        <w:tabs>
          <w:tab w:leader="none" w:pos="12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20"/>
          <w:szCs w:val="20"/>
          <w:color w:val="auto"/>
        </w:rPr>
      </w:pPr>
    </w:p>
    <w:p>
      <w:pPr>
        <w:ind w:left="1200" w:right="120" w:hanging="480"/>
        <w:spacing w:after="0" w:line="243" w:lineRule="auto"/>
        <w:tabs>
          <w:tab w:leader="none" w:pos="12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4800" w:type="dxa"/>
            <w:vAlign w:val="bottom"/>
            <w:vMerge w:val="restart"/>
          </w:tcPr>
          <w:p>
            <w:pPr>
              <w:spacing w:after="0"/>
              <w:rPr>
                <w:sz w:val="20"/>
                <w:szCs w:val="20"/>
                <w:color w:val="auto"/>
              </w:rPr>
            </w:pPr>
            <w:r>
              <w:rPr>
                <w:rFonts w:ascii="Arial" w:cs="Arial" w:eastAsia="Arial" w:hAnsi="Arial"/>
                <w:sz w:val="20"/>
                <w:szCs w:val="20"/>
                <w:color w:val="auto"/>
              </w:rPr>
              <w:t>Date: January 25, 2023</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Olivier Le Peuch</w:t>
            </w:r>
          </w:p>
        </w:tc>
        <w:tc>
          <w:tcPr>
            <w:tcW w:w="0" w:type="dxa"/>
            <w:vAlign w:val="bottom"/>
          </w:tcPr>
          <w:p>
            <w:pPr>
              <w:spacing w:after="0"/>
              <w:rPr>
                <w:sz w:val="1"/>
                <w:szCs w:val="1"/>
                <w:color w:val="auto"/>
              </w:rPr>
            </w:pPr>
          </w:p>
        </w:tc>
      </w:tr>
      <w:tr>
        <w:trPr>
          <w:trHeight w:val="35"/>
        </w:trPr>
        <w:tc>
          <w:tcPr>
            <w:tcW w:w="4800" w:type="dxa"/>
            <w:vAlign w:val="bottom"/>
            <w:vMerge w:val="continue"/>
          </w:tcPr>
          <w:p>
            <w:pPr>
              <w:spacing w:after="0"/>
              <w:rPr>
                <w:sz w:val="3"/>
                <w:szCs w:val="3"/>
                <w:color w:val="auto"/>
              </w:rPr>
            </w:pPr>
          </w:p>
        </w:tc>
        <w:tc>
          <w:tcPr>
            <w:tcW w:w="4320" w:type="dxa"/>
            <w:vAlign w:val="bottom"/>
            <w:vMerge w:val="restart"/>
          </w:tcPr>
          <w:p>
            <w:pPr>
              <w:spacing w:after="0"/>
              <w:rPr>
                <w:sz w:val="20"/>
                <w:szCs w:val="20"/>
                <w:color w:val="auto"/>
              </w:rPr>
            </w:pPr>
            <w:r>
              <w:rPr>
                <w:rFonts w:ascii="Arial" w:cs="Arial" w:eastAsia="Arial" w:hAnsi="Arial"/>
                <w:sz w:val="20"/>
                <w:szCs w:val="20"/>
                <w:color w:val="auto"/>
              </w:rPr>
              <w:t>Olivier Le Peuch</w:t>
            </w:r>
          </w:p>
        </w:tc>
        <w:tc>
          <w:tcPr>
            <w:tcW w:w="0" w:type="dxa"/>
            <w:vAlign w:val="bottom"/>
          </w:tcPr>
          <w:p>
            <w:pPr>
              <w:spacing w:after="0" w:line="20" w:lineRule="exact"/>
              <w:rPr>
                <w:sz w:val="1"/>
                <w:szCs w:val="1"/>
                <w:color w:val="auto"/>
              </w:rPr>
            </w:pPr>
          </w:p>
        </w:tc>
      </w:tr>
      <w:tr>
        <w:trPr>
          <w:trHeight w:val="240"/>
        </w:trPr>
        <w:tc>
          <w:tcPr>
            <w:tcW w:w="480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bl>
    <w:p>
      <w:pPr>
        <w:sectPr>
          <w:pgSz w:w="12240" w:h="15840" w:orient="portrait"/>
          <w:cols w:equalWidth="0" w:num="1">
            <w:col w:w="9360"/>
          </w:cols>
          <w:pgMar w:left="1440" w:top="1440" w:right="1440" w:bottom="840" w:gutter="0" w:footer="0" w:header="0"/>
        </w:sectPr>
      </w:pPr>
    </w:p>
    <w:bookmarkStart w:id="114" w:name="page115"/>
    <w:bookmarkEnd w:id="114"/>
    <w:p>
      <w:pPr>
        <w:spacing w:after="0" w:line="52" w:lineRule="exact"/>
        <w:rPr>
          <w:sz w:val="20"/>
          <w:szCs w:val="20"/>
          <w:color w:val="auto"/>
        </w:rPr>
      </w:pPr>
    </w:p>
    <w:p>
      <w:pPr>
        <w:ind w:left="8120"/>
        <w:spacing w:after="0"/>
        <w:rPr>
          <w:sz w:val="20"/>
          <w:szCs w:val="20"/>
          <w:color w:val="auto"/>
        </w:rPr>
      </w:pPr>
      <w:r>
        <w:rPr>
          <w:rFonts w:ascii="Arial" w:cs="Arial" w:eastAsia="Arial" w:hAnsi="Arial"/>
          <w:sz w:val="20"/>
          <w:szCs w:val="20"/>
          <w:b w:val="1"/>
          <w:bCs w:val="1"/>
          <w:u w:val="single" w:color="auto"/>
          <w:color w:val="auto"/>
        </w:rPr>
        <w:t>Exhibit 31.2</w:t>
      </w:r>
    </w:p>
    <w:p>
      <w:pPr>
        <w:spacing w:after="0" w:line="155" w:lineRule="exact"/>
        <w:rPr>
          <w:sz w:val="20"/>
          <w:szCs w:val="20"/>
          <w:color w:val="auto"/>
        </w:rPr>
      </w:pPr>
    </w:p>
    <w:p>
      <w:pPr>
        <w:ind w:left="2380"/>
        <w:spacing w:after="0"/>
        <w:rPr>
          <w:sz w:val="20"/>
          <w:szCs w:val="20"/>
          <w:color w:val="auto"/>
        </w:rPr>
      </w:pPr>
      <w:r>
        <w:rPr>
          <w:rFonts w:ascii="Arial" w:cs="Arial" w:eastAsia="Arial" w:hAnsi="Arial"/>
          <w:sz w:val="20"/>
          <w:szCs w:val="20"/>
          <w:b w:val="1"/>
          <w:bCs w:val="1"/>
          <w:u w:val="single" w:color="auto"/>
          <w:color w:val="auto"/>
        </w:rPr>
        <w:t>CERTIFICATION OF CHIEF FINANCIAL OFFICER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 Stephane Biguet, certify that:</w:t>
      </w:r>
    </w:p>
    <w:p>
      <w:pPr>
        <w:spacing w:after="0" w:line="163" w:lineRule="exact"/>
        <w:rPr>
          <w:sz w:val="20"/>
          <w:szCs w:val="20"/>
          <w:color w:val="auto"/>
        </w:rPr>
      </w:pPr>
    </w:p>
    <w:p>
      <w:pPr>
        <w:ind w:left="120" w:right="120" w:firstLine="400"/>
        <w:spacing w:after="0" w:line="245" w:lineRule="auto"/>
        <w:tabs>
          <w:tab w:leader="none" w:pos="804" w:val="left"/>
        </w:tabs>
        <w:numPr>
          <w:ilvl w:val="0"/>
          <w:numId w:val="8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Schlumberger N.V. (Schlumberger Limited);</w:t>
      </w:r>
    </w:p>
    <w:p>
      <w:pPr>
        <w:spacing w:after="0" w:line="157" w:lineRule="exact"/>
        <w:rPr>
          <w:rFonts w:ascii="Arial" w:cs="Arial" w:eastAsia="Arial" w:hAnsi="Arial"/>
          <w:sz w:val="20"/>
          <w:szCs w:val="20"/>
          <w:color w:val="auto"/>
        </w:rPr>
      </w:pPr>
    </w:p>
    <w:p>
      <w:pPr>
        <w:jc w:val="both"/>
        <w:ind w:left="120" w:right="120" w:firstLine="400"/>
        <w:spacing w:after="0" w:line="248" w:lineRule="auto"/>
        <w:tabs>
          <w:tab w:leader="none" w:pos="749" w:val="left"/>
        </w:tabs>
        <w:numPr>
          <w:ilvl w:val="0"/>
          <w:numId w:val="8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20"/>
          <w:szCs w:val="20"/>
          <w:color w:val="auto"/>
        </w:rPr>
      </w:pPr>
    </w:p>
    <w:p>
      <w:pPr>
        <w:jc w:val="both"/>
        <w:ind w:left="120" w:right="120" w:firstLine="400"/>
        <w:spacing w:after="0" w:line="248" w:lineRule="auto"/>
        <w:tabs>
          <w:tab w:leader="none" w:pos="767" w:val="left"/>
        </w:tabs>
        <w:numPr>
          <w:ilvl w:val="0"/>
          <w:numId w:val="8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20"/>
          <w:szCs w:val="20"/>
          <w:color w:val="auto"/>
        </w:rPr>
      </w:pPr>
    </w:p>
    <w:p>
      <w:pPr>
        <w:jc w:val="both"/>
        <w:ind w:left="120" w:right="120" w:firstLine="400"/>
        <w:spacing w:after="0" w:line="248" w:lineRule="auto"/>
        <w:tabs>
          <w:tab w:leader="none" w:pos="771"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20"/>
          <w:szCs w:val="20"/>
          <w:color w:val="auto"/>
        </w:rPr>
      </w:pPr>
    </w:p>
    <w:p>
      <w:pPr>
        <w:jc w:val="both"/>
        <w:ind w:left="1200" w:right="120" w:hanging="480"/>
        <w:spacing w:after="0" w:line="249" w:lineRule="auto"/>
        <w:tabs>
          <w:tab w:leader="none" w:pos="12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0"/>
          <w:szCs w:val="20"/>
          <w:color w:val="auto"/>
        </w:rPr>
      </w:pPr>
    </w:p>
    <w:p>
      <w:pPr>
        <w:jc w:val="both"/>
        <w:ind w:left="1200" w:right="120" w:hanging="480"/>
        <w:spacing w:after="0" w:line="248" w:lineRule="auto"/>
        <w:tabs>
          <w:tab w:leader="none" w:pos="12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20"/>
          <w:szCs w:val="20"/>
          <w:color w:val="auto"/>
        </w:rPr>
      </w:pPr>
    </w:p>
    <w:p>
      <w:pPr>
        <w:jc w:val="both"/>
        <w:ind w:left="1200" w:right="120" w:hanging="480"/>
        <w:spacing w:after="0" w:line="248" w:lineRule="auto"/>
        <w:tabs>
          <w:tab w:leader="none" w:pos="12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20"/>
          <w:szCs w:val="20"/>
          <w:color w:val="auto"/>
        </w:rPr>
      </w:pPr>
    </w:p>
    <w:p>
      <w:pPr>
        <w:jc w:val="both"/>
        <w:ind w:left="1200" w:right="120" w:hanging="480"/>
        <w:spacing w:after="0" w:line="249" w:lineRule="auto"/>
        <w:tabs>
          <w:tab w:leader="none" w:pos="12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20"/>
          <w:szCs w:val="20"/>
          <w:color w:val="auto"/>
        </w:rPr>
      </w:pPr>
    </w:p>
    <w:p>
      <w:pPr>
        <w:jc w:val="both"/>
        <w:ind w:left="120" w:right="120" w:firstLine="400"/>
        <w:spacing w:after="0" w:line="247" w:lineRule="auto"/>
        <w:tabs>
          <w:tab w:leader="none" w:pos="807"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20"/>
          <w:szCs w:val="20"/>
          <w:color w:val="auto"/>
        </w:rPr>
      </w:pPr>
    </w:p>
    <w:p>
      <w:pPr>
        <w:jc w:val="both"/>
        <w:ind w:left="1200" w:right="120" w:hanging="480"/>
        <w:spacing w:after="0" w:line="248" w:lineRule="auto"/>
        <w:tabs>
          <w:tab w:leader="none" w:pos="12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20"/>
          <w:szCs w:val="20"/>
          <w:color w:val="auto"/>
        </w:rPr>
      </w:pPr>
    </w:p>
    <w:p>
      <w:pPr>
        <w:ind w:left="1200" w:right="120" w:hanging="480"/>
        <w:spacing w:after="0" w:line="243" w:lineRule="auto"/>
        <w:tabs>
          <w:tab w:leader="none" w:pos="12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800" w:type="dxa"/>
            <w:vAlign w:val="bottom"/>
          </w:tcPr>
          <w:p>
            <w:pPr>
              <w:spacing w:after="0"/>
              <w:rPr>
                <w:sz w:val="20"/>
                <w:szCs w:val="20"/>
                <w:color w:val="auto"/>
              </w:rPr>
            </w:pPr>
            <w:r>
              <w:rPr>
                <w:rFonts w:ascii="Arial" w:cs="Arial" w:eastAsia="Arial" w:hAnsi="Arial"/>
                <w:sz w:val="20"/>
                <w:szCs w:val="20"/>
                <w:color w:val="auto"/>
              </w:rPr>
              <w:t>Date: January 25, 2023</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Stephane Biguet</w:t>
            </w:r>
          </w:p>
        </w:tc>
      </w:tr>
      <w:tr>
        <w:trPr>
          <w:trHeight w:val="276"/>
        </w:trPr>
        <w:tc>
          <w:tcPr>
            <w:tcW w:w="4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Stephane Biguet</w:t>
            </w:r>
          </w:p>
        </w:tc>
      </w:tr>
      <w:tr>
        <w:trPr>
          <w:trHeight w:val="240"/>
        </w:trPr>
        <w:tc>
          <w:tcPr>
            <w:tcW w:w="48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Executive Vice President and Chief Financial</w:t>
            </w:r>
          </w:p>
        </w:tc>
      </w:tr>
      <w:tr>
        <w:trPr>
          <w:trHeight w:val="240"/>
        </w:trPr>
        <w:tc>
          <w:tcPr>
            <w:tcW w:w="48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Officer</w:t>
            </w:r>
          </w:p>
        </w:tc>
      </w:tr>
    </w:tbl>
    <w:p>
      <w:pPr>
        <w:sectPr>
          <w:pgSz w:w="12240" w:h="15840" w:orient="portrait"/>
          <w:cols w:equalWidth="0" w:num="1">
            <w:col w:w="9360"/>
          </w:cols>
          <w:pgMar w:left="1440" w:top="1440" w:right="1440" w:bottom="840" w:gutter="0" w:footer="0" w:header="0"/>
        </w:sectPr>
      </w:pPr>
    </w:p>
    <w:bookmarkStart w:id="115" w:name="page116"/>
    <w:bookmarkEnd w:id="115"/>
    <w:p>
      <w:pPr>
        <w:spacing w:after="0" w:line="52" w:lineRule="exact"/>
        <w:rPr>
          <w:sz w:val="20"/>
          <w:szCs w:val="20"/>
          <w:color w:val="auto"/>
        </w:rPr>
      </w:pPr>
    </w:p>
    <w:p>
      <w:pPr>
        <w:ind w:left="8120"/>
        <w:spacing w:after="0"/>
        <w:rPr>
          <w:sz w:val="20"/>
          <w:szCs w:val="20"/>
          <w:color w:val="auto"/>
        </w:rPr>
      </w:pPr>
      <w:r>
        <w:rPr>
          <w:rFonts w:ascii="Arial" w:cs="Arial" w:eastAsia="Arial" w:hAnsi="Arial"/>
          <w:sz w:val="20"/>
          <w:szCs w:val="20"/>
          <w:b w:val="1"/>
          <w:bCs w:val="1"/>
          <w:u w:val="single" w:color="auto"/>
          <w:color w:val="auto"/>
        </w:rPr>
        <w:t>Exhibit 32.1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EXECUTIVE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5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In connection with the Annual Report on Form 10-K of Schlumberger N.V. (Schlumberger Limited) (the “Company”) for the year ended December 31, 2022 as filed with the Securities and Exchange Commission on the date hereof (the “Report”), I, Olivier Le Peuch, Chief Executive Officer of the Company, certify, pursuant to 18 U.S.C. § 1350, as adopted pursuant to § 906 of the Sarbanes-Oxley Act of 2002, that:</w:t>
      </w:r>
    </w:p>
    <w:p>
      <w:pPr>
        <w:spacing w:after="0" w:line="127" w:lineRule="exact"/>
        <w:rPr>
          <w:sz w:val="20"/>
          <w:szCs w:val="20"/>
          <w:color w:val="auto"/>
        </w:rPr>
      </w:pPr>
    </w:p>
    <w:p>
      <w:pPr>
        <w:ind w:left="1120" w:right="120" w:hanging="480"/>
        <w:spacing w:after="0" w:line="245" w:lineRule="auto"/>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(the “Exchange Act”), and</w:t>
      </w:r>
    </w:p>
    <w:p>
      <w:pPr>
        <w:spacing w:after="0" w:line="130" w:lineRule="exact"/>
        <w:rPr>
          <w:rFonts w:ascii="Arial" w:cs="Arial" w:eastAsia="Arial" w:hAnsi="Arial"/>
          <w:sz w:val="20"/>
          <w:szCs w:val="20"/>
          <w:color w:val="auto"/>
        </w:rPr>
      </w:pPr>
    </w:p>
    <w:p>
      <w:pPr>
        <w:ind w:left="1120" w:right="120" w:hanging="480"/>
        <w:spacing w:after="0" w:line="245" w:lineRule="auto"/>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800" w:type="dxa"/>
            <w:vAlign w:val="bottom"/>
          </w:tcPr>
          <w:p>
            <w:pPr>
              <w:spacing w:after="0"/>
              <w:rPr>
                <w:sz w:val="20"/>
                <w:szCs w:val="20"/>
                <w:color w:val="auto"/>
              </w:rPr>
            </w:pPr>
            <w:r>
              <w:rPr>
                <w:rFonts w:ascii="Arial" w:cs="Arial" w:eastAsia="Arial" w:hAnsi="Arial"/>
                <w:sz w:val="20"/>
                <w:szCs w:val="20"/>
                <w:color w:val="auto"/>
              </w:rPr>
              <w:t>Date: January 25, 2023</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Olivier Le Peuch</w:t>
            </w:r>
          </w:p>
        </w:tc>
      </w:tr>
      <w:tr>
        <w:trPr>
          <w:trHeight w:val="276"/>
        </w:trPr>
        <w:tc>
          <w:tcPr>
            <w:tcW w:w="4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Olivier Le Peuch</w:t>
            </w:r>
          </w:p>
        </w:tc>
      </w:tr>
      <w:tr>
        <w:trPr>
          <w:trHeight w:val="240"/>
        </w:trPr>
        <w:tc>
          <w:tcPr>
            <w:tcW w:w="48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Chief Executive Officer</w:t>
            </w:r>
          </w:p>
        </w:tc>
      </w:tr>
    </w:tbl>
    <w:p>
      <w:pPr>
        <w:spacing w:after="0" w:line="25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24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This certification accompanies the Report pursuant to Section 906 of the Sarbanes-Oxley Act of 2002 and shall not be deemed filed by the Company for purposes of Section 18 of the Exchange Act.</w:t>
      </w:r>
    </w:p>
    <w:p>
      <w:pPr>
        <w:sectPr>
          <w:pgSz w:w="12240" w:h="15840" w:orient="portrait"/>
          <w:cols w:equalWidth="0" w:num="1">
            <w:col w:w="9360"/>
          </w:cols>
          <w:pgMar w:left="1440" w:top="1440" w:right="1440" w:bottom="1440" w:gutter="0" w:footer="0" w:header="0"/>
        </w:sectPr>
      </w:pPr>
    </w:p>
    <w:bookmarkStart w:id="116" w:name="page117"/>
    <w:bookmarkEnd w:id="116"/>
    <w:p>
      <w:pPr>
        <w:spacing w:after="0" w:line="52" w:lineRule="exact"/>
        <w:rPr>
          <w:sz w:val="20"/>
          <w:szCs w:val="20"/>
          <w:color w:val="auto"/>
        </w:rPr>
      </w:pPr>
    </w:p>
    <w:p>
      <w:pPr>
        <w:ind w:left="8120"/>
        <w:spacing w:after="0"/>
        <w:rPr>
          <w:sz w:val="20"/>
          <w:szCs w:val="20"/>
          <w:color w:val="auto"/>
        </w:rPr>
      </w:pPr>
      <w:r>
        <w:rPr>
          <w:rFonts w:ascii="Arial" w:cs="Arial" w:eastAsia="Arial" w:hAnsi="Arial"/>
          <w:sz w:val="20"/>
          <w:szCs w:val="20"/>
          <w:b w:val="1"/>
          <w:bCs w:val="1"/>
          <w:u w:val="single" w:color="auto"/>
          <w:color w:val="auto"/>
        </w:rPr>
        <w:t>Exhibit 32.2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FINANCIAL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54"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20"/>
          <w:szCs w:val="20"/>
          <w:color w:val="auto"/>
        </w:rPr>
        <w:t>In connection with the Annual Report on Form 10-K of Schlumberger N.V. (Schlumberger Limited) (the “Company”) for the year ended December 31, 2022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127" w:lineRule="exact"/>
        <w:rPr>
          <w:sz w:val="20"/>
          <w:szCs w:val="20"/>
          <w:color w:val="auto"/>
        </w:rPr>
      </w:pPr>
    </w:p>
    <w:p>
      <w:pPr>
        <w:ind w:left="1120" w:right="120" w:hanging="480"/>
        <w:spacing w:after="0" w:line="245" w:lineRule="auto"/>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(the “Exchange Act”), and</w:t>
      </w:r>
    </w:p>
    <w:p>
      <w:pPr>
        <w:spacing w:after="0" w:line="130" w:lineRule="exact"/>
        <w:rPr>
          <w:rFonts w:ascii="Arial" w:cs="Arial" w:eastAsia="Arial" w:hAnsi="Arial"/>
          <w:sz w:val="20"/>
          <w:szCs w:val="20"/>
          <w:color w:val="auto"/>
        </w:rPr>
      </w:pPr>
    </w:p>
    <w:p>
      <w:pPr>
        <w:ind w:left="1120" w:right="120" w:hanging="480"/>
        <w:spacing w:after="0" w:line="245" w:lineRule="auto"/>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800" w:type="dxa"/>
            <w:vAlign w:val="bottom"/>
          </w:tcPr>
          <w:p>
            <w:pPr>
              <w:spacing w:after="0"/>
              <w:rPr>
                <w:sz w:val="20"/>
                <w:szCs w:val="20"/>
                <w:color w:val="auto"/>
              </w:rPr>
            </w:pPr>
            <w:r>
              <w:rPr>
                <w:rFonts w:ascii="Arial" w:cs="Arial" w:eastAsia="Arial" w:hAnsi="Arial"/>
                <w:sz w:val="20"/>
                <w:szCs w:val="20"/>
                <w:color w:val="auto"/>
              </w:rPr>
              <w:t>Date: January 25, 2023</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Stephane Biguet</w:t>
            </w:r>
          </w:p>
        </w:tc>
      </w:tr>
      <w:tr>
        <w:trPr>
          <w:trHeight w:val="276"/>
        </w:trPr>
        <w:tc>
          <w:tcPr>
            <w:tcW w:w="48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Stephane Biguet</w:t>
            </w:r>
          </w:p>
        </w:tc>
      </w:tr>
      <w:tr>
        <w:trPr>
          <w:trHeight w:val="240"/>
        </w:trPr>
        <w:tc>
          <w:tcPr>
            <w:tcW w:w="48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Executive Vice President and Chief Financial</w:t>
            </w:r>
          </w:p>
        </w:tc>
      </w:tr>
      <w:tr>
        <w:trPr>
          <w:trHeight w:val="240"/>
        </w:trPr>
        <w:tc>
          <w:tcPr>
            <w:tcW w:w="480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20"/>
                <w:szCs w:val="20"/>
                <w:color w:val="auto"/>
              </w:rPr>
              <w:t>Officer</w:t>
            </w:r>
          </w:p>
        </w:tc>
      </w:tr>
    </w:tbl>
    <w:p>
      <w:pPr>
        <w:spacing w:after="0" w:line="254"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20"/>
          <w:szCs w:val="20"/>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247" w:lineRule="exact"/>
        <w:rPr>
          <w:sz w:val="20"/>
          <w:szCs w:val="20"/>
          <w:color w:val="auto"/>
        </w:rPr>
      </w:pPr>
    </w:p>
    <w:p>
      <w:pPr>
        <w:jc w:val="both"/>
        <w:ind w:left="120" w:right="120"/>
        <w:spacing w:after="0" w:line="245" w:lineRule="auto"/>
        <w:rPr>
          <w:sz w:val="20"/>
          <w:szCs w:val="20"/>
          <w:color w:val="auto"/>
        </w:rPr>
      </w:pPr>
      <w:r>
        <w:rPr>
          <w:rFonts w:ascii="Arial" w:cs="Arial" w:eastAsia="Arial" w:hAnsi="Arial"/>
          <w:sz w:val="20"/>
          <w:szCs w:val="20"/>
          <w:color w:val="auto"/>
        </w:rPr>
        <w:t>This certification accompanies the Report pursuant to Section 906 of the Sarbanes-Oxley Act of 2002 and shall not be deemed filed by the Company for purposes of Section 18 of the Exchange Act.</w:t>
      </w:r>
    </w:p>
    <w:p>
      <w:pPr>
        <w:sectPr>
          <w:pgSz w:w="12240" w:h="15840" w:orient="portrait"/>
          <w:cols w:equalWidth="0" w:num="1">
            <w:col w:w="9360"/>
          </w:cols>
          <w:pgMar w:left="1440" w:top="1440" w:right="1440" w:bottom="1440" w:gutter="0" w:footer="0" w:header="0"/>
        </w:sectPr>
      </w:pPr>
    </w:p>
    <w:bookmarkStart w:id="117" w:name="page118"/>
    <w:bookmarkEnd w:id="117"/>
    <w:p>
      <w:pPr>
        <w:spacing w:after="0" w:line="52" w:lineRule="exact"/>
        <w:rPr>
          <w:sz w:val="20"/>
          <w:szCs w:val="20"/>
          <w:color w:val="auto"/>
        </w:rPr>
      </w:pPr>
    </w:p>
    <w:p>
      <w:pPr>
        <w:ind w:left="8300"/>
        <w:spacing w:after="0"/>
        <w:rPr>
          <w:sz w:val="20"/>
          <w:szCs w:val="20"/>
          <w:color w:val="auto"/>
        </w:rPr>
      </w:pPr>
      <w:r>
        <w:rPr>
          <w:rFonts w:ascii="Arial" w:cs="Arial" w:eastAsia="Arial" w:hAnsi="Arial"/>
          <w:sz w:val="19"/>
          <w:szCs w:val="19"/>
          <w:b w:val="1"/>
          <w:bCs w:val="1"/>
          <w:u w:val="single" w:color="auto"/>
          <w:color w:val="auto"/>
        </w:rPr>
        <w:t>Exhibit 95</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w:t>
      </w:r>
    </w:p>
    <w:p>
      <w:pPr>
        <w:spacing w:after="0" w:line="254" w:lineRule="exact"/>
        <w:rPr>
          <w:sz w:val="20"/>
          <w:szCs w:val="20"/>
          <w:color w:val="auto"/>
        </w:rPr>
      </w:pPr>
    </w:p>
    <w:p>
      <w:pPr>
        <w:jc w:val="both"/>
        <w:ind w:left="120" w:right="120" w:firstLine="400"/>
        <w:spacing w:after="0" w:line="248" w:lineRule="auto"/>
        <w:rPr>
          <w:sz w:val="20"/>
          <w:szCs w:val="20"/>
          <w:color w:val="auto"/>
        </w:rPr>
      </w:pPr>
      <w:r>
        <w:rPr>
          <w:rFonts w:ascii="Arial" w:cs="Arial" w:eastAsia="Arial" w:hAnsi="Arial"/>
          <w:sz w:val="20"/>
          <w:szCs w:val="20"/>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249" w:lineRule="exact"/>
        <w:rPr>
          <w:sz w:val="20"/>
          <w:szCs w:val="20"/>
          <w:color w:val="auto"/>
        </w:rPr>
      </w:pPr>
    </w:p>
    <w:p>
      <w:pPr>
        <w:jc w:val="both"/>
        <w:ind w:left="120" w:right="120" w:firstLine="400"/>
        <w:spacing w:after="0" w:line="249" w:lineRule="auto"/>
        <w:rPr>
          <w:sz w:val="20"/>
          <w:szCs w:val="20"/>
          <w:color w:val="auto"/>
        </w:rPr>
      </w:pPr>
      <w:r>
        <w:rPr>
          <w:rFonts w:ascii="Arial" w:cs="Arial" w:eastAsia="Arial" w:hAnsi="Arial"/>
          <w:sz w:val="20"/>
          <w:szCs w:val="20"/>
          <w:color w:val="auto"/>
        </w:rPr>
        <w:t>The table that follows reflects citations, orders, violations and proposed assessments issued by the Mine Safety and Health Administration (the “MSHA”) to indirect subsidiaries of Schlumberger. The disclosure is with respect to the full year ended December 31, 2022. Due to timing and other factors, the data may not agree with the mine data retrieval system maintained by the MSHA at www.MSHA.gov.</w:t>
      </w:r>
    </w:p>
    <w:p>
      <w:pPr>
        <w:spacing w:after="0" w:line="363" w:lineRule="exact"/>
        <w:rPr>
          <w:sz w:val="20"/>
          <w:szCs w:val="20"/>
          <w:color w:val="auto"/>
        </w:rPr>
      </w:pPr>
    </w:p>
    <w:p>
      <w:pPr>
        <w:ind w:left="4000"/>
        <w:spacing w:after="0"/>
        <w:rPr>
          <w:sz w:val="20"/>
          <w:szCs w:val="20"/>
          <w:color w:val="auto"/>
        </w:rPr>
      </w:pPr>
      <w:r>
        <w:rPr>
          <w:rFonts w:ascii="Arial" w:cs="Arial" w:eastAsia="Arial" w:hAnsi="Arial"/>
          <w:sz w:val="20"/>
          <w:szCs w:val="20"/>
          <w:b w:val="1"/>
          <w:bCs w:val="1"/>
          <w:u w:val="single" w:color="auto"/>
          <w:color w:val="auto"/>
        </w:rPr>
        <w:t>Full Year 2022</w:t>
      </w:r>
    </w:p>
    <w:p>
      <w:pPr>
        <w:spacing w:after="0" w:line="10" w:lineRule="exact"/>
        <w:rPr>
          <w:sz w:val="20"/>
          <w:szCs w:val="20"/>
          <w:color w:val="auto"/>
        </w:rPr>
      </w:pPr>
    </w:p>
    <w:p>
      <w:pPr>
        <w:ind w:left="4040"/>
        <w:spacing w:after="0"/>
        <w:rPr>
          <w:sz w:val="20"/>
          <w:szCs w:val="20"/>
          <w:color w:val="auto"/>
        </w:rPr>
      </w:pPr>
      <w:r>
        <w:rPr>
          <w:rFonts w:ascii="Arial" w:cs="Arial" w:eastAsia="Arial" w:hAnsi="Arial"/>
          <w:sz w:val="20"/>
          <w:szCs w:val="20"/>
          <w:i w:val="1"/>
          <w:iCs w:val="1"/>
          <w:color w:val="auto"/>
        </w:rPr>
        <w:t>(whole dollars)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Received</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0"/>
        </w:trPr>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w w:val="95"/>
              </w:rPr>
              <w:t>Notice</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0"/>
        </w:trPr>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w w:val="85"/>
              </w:rPr>
              <w:t>of</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0"/>
        </w:trPr>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spacing w:after="0" w:line="140" w:lineRule="exact"/>
              <w:rPr>
                <w:sz w:val="20"/>
                <w:szCs w:val="20"/>
                <w:color w:val="auto"/>
              </w:rPr>
            </w:pPr>
            <w:r>
              <w:rPr>
                <w:rFonts w:ascii="Arial" w:cs="Arial" w:eastAsia="Arial" w:hAnsi="Arial"/>
                <w:sz w:val="14"/>
                <w:szCs w:val="14"/>
                <w:color w:val="auto"/>
              </w:rPr>
              <w:t>Received Potential</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0"/>
        </w:trPr>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ind w:left="20"/>
              <w:spacing w:after="0" w:line="140" w:lineRule="exact"/>
              <w:rPr>
                <w:sz w:val="20"/>
                <w:szCs w:val="20"/>
                <w:color w:val="auto"/>
              </w:rPr>
            </w:pPr>
            <w:r>
              <w:rPr>
                <w:rFonts w:ascii="Arial" w:cs="Arial" w:eastAsia="Arial" w:hAnsi="Arial"/>
                <w:sz w:val="14"/>
                <w:szCs w:val="14"/>
                <w:color w:val="auto"/>
              </w:rPr>
              <w:t>Notice of</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w w:val="85"/>
              </w:rPr>
              <w:t>to</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0"/>
        </w:trPr>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4"/>
                <w:szCs w:val="14"/>
                <w:color w:val="auto"/>
                <w:w w:val="98"/>
              </w:rPr>
              <w:t>Pattern of</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rPr>
              <w:t>Have</w:t>
            </w:r>
          </w:p>
        </w:tc>
        <w:tc>
          <w:tcPr>
            <w:tcW w:w="4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color w:val="auto"/>
                <w:w w:val="99"/>
              </w:rPr>
              <w:t>Legal</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0"/>
        </w:trPr>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spacing w:after="0" w:line="140" w:lineRule="exact"/>
              <w:rPr>
                <w:sz w:val="20"/>
                <w:szCs w:val="20"/>
                <w:color w:val="auto"/>
              </w:rPr>
            </w:pPr>
            <w:r>
              <w:rPr>
                <w:rFonts w:ascii="Arial" w:cs="Arial" w:eastAsia="Arial" w:hAnsi="Arial"/>
                <w:sz w:val="14"/>
                <w:szCs w:val="14"/>
                <w:color w:val="auto"/>
              </w:rPr>
              <w:t>Section</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color w:val="auto"/>
              </w:rPr>
              <w:t>Total Dollar</w:t>
            </w:r>
          </w:p>
        </w:tc>
        <w:tc>
          <w:tcPr>
            <w:tcW w:w="4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4"/>
                <w:szCs w:val="14"/>
                <w:color w:val="auto"/>
                <w:w w:val="98"/>
              </w:rPr>
              <w:t>Violations</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rPr>
              <w:t>Pattern</w:t>
            </w:r>
          </w:p>
        </w:tc>
        <w:tc>
          <w:tcPr>
            <w:tcW w:w="4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color w:val="auto"/>
              </w:rPr>
              <w:t>Actions</w:t>
            </w:r>
          </w:p>
        </w:tc>
        <w:tc>
          <w:tcPr>
            <w:tcW w:w="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color w:val="auto"/>
                <w:w w:val="99"/>
              </w:rPr>
              <w:t>Legal</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w w:val="99"/>
              </w:rPr>
              <w:t>Legal</w:t>
            </w:r>
          </w:p>
        </w:tc>
      </w:tr>
      <w:tr>
        <w:trPr>
          <w:trHeight w:val="140"/>
        </w:trPr>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ind w:right="10"/>
              <w:spacing w:after="0" w:line="140" w:lineRule="exact"/>
              <w:rPr>
                <w:sz w:val="20"/>
                <w:szCs w:val="20"/>
                <w:color w:val="auto"/>
              </w:rPr>
            </w:pPr>
            <w:r>
              <w:rPr>
                <w:rFonts w:ascii="Arial" w:cs="Arial" w:eastAsia="Arial" w:hAnsi="Arial"/>
                <w:sz w:val="14"/>
                <w:szCs w:val="14"/>
                <w:color w:val="auto"/>
              </w:rPr>
              <w:t>104(d)</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color w:val="auto"/>
              </w:rPr>
              <w:t>Value of</w:t>
            </w:r>
          </w:p>
        </w:tc>
        <w:tc>
          <w:tcPr>
            <w:tcW w:w="4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4"/>
                <w:szCs w:val="14"/>
                <w:color w:val="auto"/>
              </w:rPr>
              <w:t>Number of</w:t>
            </w:r>
          </w:p>
        </w:tc>
        <w:tc>
          <w:tcPr>
            <w:tcW w:w="40" w:type="dxa"/>
            <w:vAlign w:val="bottom"/>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4"/>
                <w:szCs w:val="14"/>
                <w:color w:val="auto"/>
                <w:w w:val="99"/>
              </w:rPr>
              <w:t>Under</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w w:val="99"/>
              </w:rPr>
              <w:t>Under</w:t>
            </w:r>
          </w:p>
        </w:tc>
        <w:tc>
          <w:tcPr>
            <w:tcW w:w="40" w:type="dxa"/>
            <w:vAlign w:val="bottom"/>
          </w:tcPr>
          <w:p>
            <w:pPr>
              <w:spacing w:after="0"/>
              <w:rPr>
                <w:sz w:val="12"/>
                <w:szCs w:val="12"/>
                <w:color w:val="auto"/>
              </w:rPr>
            </w:pPr>
          </w:p>
        </w:tc>
        <w:tc>
          <w:tcPr>
            <w:tcW w:w="1240" w:type="dxa"/>
            <w:vAlign w:val="bottom"/>
            <w:gridSpan w:val="3"/>
          </w:tcPr>
          <w:p>
            <w:pPr>
              <w:spacing w:after="0" w:line="140" w:lineRule="exact"/>
              <w:rPr>
                <w:sz w:val="20"/>
                <w:szCs w:val="20"/>
                <w:color w:val="auto"/>
              </w:rPr>
            </w:pPr>
            <w:r>
              <w:rPr>
                <w:rFonts w:ascii="Arial" w:cs="Arial" w:eastAsia="Arial" w:hAnsi="Arial"/>
                <w:sz w:val="14"/>
                <w:szCs w:val="14"/>
                <w:color w:val="auto"/>
              </w:rPr>
              <w:t>Pending as Actions</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rPr>
              <w:t>Actions</w:t>
            </w:r>
          </w:p>
        </w:tc>
      </w:tr>
      <w:tr>
        <w:trPr>
          <w:trHeight w:val="140"/>
        </w:trPr>
        <w:tc>
          <w:tcPr>
            <w:tcW w:w="1580" w:type="dxa"/>
            <w:vAlign w:val="bottom"/>
            <w:gridSpan w:val="2"/>
          </w:tcPr>
          <w:p>
            <w:pPr>
              <w:spacing w:after="0" w:line="140" w:lineRule="exact"/>
              <w:rPr>
                <w:sz w:val="20"/>
                <w:szCs w:val="20"/>
                <w:color w:val="auto"/>
              </w:rPr>
            </w:pPr>
            <w:r>
              <w:rPr>
                <w:rFonts w:ascii="Arial" w:cs="Arial" w:eastAsia="Arial" w:hAnsi="Arial"/>
                <w:sz w:val="14"/>
                <w:szCs w:val="14"/>
                <w:color w:val="auto"/>
              </w:rPr>
              <w:t>Mine or Operating</w:t>
            </w:r>
          </w:p>
        </w:tc>
        <w:tc>
          <w:tcPr>
            <w:tcW w:w="560" w:type="dxa"/>
            <w:vAlign w:val="bottom"/>
          </w:tcPr>
          <w:p>
            <w:pPr>
              <w:ind w:left="40"/>
              <w:spacing w:after="0" w:line="140" w:lineRule="exact"/>
              <w:rPr>
                <w:sz w:val="20"/>
                <w:szCs w:val="20"/>
                <w:color w:val="auto"/>
              </w:rPr>
            </w:pPr>
            <w:r>
              <w:rPr>
                <w:rFonts w:ascii="Arial" w:cs="Arial" w:eastAsia="Arial" w:hAnsi="Arial"/>
                <w:sz w:val="14"/>
                <w:szCs w:val="14"/>
                <w:color w:val="auto"/>
              </w:rPr>
              <w:t>Section</w:t>
            </w:r>
          </w:p>
        </w:tc>
        <w:tc>
          <w:tcPr>
            <w:tcW w:w="40" w:type="dxa"/>
            <w:vAlign w:val="bottom"/>
          </w:tcPr>
          <w:p>
            <w:pPr>
              <w:spacing w:after="0"/>
              <w:rPr>
                <w:sz w:val="12"/>
                <w:szCs w:val="12"/>
                <w:color w:val="auto"/>
              </w:rPr>
            </w:pPr>
          </w:p>
        </w:tc>
        <w:tc>
          <w:tcPr>
            <w:tcW w:w="1060" w:type="dxa"/>
            <w:vAlign w:val="bottom"/>
            <w:gridSpan w:val="3"/>
          </w:tcPr>
          <w:p>
            <w:pPr>
              <w:jc w:val="right"/>
              <w:spacing w:after="0" w:line="140" w:lineRule="exact"/>
              <w:rPr>
                <w:sz w:val="20"/>
                <w:szCs w:val="20"/>
                <w:color w:val="auto"/>
              </w:rPr>
            </w:pPr>
            <w:r>
              <w:rPr>
                <w:rFonts w:ascii="Arial" w:cs="Arial" w:eastAsia="Arial" w:hAnsi="Arial"/>
                <w:sz w:val="14"/>
                <w:szCs w:val="14"/>
                <w:color w:val="auto"/>
                <w:w w:val="97"/>
              </w:rPr>
              <w:t>Section Citations</w:t>
            </w:r>
          </w:p>
        </w:tc>
        <w:tc>
          <w:tcPr>
            <w:tcW w:w="40" w:type="dxa"/>
            <w:vAlign w:val="bottom"/>
          </w:tcPr>
          <w:p>
            <w:pPr>
              <w:spacing w:after="0"/>
              <w:rPr>
                <w:sz w:val="12"/>
                <w:szCs w:val="12"/>
                <w:color w:val="auto"/>
              </w:rPr>
            </w:pPr>
          </w:p>
        </w:tc>
        <w:tc>
          <w:tcPr>
            <w:tcW w:w="600" w:type="dxa"/>
            <w:vAlign w:val="bottom"/>
          </w:tcPr>
          <w:p>
            <w:pPr>
              <w:ind w:left="60"/>
              <w:spacing w:after="0" w:line="140" w:lineRule="exact"/>
              <w:rPr>
                <w:sz w:val="20"/>
                <w:szCs w:val="20"/>
                <w:color w:val="auto"/>
              </w:rPr>
            </w:pPr>
            <w:r>
              <w:rPr>
                <w:rFonts w:ascii="Arial" w:cs="Arial" w:eastAsia="Arial" w:hAnsi="Arial"/>
                <w:sz w:val="14"/>
                <w:szCs w:val="14"/>
                <w:color w:val="auto"/>
              </w:rPr>
              <w:t>Section</w:t>
            </w:r>
          </w:p>
        </w:tc>
        <w:tc>
          <w:tcPr>
            <w:tcW w:w="40" w:type="dxa"/>
            <w:vAlign w:val="bottom"/>
          </w:tcPr>
          <w:p>
            <w:pPr>
              <w:spacing w:after="0"/>
              <w:rPr>
                <w:sz w:val="12"/>
                <w:szCs w:val="12"/>
                <w:color w:val="auto"/>
              </w:rPr>
            </w:pPr>
          </w:p>
        </w:tc>
        <w:tc>
          <w:tcPr>
            <w:tcW w:w="460" w:type="dxa"/>
            <w:vAlign w:val="bottom"/>
          </w:tcPr>
          <w:p>
            <w:pPr>
              <w:jc w:val="center"/>
              <w:spacing w:after="0" w:line="140" w:lineRule="exact"/>
              <w:rPr>
                <w:sz w:val="20"/>
                <w:szCs w:val="20"/>
                <w:color w:val="auto"/>
              </w:rPr>
            </w:pPr>
            <w:r>
              <w:rPr>
                <w:rFonts w:ascii="Arial" w:cs="Arial" w:eastAsia="Arial" w:hAnsi="Arial"/>
                <w:sz w:val="14"/>
                <w:szCs w:val="14"/>
                <w:color w:val="auto"/>
                <w:w w:val="98"/>
              </w:rPr>
              <w:t>Section</w:t>
            </w:r>
          </w:p>
        </w:tc>
        <w:tc>
          <w:tcPr>
            <w:tcW w:w="4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color w:val="auto"/>
                <w:w w:val="98"/>
              </w:rPr>
              <w:t>MSHA</w:t>
            </w:r>
          </w:p>
        </w:tc>
        <w:tc>
          <w:tcPr>
            <w:tcW w:w="4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4"/>
                <w:szCs w:val="14"/>
                <w:color w:val="auto"/>
              </w:rPr>
              <w:t>Mining</w:t>
            </w:r>
          </w:p>
        </w:tc>
        <w:tc>
          <w:tcPr>
            <w:tcW w:w="40" w:type="dxa"/>
            <w:vAlign w:val="bottom"/>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4"/>
                <w:szCs w:val="14"/>
                <w:color w:val="auto"/>
                <w:w w:val="98"/>
              </w:rPr>
              <w:t>Section</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w w:val="98"/>
              </w:rPr>
              <w:t>Section</w:t>
            </w:r>
          </w:p>
        </w:tc>
        <w:tc>
          <w:tcPr>
            <w:tcW w:w="4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color w:val="auto"/>
                <w:w w:val="99"/>
              </w:rPr>
              <w:t>of Last</w:t>
            </w:r>
          </w:p>
        </w:tc>
        <w:tc>
          <w:tcPr>
            <w:tcW w:w="40" w:type="dxa"/>
            <w:vAlign w:val="bottom"/>
          </w:tcPr>
          <w:p>
            <w:pPr>
              <w:spacing w:after="0"/>
              <w:rPr>
                <w:sz w:val="12"/>
                <w:szCs w:val="12"/>
                <w:color w:val="auto"/>
              </w:rPr>
            </w:pPr>
          </w:p>
        </w:tc>
        <w:tc>
          <w:tcPr>
            <w:tcW w:w="1120" w:type="dxa"/>
            <w:vAlign w:val="bottom"/>
            <w:gridSpan w:val="3"/>
          </w:tcPr>
          <w:p>
            <w:pPr>
              <w:spacing w:after="0" w:line="140" w:lineRule="exact"/>
              <w:rPr>
                <w:sz w:val="20"/>
                <w:szCs w:val="20"/>
                <w:color w:val="auto"/>
              </w:rPr>
            </w:pPr>
            <w:r>
              <w:rPr>
                <w:rFonts w:ascii="Arial" w:cs="Arial" w:eastAsia="Arial" w:hAnsi="Arial"/>
                <w:sz w:val="14"/>
                <w:szCs w:val="14"/>
                <w:color w:val="auto"/>
                <w:w w:val="98"/>
              </w:rPr>
              <w:t>Initiated Resolved</w:t>
            </w:r>
          </w:p>
        </w:tc>
      </w:tr>
      <w:tr>
        <w:trPr>
          <w:trHeight w:val="140"/>
        </w:trPr>
        <w:tc>
          <w:tcPr>
            <w:tcW w:w="1580" w:type="dxa"/>
            <w:vAlign w:val="bottom"/>
            <w:gridSpan w:val="2"/>
          </w:tcPr>
          <w:p>
            <w:pPr>
              <w:spacing w:after="0" w:line="140" w:lineRule="exact"/>
              <w:rPr>
                <w:sz w:val="20"/>
                <w:szCs w:val="20"/>
                <w:color w:val="auto"/>
              </w:rPr>
            </w:pPr>
            <w:r>
              <w:rPr>
                <w:rFonts w:ascii="Arial" w:cs="Arial" w:eastAsia="Arial" w:hAnsi="Arial"/>
                <w:sz w:val="14"/>
                <w:szCs w:val="14"/>
                <w:color w:val="auto"/>
              </w:rPr>
              <w:t>Name/MSHA</w:t>
            </w:r>
          </w:p>
        </w:tc>
        <w:tc>
          <w:tcPr>
            <w:tcW w:w="1060" w:type="dxa"/>
            <w:vAlign w:val="bottom"/>
            <w:gridSpan w:val="3"/>
          </w:tcPr>
          <w:p>
            <w:pPr>
              <w:spacing w:after="0" w:line="140" w:lineRule="exact"/>
              <w:rPr>
                <w:sz w:val="20"/>
                <w:szCs w:val="20"/>
                <w:color w:val="auto"/>
              </w:rPr>
            </w:pPr>
            <w:r>
              <w:rPr>
                <w:rFonts w:ascii="Arial" w:cs="Arial" w:eastAsia="Arial" w:hAnsi="Arial"/>
                <w:sz w:val="14"/>
                <w:szCs w:val="14"/>
                <w:color w:val="auto"/>
              </w:rPr>
              <w:t>104 S&amp;S 104(b)</w:t>
            </w:r>
          </w:p>
        </w:tc>
        <w:tc>
          <w:tcPr>
            <w:tcW w:w="40" w:type="dxa"/>
            <w:vAlign w:val="bottom"/>
          </w:tcPr>
          <w:p>
            <w:pPr>
              <w:spacing w:after="0"/>
              <w:rPr>
                <w:sz w:val="12"/>
                <w:szCs w:val="12"/>
                <w:color w:val="auto"/>
              </w:rPr>
            </w:pPr>
          </w:p>
        </w:tc>
        <w:tc>
          <w:tcPr>
            <w:tcW w:w="560" w:type="dxa"/>
            <w:vAlign w:val="bottom"/>
          </w:tcPr>
          <w:p>
            <w:pPr>
              <w:jc w:val="center"/>
              <w:spacing w:after="0" w:line="140" w:lineRule="exact"/>
              <w:rPr>
                <w:sz w:val="20"/>
                <w:szCs w:val="20"/>
                <w:color w:val="auto"/>
              </w:rPr>
            </w:pPr>
            <w:r>
              <w:rPr>
                <w:rFonts w:ascii="Arial" w:cs="Arial" w:eastAsia="Arial" w:hAnsi="Arial"/>
                <w:sz w:val="14"/>
                <w:szCs w:val="14"/>
                <w:color w:val="auto"/>
              </w:rPr>
              <w:t>and</w:t>
            </w:r>
          </w:p>
        </w:tc>
        <w:tc>
          <w:tcPr>
            <w:tcW w:w="40" w:type="dxa"/>
            <w:vAlign w:val="bottom"/>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4"/>
                <w:szCs w:val="14"/>
                <w:color w:val="auto"/>
              </w:rPr>
              <w:t>110(b)(2)</w:t>
            </w:r>
          </w:p>
        </w:tc>
        <w:tc>
          <w:tcPr>
            <w:tcW w:w="40" w:type="dxa"/>
            <w:vAlign w:val="bottom"/>
          </w:tcPr>
          <w:p>
            <w:pPr>
              <w:spacing w:after="0"/>
              <w:rPr>
                <w:sz w:val="12"/>
                <w:szCs w:val="12"/>
                <w:color w:val="auto"/>
              </w:rPr>
            </w:pPr>
          </w:p>
        </w:tc>
        <w:tc>
          <w:tcPr>
            <w:tcW w:w="134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107(a) Assessments</w:t>
            </w:r>
          </w:p>
        </w:tc>
        <w:tc>
          <w:tcPr>
            <w:tcW w:w="4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4"/>
                <w:szCs w:val="14"/>
                <w:color w:val="auto"/>
                <w:w w:val="99"/>
              </w:rPr>
              <w:t>Related</w:t>
            </w:r>
          </w:p>
        </w:tc>
        <w:tc>
          <w:tcPr>
            <w:tcW w:w="40" w:type="dxa"/>
            <w:vAlign w:val="bottom"/>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4"/>
                <w:szCs w:val="14"/>
                <w:color w:val="auto"/>
                <w:w w:val="98"/>
              </w:rPr>
              <w:t>104(e)</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rPr>
              <w:t>104(e)</w:t>
            </w:r>
          </w:p>
        </w:tc>
        <w:tc>
          <w:tcPr>
            <w:tcW w:w="4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color w:val="auto"/>
                <w:w w:val="98"/>
              </w:rPr>
              <w:t>Day of</w:t>
            </w:r>
          </w:p>
        </w:tc>
        <w:tc>
          <w:tcPr>
            <w:tcW w:w="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4"/>
                <w:szCs w:val="14"/>
                <w:color w:val="auto"/>
              </w:rPr>
              <w:t>During</w:t>
            </w:r>
          </w:p>
        </w:tc>
        <w:tc>
          <w:tcPr>
            <w:tcW w:w="4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4"/>
                <w:szCs w:val="14"/>
                <w:color w:val="auto"/>
              </w:rPr>
              <w:t>During</w:t>
            </w:r>
          </w:p>
        </w:tc>
      </w:tr>
      <w:tr>
        <w:trPr>
          <w:trHeight w:val="199"/>
        </w:trPr>
        <w:tc>
          <w:tcPr>
            <w:tcW w:w="1580" w:type="dxa"/>
            <w:vAlign w:val="bottom"/>
            <w:gridSpan w:val="2"/>
          </w:tcPr>
          <w:p>
            <w:pPr>
              <w:spacing w:after="0" w:line="157" w:lineRule="exact"/>
              <w:rPr>
                <w:sz w:val="20"/>
                <w:szCs w:val="20"/>
                <w:color w:val="auto"/>
              </w:rPr>
            </w:pPr>
            <w:r>
              <w:rPr>
                <w:rFonts w:ascii="Arial" w:cs="Arial" w:eastAsia="Arial" w:hAnsi="Arial"/>
                <w:sz w:val="14"/>
                <w:szCs w:val="14"/>
                <w:color w:val="auto"/>
              </w:rPr>
              <w:t>Identification Number</w:t>
            </w:r>
          </w:p>
        </w:tc>
        <w:tc>
          <w:tcPr>
            <w:tcW w:w="1060" w:type="dxa"/>
            <w:vAlign w:val="bottom"/>
            <w:gridSpan w:val="3"/>
          </w:tcPr>
          <w:p>
            <w:pPr>
              <w:spacing w:after="0" w:line="157" w:lineRule="exact"/>
              <w:rPr>
                <w:sz w:val="20"/>
                <w:szCs w:val="20"/>
                <w:color w:val="auto"/>
              </w:rPr>
            </w:pPr>
            <w:r>
              <w:rPr>
                <w:rFonts w:ascii="Arial" w:cs="Arial" w:eastAsia="Arial" w:hAnsi="Arial"/>
                <w:sz w:val="14"/>
                <w:szCs w:val="14"/>
                <w:color w:val="auto"/>
              </w:rPr>
              <w:t>Citations Orders</w:t>
            </w:r>
          </w:p>
        </w:tc>
        <w:tc>
          <w:tcPr>
            <w:tcW w:w="40" w:type="dxa"/>
            <w:vAlign w:val="bottom"/>
          </w:tcPr>
          <w:p>
            <w:pPr>
              <w:spacing w:after="0"/>
              <w:rPr>
                <w:sz w:val="17"/>
                <w:szCs w:val="17"/>
                <w:color w:val="auto"/>
              </w:rPr>
            </w:pPr>
          </w:p>
        </w:tc>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rPr>
              <w:t>Orders</w:t>
            </w:r>
          </w:p>
        </w:tc>
        <w:tc>
          <w:tcPr>
            <w:tcW w:w="40" w:type="dxa"/>
            <w:vAlign w:val="bottom"/>
          </w:tcPr>
          <w:p>
            <w:pPr>
              <w:spacing w:after="0"/>
              <w:rPr>
                <w:sz w:val="17"/>
                <w:szCs w:val="17"/>
                <w:color w:val="auto"/>
              </w:rPr>
            </w:pPr>
          </w:p>
        </w:tc>
        <w:tc>
          <w:tcPr>
            <w:tcW w:w="1100" w:type="dxa"/>
            <w:vAlign w:val="bottom"/>
            <w:gridSpan w:val="3"/>
          </w:tcPr>
          <w:p>
            <w:pPr>
              <w:spacing w:after="0" w:line="157" w:lineRule="exact"/>
              <w:rPr>
                <w:sz w:val="20"/>
                <w:szCs w:val="20"/>
                <w:color w:val="auto"/>
              </w:rPr>
            </w:pPr>
            <w:r>
              <w:rPr>
                <w:rFonts w:ascii="Arial" w:cs="Arial" w:eastAsia="Arial" w:hAnsi="Arial"/>
                <w:sz w:val="14"/>
                <w:szCs w:val="14"/>
                <w:color w:val="auto"/>
              </w:rPr>
              <w:t>Violations Orders</w:t>
            </w:r>
          </w:p>
        </w:tc>
        <w:tc>
          <w:tcPr>
            <w:tcW w:w="40" w:type="dxa"/>
            <w:vAlign w:val="bottom"/>
          </w:tcPr>
          <w:p>
            <w:pPr>
              <w:spacing w:after="0"/>
              <w:rPr>
                <w:sz w:val="17"/>
                <w:szCs w:val="17"/>
                <w:color w:val="auto"/>
              </w:rPr>
            </w:pPr>
          </w:p>
        </w:tc>
        <w:tc>
          <w:tcPr>
            <w:tcW w:w="840" w:type="dxa"/>
            <w:vAlign w:val="bottom"/>
          </w:tcPr>
          <w:p>
            <w:pPr>
              <w:jc w:val="center"/>
              <w:spacing w:after="0" w:line="199" w:lineRule="exact"/>
              <w:rPr>
                <w:sz w:val="20"/>
                <w:szCs w:val="20"/>
                <w:color w:val="auto"/>
              </w:rPr>
            </w:pPr>
            <w:r>
              <w:rPr>
                <w:rFonts w:ascii="Arial" w:cs="Arial" w:eastAsia="Arial" w:hAnsi="Arial"/>
                <w:sz w:val="14"/>
                <w:szCs w:val="14"/>
                <w:color w:val="auto"/>
                <w:w w:val="91"/>
              </w:rPr>
              <w:t xml:space="preserve">Proposed </w:t>
            </w:r>
            <w:r>
              <w:rPr>
                <w:rFonts w:ascii="Arial" w:cs="Arial" w:eastAsia="Arial" w:hAnsi="Arial"/>
                <w:sz w:val="18"/>
                <w:szCs w:val="18"/>
                <w:color w:val="auto"/>
                <w:w w:val="91"/>
                <w:vertAlign w:val="superscript"/>
              </w:rPr>
              <w:t>(1)</w:t>
            </w:r>
          </w:p>
        </w:tc>
        <w:tc>
          <w:tcPr>
            <w:tcW w:w="40" w:type="dxa"/>
            <w:vAlign w:val="bottom"/>
          </w:tcPr>
          <w:p>
            <w:pPr>
              <w:spacing w:after="0"/>
              <w:rPr>
                <w:sz w:val="17"/>
                <w:szCs w:val="17"/>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9"/>
              </w:rPr>
              <w:t>Fatalities</w:t>
            </w:r>
          </w:p>
        </w:tc>
        <w:tc>
          <w:tcPr>
            <w:tcW w:w="40" w:type="dxa"/>
            <w:vAlign w:val="bottom"/>
          </w:tcPr>
          <w:p>
            <w:pPr>
              <w:spacing w:after="0"/>
              <w:rPr>
                <w:sz w:val="17"/>
                <w:szCs w:val="17"/>
                <w:color w:val="auto"/>
              </w:rPr>
            </w:pP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w w:val="98"/>
              </w:rPr>
              <w:t>(yes/no)</w:t>
            </w:r>
          </w:p>
        </w:tc>
        <w:tc>
          <w:tcPr>
            <w:tcW w:w="40" w:type="dxa"/>
            <w:vAlign w:val="bottom"/>
          </w:tcPr>
          <w:p>
            <w:pPr>
              <w:spacing w:after="0"/>
              <w:rPr>
                <w:sz w:val="17"/>
                <w:szCs w:val="17"/>
                <w:color w:val="auto"/>
              </w:rPr>
            </w:pPr>
          </w:p>
        </w:tc>
        <w:tc>
          <w:tcPr>
            <w:tcW w:w="580" w:type="dxa"/>
            <w:vAlign w:val="bottom"/>
          </w:tcPr>
          <w:p>
            <w:pPr>
              <w:jc w:val="center"/>
              <w:spacing w:after="0" w:line="157" w:lineRule="exact"/>
              <w:rPr>
                <w:sz w:val="20"/>
                <w:szCs w:val="20"/>
                <w:color w:val="auto"/>
              </w:rPr>
            </w:pPr>
            <w:r>
              <w:rPr>
                <w:rFonts w:ascii="Arial" w:cs="Arial" w:eastAsia="Arial" w:hAnsi="Arial"/>
                <w:sz w:val="14"/>
                <w:szCs w:val="14"/>
                <w:color w:val="auto"/>
                <w:w w:val="98"/>
              </w:rPr>
              <w:t>(yes/no)</w:t>
            </w:r>
          </w:p>
        </w:tc>
        <w:tc>
          <w:tcPr>
            <w:tcW w:w="40" w:type="dxa"/>
            <w:vAlign w:val="bottom"/>
          </w:tcPr>
          <w:p>
            <w:pPr>
              <w:spacing w:after="0"/>
              <w:rPr>
                <w:sz w:val="17"/>
                <w:szCs w:val="17"/>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color w:val="auto"/>
                <w:w w:val="98"/>
              </w:rPr>
              <w:t>Period</w:t>
            </w:r>
          </w:p>
        </w:tc>
        <w:tc>
          <w:tcPr>
            <w:tcW w:w="40" w:type="dxa"/>
            <w:vAlign w:val="bottom"/>
          </w:tcPr>
          <w:p>
            <w:pPr>
              <w:spacing w:after="0"/>
              <w:rPr>
                <w:sz w:val="17"/>
                <w:szCs w:val="17"/>
                <w:color w:val="auto"/>
              </w:rPr>
            </w:pPr>
          </w:p>
        </w:tc>
        <w:tc>
          <w:tcPr>
            <w:tcW w:w="500" w:type="dxa"/>
            <w:vAlign w:val="bottom"/>
          </w:tcPr>
          <w:p>
            <w:pPr>
              <w:jc w:val="center"/>
              <w:spacing w:after="0" w:line="157" w:lineRule="exact"/>
              <w:rPr>
                <w:sz w:val="20"/>
                <w:szCs w:val="20"/>
                <w:color w:val="auto"/>
              </w:rPr>
            </w:pPr>
            <w:r>
              <w:rPr>
                <w:rFonts w:ascii="Arial" w:cs="Arial" w:eastAsia="Arial" w:hAnsi="Arial"/>
                <w:sz w:val="14"/>
                <w:szCs w:val="14"/>
                <w:color w:val="auto"/>
              </w:rPr>
              <w:t>Period</w:t>
            </w:r>
          </w:p>
        </w:tc>
        <w:tc>
          <w:tcPr>
            <w:tcW w:w="40" w:type="dxa"/>
            <w:vAlign w:val="bottom"/>
          </w:tcPr>
          <w:p>
            <w:pPr>
              <w:spacing w:after="0"/>
              <w:rPr>
                <w:sz w:val="17"/>
                <w:szCs w:val="17"/>
                <w:color w:val="auto"/>
              </w:rPr>
            </w:pPr>
          </w:p>
        </w:tc>
        <w:tc>
          <w:tcPr>
            <w:tcW w:w="580" w:type="dxa"/>
            <w:vAlign w:val="bottom"/>
          </w:tcPr>
          <w:p>
            <w:pPr>
              <w:jc w:val="center"/>
              <w:spacing w:after="0" w:line="157" w:lineRule="exact"/>
              <w:rPr>
                <w:sz w:val="20"/>
                <w:szCs w:val="20"/>
                <w:color w:val="auto"/>
              </w:rPr>
            </w:pPr>
            <w:r>
              <w:rPr>
                <w:rFonts w:ascii="Arial" w:cs="Arial" w:eastAsia="Arial" w:hAnsi="Arial"/>
                <w:sz w:val="14"/>
                <w:szCs w:val="14"/>
                <w:color w:val="auto"/>
                <w:w w:val="98"/>
              </w:rPr>
              <w:t>Period</w:t>
            </w:r>
          </w:p>
        </w:tc>
      </w:tr>
      <w:tr>
        <w:trPr>
          <w:trHeight w:val="261"/>
        </w:trPr>
        <w:tc>
          <w:tcPr>
            <w:tcW w:w="132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4"/>
                <w:szCs w:val="14"/>
                <w:color w:val="auto"/>
              </w:rPr>
              <w:t>Amelia Barite Plant/</w:t>
            </w:r>
          </w:p>
        </w:tc>
        <w:tc>
          <w:tcPr>
            <w:tcW w:w="260" w:type="dxa"/>
            <w:vAlign w:val="bottom"/>
            <w:shd w:val="clear" w:color="auto" w:fill="CCCCCC"/>
          </w:tcPr>
          <w:p>
            <w:pPr>
              <w:spacing w:after="0"/>
              <w:rPr>
                <w:sz w:val="22"/>
                <w:szCs w:val="22"/>
                <w:color w:val="auto"/>
              </w:rPr>
            </w:pPr>
          </w:p>
        </w:tc>
        <w:tc>
          <w:tcPr>
            <w:tcW w:w="56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46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56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60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46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84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66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60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58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70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500" w:type="dxa"/>
            <w:vAlign w:val="bottom"/>
            <w:tcBorders>
              <w:top w:val="single" w:sz="8" w:color="auto"/>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580" w:type="dxa"/>
            <w:vAlign w:val="bottom"/>
            <w:tcBorders>
              <w:top w:val="single" w:sz="8" w:color="auto"/>
            </w:tcBorders>
            <w:shd w:val="clear" w:color="auto" w:fill="CCCCCC"/>
          </w:tcPr>
          <w:p>
            <w:pPr>
              <w:spacing w:after="0"/>
              <w:rPr>
                <w:sz w:val="22"/>
                <w:szCs w:val="22"/>
                <w:color w:val="auto"/>
              </w:rPr>
            </w:pPr>
          </w:p>
        </w:tc>
      </w:tr>
      <w:tr>
        <w:trPr>
          <w:trHeight w:val="169"/>
        </w:trPr>
        <w:tc>
          <w:tcPr>
            <w:tcW w:w="1320" w:type="dxa"/>
            <w:vAlign w:val="bottom"/>
            <w:shd w:val="clear" w:color="auto" w:fill="CCCCCC"/>
          </w:tcPr>
          <w:p>
            <w:pPr>
              <w:spacing w:after="0" w:line="157" w:lineRule="exact"/>
              <w:rPr>
                <w:sz w:val="20"/>
                <w:szCs w:val="20"/>
                <w:color w:val="auto"/>
              </w:rPr>
            </w:pPr>
            <w:r>
              <w:rPr>
                <w:rFonts w:ascii="Arial" w:cs="Arial" w:eastAsia="Arial" w:hAnsi="Arial"/>
                <w:sz w:val="14"/>
                <w:szCs w:val="14"/>
                <w:color w:val="auto"/>
              </w:rPr>
              <w:t>1600825</w:t>
            </w:r>
          </w:p>
        </w:tc>
        <w:tc>
          <w:tcPr>
            <w:tcW w:w="260" w:type="dxa"/>
            <w:vAlign w:val="bottom"/>
            <w:shd w:val="clear" w:color="auto" w:fill="CCCCCC"/>
          </w:tcPr>
          <w:p>
            <w:pPr>
              <w:spacing w:after="0"/>
              <w:rPr>
                <w:sz w:val="14"/>
                <w:szCs w:val="14"/>
                <w:color w:val="auto"/>
              </w:rPr>
            </w:pPr>
          </w:p>
        </w:tc>
        <w:tc>
          <w:tcPr>
            <w:tcW w:w="56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rPr>
              <w:t>3</w:t>
            </w:r>
          </w:p>
        </w:tc>
        <w:tc>
          <w:tcPr>
            <w:tcW w:w="500" w:type="dxa"/>
            <w:vAlign w:val="bottom"/>
            <w:gridSpan w:val="2"/>
            <w:shd w:val="clear" w:color="auto" w:fill="CCCCCC"/>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CCCC"/>
          </w:tcPr>
          <w:p>
            <w:pPr>
              <w:jc w:val="right"/>
              <w:ind w:right="19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$1,300</w:t>
            </w:r>
          </w:p>
        </w:tc>
        <w:tc>
          <w:tcPr>
            <w:tcW w:w="70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40" w:type="dxa"/>
            <w:vAlign w:val="bottom"/>
            <w:shd w:val="clear" w:color="auto" w:fill="CCCCCC"/>
          </w:tcPr>
          <w:p>
            <w:pPr>
              <w:spacing w:after="0"/>
              <w:rPr>
                <w:sz w:val="14"/>
                <w:szCs w:val="14"/>
                <w:color w:val="auto"/>
              </w:rPr>
            </w:pPr>
          </w:p>
        </w:tc>
        <w:tc>
          <w:tcPr>
            <w:tcW w:w="60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w w:val="98"/>
              </w:rPr>
              <w:t>N</w:t>
            </w:r>
          </w:p>
        </w:tc>
        <w:tc>
          <w:tcPr>
            <w:tcW w:w="40" w:type="dxa"/>
            <w:vAlign w:val="bottom"/>
            <w:shd w:val="clear" w:color="auto" w:fill="CCCCCC"/>
          </w:tcPr>
          <w:p>
            <w:pPr>
              <w:spacing w:after="0"/>
              <w:rPr>
                <w:sz w:val="14"/>
                <w:szCs w:val="14"/>
                <w:color w:val="auto"/>
              </w:rPr>
            </w:pPr>
          </w:p>
        </w:tc>
        <w:tc>
          <w:tcPr>
            <w:tcW w:w="58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w w:val="98"/>
              </w:rPr>
              <w:t>N</w:t>
            </w:r>
          </w:p>
        </w:tc>
        <w:tc>
          <w:tcPr>
            <w:tcW w:w="7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5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r>
      <w:tr>
        <w:trPr>
          <w:trHeight w:val="271"/>
        </w:trPr>
        <w:tc>
          <w:tcPr>
            <w:tcW w:w="1580" w:type="dxa"/>
            <w:vAlign w:val="bottom"/>
            <w:gridSpan w:val="2"/>
          </w:tcPr>
          <w:p>
            <w:pPr>
              <w:spacing w:after="0"/>
              <w:rPr>
                <w:sz w:val="20"/>
                <w:szCs w:val="20"/>
                <w:color w:val="auto"/>
              </w:rPr>
            </w:pPr>
            <w:r>
              <w:rPr>
                <w:rFonts w:ascii="Arial" w:cs="Arial" w:eastAsia="Arial" w:hAnsi="Arial"/>
                <w:sz w:val="14"/>
                <w:szCs w:val="14"/>
                <w:color w:val="auto"/>
              </w:rPr>
              <w:t>Battle Mountain Grinding</w:t>
            </w: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3"/>
        </w:trPr>
        <w:tc>
          <w:tcPr>
            <w:tcW w:w="1580" w:type="dxa"/>
            <w:vAlign w:val="bottom"/>
            <w:gridSpan w:val="2"/>
          </w:tcPr>
          <w:p>
            <w:pPr>
              <w:spacing w:after="0" w:line="157" w:lineRule="exact"/>
              <w:rPr>
                <w:sz w:val="20"/>
                <w:szCs w:val="20"/>
                <w:color w:val="auto"/>
              </w:rPr>
            </w:pPr>
            <w:r>
              <w:rPr>
                <w:rFonts w:ascii="Arial" w:cs="Arial" w:eastAsia="Arial" w:hAnsi="Arial"/>
                <w:sz w:val="14"/>
                <w:szCs w:val="14"/>
                <w:color w:val="auto"/>
              </w:rPr>
              <w:t>Plant/2600828</w:t>
            </w:r>
          </w:p>
        </w:tc>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rPr>
              <w:t>3</w:t>
            </w:r>
          </w:p>
        </w:tc>
        <w:tc>
          <w:tcPr>
            <w:tcW w:w="500" w:type="dxa"/>
            <w:vAlign w:val="bottom"/>
            <w:gridSpan w:val="2"/>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9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$532</w:t>
            </w:r>
          </w:p>
        </w:tc>
        <w:tc>
          <w:tcPr>
            <w:tcW w:w="70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4"/>
                <w:szCs w:val="14"/>
                <w:color w:val="auto"/>
              </w:rPr>
            </w:pP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w w:val="98"/>
              </w:rPr>
              <w:t>N</w:t>
            </w:r>
          </w:p>
        </w:tc>
        <w:tc>
          <w:tcPr>
            <w:tcW w:w="40" w:type="dxa"/>
            <w:vAlign w:val="bottom"/>
          </w:tcPr>
          <w:p>
            <w:pPr>
              <w:spacing w:after="0"/>
              <w:rPr>
                <w:sz w:val="14"/>
                <w:szCs w:val="14"/>
                <w:color w:val="auto"/>
              </w:rPr>
            </w:pPr>
          </w:p>
        </w:tc>
        <w:tc>
          <w:tcPr>
            <w:tcW w:w="580" w:type="dxa"/>
            <w:vAlign w:val="bottom"/>
          </w:tcPr>
          <w:p>
            <w:pPr>
              <w:jc w:val="center"/>
              <w:spacing w:after="0" w:line="157" w:lineRule="exact"/>
              <w:rPr>
                <w:sz w:val="20"/>
                <w:szCs w:val="20"/>
                <w:color w:val="auto"/>
              </w:rPr>
            </w:pPr>
            <w:r>
              <w:rPr>
                <w:rFonts w:ascii="Arial" w:cs="Arial" w:eastAsia="Arial" w:hAnsi="Arial"/>
                <w:sz w:val="14"/>
                <w:szCs w:val="14"/>
                <w:color w:val="auto"/>
                <w:w w:val="98"/>
              </w:rPr>
              <w:t>N</w:t>
            </w:r>
          </w:p>
        </w:tc>
        <w:tc>
          <w:tcPr>
            <w:tcW w:w="7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54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r>
      <w:tr>
        <w:trPr>
          <w:trHeight w:val="277"/>
        </w:trPr>
        <w:tc>
          <w:tcPr>
            <w:tcW w:w="1580" w:type="dxa"/>
            <w:vAlign w:val="bottom"/>
            <w:gridSpan w:val="2"/>
            <w:shd w:val="clear" w:color="auto" w:fill="CCCCCC"/>
          </w:tcPr>
          <w:p>
            <w:pPr>
              <w:spacing w:after="0"/>
              <w:rPr>
                <w:sz w:val="20"/>
                <w:szCs w:val="20"/>
                <w:color w:val="auto"/>
              </w:rPr>
            </w:pPr>
            <w:r>
              <w:rPr>
                <w:rFonts w:ascii="Arial" w:cs="Arial" w:eastAsia="Arial" w:hAnsi="Arial"/>
                <w:sz w:val="14"/>
                <w:szCs w:val="14"/>
                <w:color w:val="auto"/>
              </w:rPr>
              <w:t>Greybull Milling</w:t>
            </w:r>
          </w:p>
        </w:tc>
        <w:tc>
          <w:tcPr>
            <w:tcW w:w="5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4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4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84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7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80" w:type="dxa"/>
            <w:vAlign w:val="bottom"/>
            <w:shd w:val="clear" w:color="auto" w:fill="CCCCCC"/>
          </w:tcPr>
          <w:p>
            <w:pPr>
              <w:spacing w:after="0"/>
              <w:rPr>
                <w:sz w:val="24"/>
                <w:szCs w:val="24"/>
                <w:color w:val="auto"/>
              </w:rPr>
            </w:pPr>
          </w:p>
        </w:tc>
      </w:tr>
      <w:tr>
        <w:trPr>
          <w:trHeight w:val="169"/>
        </w:trPr>
        <w:tc>
          <w:tcPr>
            <w:tcW w:w="1580" w:type="dxa"/>
            <w:vAlign w:val="bottom"/>
            <w:gridSpan w:val="2"/>
            <w:shd w:val="clear" w:color="auto" w:fill="CCCCCC"/>
          </w:tcPr>
          <w:p>
            <w:pPr>
              <w:spacing w:after="0" w:line="157" w:lineRule="exact"/>
              <w:rPr>
                <w:sz w:val="20"/>
                <w:szCs w:val="20"/>
                <w:color w:val="auto"/>
              </w:rPr>
            </w:pPr>
            <w:r>
              <w:rPr>
                <w:rFonts w:ascii="Arial" w:cs="Arial" w:eastAsia="Arial" w:hAnsi="Arial"/>
                <w:sz w:val="14"/>
                <w:szCs w:val="14"/>
                <w:color w:val="auto"/>
              </w:rPr>
              <w:t>Operation/4800602</w:t>
            </w:r>
          </w:p>
        </w:tc>
        <w:tc>
          <w:tcPr>
            <w:tcW w:w="56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rPr>
              <w:t>4</w:t>
            </w:r>
          </w:p>
        </w:tc>
        <w:tc>
          <w:tcPr>
            <w:tcW w:w="500" w:type="dxa"/>
            <w:vAlign w:val="bottom"/>
            <w:gridSpan w:val="2"/>
            <w:shd w:val="clear" w:color="auto" w:fill="CCCCCC"/>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CCCC"/>
          </w:tcPr>
          <w:p>
            <w:pPr>
              <w:jc w:val="right"/>
              <w:ind w:right="19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$2,350</w:t>
            </w:r>
          </w:p>
        </w:tc>
        <w:tc>
          <w:tcPr>
            <w:tcW w:w="70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40" w:type="dxa"/>
            <w:vAlign w:val="bottom"/>
            <w:shd w:val="clear" w:color="auto" w:fill="CCCCCC"/>
          </w:tcPr>
          <w:p>
            <w:pPr>
              <w:spacing w:after="0"/>
              <w:rPr>
                <w:sz w:val="14"/>
                <w:szCs w:val="14"/>
                <w:color w:val="auto"/>
              </w:rPr>
            </w:pPr>
          </w:p>
        </w:tc>
        <w:tc>
          <w:tcPr>
            <w:tcW w:w="60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w w:val="98"/>
              </w:rPr>
              <w:t>N</w:t>
            </w:r>
          </w:p>
        </w:tc>
        <w:tc>
          <w:tcPr>
            <w:tcW w:w="40" w:type="dxa"/>
            <w:vAlign w:val="bottom"/>
            <w:shd w:val="clear" w:color="auto" w:fill="CCCCCC"/>
          </w:tcPr>
          <w:p>
            <w:pPr>
              <w:spacing w:after="0"/>
              <w:rPr>
                <w:sz w:val="14"/>
                <w:szCs w:val="14"/>
                <w:color w:val="auto"/>
              </w:rPr>
            </w:pPr>
          </w:p>
        </w:tc>
        <w:tc>
          <w:tcPr>
            <w:tcW w:w="58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w w:val="98"/>
              </w:rPr>
              <w:t>N</w:t>
            </w:r>
          </w:p>
        </w:tc>
        <w:tc>
          <w:tcPr>
            <w:tcW w:w="7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5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r>
      <w:tr>
        <w:trPr>
          <w:trHeight w:val="271"/>
        </w:trPr>
        <w:tc>
          <w:tcPr>
            <w:tcW w:w="1580" w:type="dxa"/>
            <w:vAlign w:val="bottom"/>
            <w:gridSpan w:val="2"/>
          </w:tcPr>
          <w:p>
            <w:pPr>
              <w:spacing w:after="0"/>
              <w:rPr>
                <w:sz w:val="20"/>
                <w:szCs w:val="20"/>
                <w:color w:val="auto"/>
              </w:rPr>
            </w:pPr>
            <w:r>
              <w:rPr>
                <w:rFonts w:ascii="Arial" w:cs="Arial" w:eastAsia="Arial" w:hAnsi="Arial"/>
                <w:sz w:val="14"/>
                <w:szCs w:val="14"/>
                <w:color w:val="auto"/>
              </w:rPr>
              <w:t>Greybull Mining</w:t>
            </w: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63"/>
        </w:trPr>
        <w:tc>
          <w:tcPr>
            <w:tcW w:w="1580" w:type="dxa"/>
            <w:vAlign w:val="bottom"/>
            <w:gridSpan w:val="2"/>
          </w:tcPr>
          <w:p>
            <w:pPr>
              <w:spacing w:after="0" w:line="157" w:lineRule="exact"/>
              <w:rPr>
                <w:sz w:val="20"/>
                <w:szCs w:val="20"/>
                <w:color w:val="auto"/>
              </w:rPr>
            </w:pPr>
            <w:r>
              <w:rPr>
                <w:rFonts w:ascii="Arial" w:cs="Arial" w:eastAsia="Arial" w:hAnsi="Arial"/>
                <w:sz w:val="14"/>
                <w:szCs w:val="14"/>
                <w:color w:val="auto"/>
              </w:rPr>
              <w:t>Operation/4800603</w:t>
            </w:r>
          </w:p>
        </w:tc>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9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70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4"/>
                <w:szCs w:val="14"/>
                <w:color w:val="auto"/>
              </w:rPr>
            </w:pP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w w:val="98"/>
              </w:rPr>
              <w:t>N</w:t>
            </w:r>
          </w:p>
        </w:tc>
        <w:tc>
          <w:tcPr>
            <w:tcW w:w="40" w:type="dxa"/>
            <w:vAlign w:val="bottom"/>
          </w:tcPr>
          <w:p>
            <w:pPr>
              <w:spacing w:after="0"/>
              <w:rPr>
                <w:sz w:val="14"/>
                <w:szCs w:val="14"/>
                <w:color w:val="auto"/>
              </w:rPr>
            </w:pPr>
          </w:p>
        </w:tc>
        <w:tc>
          <w:tcPr>
            <w:tcW w:w="580" w:type="dxa"/>
            <w:vAlign w:val="bottom"/>
          </w:tcPr>
          <w:p>
            <w:pPr>
              <w:jc w:val="center"/>
              <w:spacing w:after="0" w:line="157" w:lineRule="exact"/>
              <w:rPr>
                <w:sz w:val="20"/>
                <w:szCs w:val="20"/>
                <w:color w:val="auto"/>
              </w:rPr>
            </w:pPr>
            <w:r>
              <w:rPr>
                <w:rFonts w:ascii="Arial" w:cs="Arial" w:eastAsia="Arial" w:hAnsi="Arial"/>
                <w:sz w:val="14"/>
                <w:szCs w:val="14"/>
                <w:color w:val="auto"/>
                <w:w w:val="98"/>
              </w:rPr>
              <w:t>N</w:t>
            </w:r>
          </w:p>
        </w:tc>
        <w:tc>
          <w:tcPr>
            <w:tcW w:w="7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54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r>
      <w:tr>
        <w:trPr>
          <w:trHeight w:val="277"/>
        </w:trPr>
        <w:tc>
          <w:tcPr>
            <w:tcW w:w="1580" w:type="dxa"/>
            <w:vAlign w:val="bottom"/>
            <w:gridSpan w:val="2"/>
            <w:shd w:val="clear" w:color="auto" w:fill="CCCCCC"/>
          </w:tcPr>
          <w:p>
            <w:pPr>
              <w:spacing w:after="0"/>
              <w:rPr>
                <w:sz w:val="20"/>
                <w:szCs w:val="20"/>
                <w:color w:val="auto"/>
              </w:rPr>
            </w:pPr>
            <w:r>
              <w:rPr>
                <w:rFonts w:ascii="Arial" w:cs="Arial" w:eastAsia="Arial" w:hAnsi="Arial"/>
                <w:sz w:val="14"/>
                <w:szCs w:val="14"/>
                <w:color w:val="auto"/>
              </w:rPr>
              <w:t>Greystone Mine/</w:t>
            </w:r>
          </w:p>
        </w:tc>
        <w:tc>
          <w:tcPr>
            <w:tcW w:w="5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4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4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84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7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0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580" w:type="dxa"/>
            <w:vAlign w:val="bottom"/>
            <w:shd w:val="clear" w:color="auto" w:fill="CCCCCC"/>
          </w:tcPr>
          <w:p>
            <w:pPr>
              <w:spacing w:after="0"/>
              <w:rPr>
                <w:sz w:val="24"/>
                <w:szCs w:val="24"/>
                <w:color w:val="auto"/>
              </w:rPr>
            </w:pPr>
          </w:p>
        </w:tc>
      </w:tr>
      <w:tr>
        <w:trPr>
          <w:trHeight w:val="168"/>
        </w:trPr>
        <w:tc>
          <w:tcPr>
            <w:tcW w:w="1320" w:type="dxa"/>
            <w:vAlign w:val="bottom"/>
            <w:shd w:val="clear" w:color="auto" w:fill="CCCCCC"/>
          </w:tcPr>
          <w:p>
            <w:pPr>
              <w:spacing w:after="0" w:line="157" w:lineRule="exact"/>
              <w:rPr>
                <w:sz w:val="20"/>
                <w:szCs w:val="20"/>
                <w:color w:val="auto"/>
              </w:rPr>
            </w:pPr>
            <w:r>
              <w:rPr>
                <w:rFonts w:ascii="Arial" w:cs="Arial" w:eastAsia="Arial" w:hAnsi="Arial"/>
                <w:sz w:val="14"/>
                <w:szCs w:val="14"/>
                <w:color w:val="auto"/>
              </w:rPr>
              <w:t>2600411</w:t>
            </w:r>
          </w:p>
        </w:tc>
        <w:tc>
          <w:tcPr>
            <w:tcW w:w="260" w:type="dxa"/>
            <w:vAlign w:val="bottom"/>
            <w:shd w:val="clear" w:color="auto" w:fill="CCCCCC"/>
          </w:tcPr>
          <w:p>
            <w:pPr>
              <w:spacing w:after="0"/>
              <w:rPr>
                <w:sz w:val="14"/>
                <w:szCs w:val="14"/>
                <w:color w:val="auto"/>
              </w:rPr>
            </w:pPr>
          </w:p>
        </w:tc>
        <w:tc>
          <w:tcPr>
            <w:tcW w:w="56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shd w:val="clear" w:color="auto" w:fill="CCCCCC"/>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CCCC"/>
          </w:tcPr>
          <w:p>
            <w:pPr>
              <w:jc w:val="right"/>
              <w:ind w:right="19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70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40" w:type="dxa"/>
            <w:vAlign w:val="bottom"/>
            <w:shd w:val="clear" w:color="auto" w:fill="CCCCCC"/>
          </w:tcPr>
          <w:p>
            <w:pPr>
              <w:spacing w:after="0"/>
              <w:rPr>
                <w:sz w:val="14"/>
                <w:szCs w:val="14"/>
                <w:color w:val="auto"/>
              </w:rPr>
            </w:pPr>
          </w:p>
        </w:tc>
        <w:tc>
          <w:tcPr>
            <w:tcW w:w="60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w w:val="98"/>
              </w:rPr>
              <w:t>N</w:t>
            </w:r>
          </w:p>
        </w:tc>
        <w:tc>
          <w:tcPr>
            <w:tcW w:w="40" w:type="dxa"/>
            <w:vAlign w:val="bottom"/>
            <w:shd w:val="clear" w:color="auto" w:fill="CCCCCC"/>
          </w:tcPr>
          <w:p>
            <w:pPr>
              <w:spacing w:after="0"/>
              <w:rPr>
                <w:sz w:val="14"/>
                <w:szCs w:val="14"/>
                <w:color w:val="auto"/>
              </w:rPr>
            </w:pPr>
          </w:p>
        </w:tc>
        <w:tc>
          <w:tcPr>
            <w:tcW w:w="580" w:type="dxa"/>
            <w:vAlign w:val="bottom"/>
            <w:shd w:val="clear" w:color="auto" w:fill="CCCCCC"/>
          </w:tcPr>
          <w:p>
            <w:pPr>
              <w:jc w:val="center"/>
              <w:spacing w:after="0" w:line="157" w:lineRule="exact"/>
              <w:rPr>
                <w:sz w:val="20"/>
                <w:szCs w:val="20"/>
                <w:color w:val="auto"/>
              </w:rPr>
            </w:pPr>
            <w:r>
              <w:rPr>
                <w:rFonts w:ascii="Arial" w:cs="Arial" w:eastAsia="Arial" w:hAnsi="Arial"/>
                <w:sz w:val="14"/>
                <w:szCs w:val="14"/>
                <w:color w:val="auto"/>
                <w:w w:val="98"/>
              </w:rPr>
              <w:t>N</w:t>
            </w:r>
          </w:p>
        </w:tc>
        <w:tc>
          <w:tcPr>
            <w:tcW w:w="7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w w:val="84"/>
              </w:rPr>
              <w:t>-</w:t>
            </w:r>
          </w:p>
        </w:tc>
        <w:tc>
          <w:tcPr>
            <w:tcW w:w="54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CCCC"/>
          </w:tcPr>
          <w:p>
            <w:pPr>
              <w:jc w:val="center"/>
              <w:spacing w:after="0" w:line="157" w:lineRule="exact"/>
              <w:rPr>
                <w:sz w:val="20"/>
                <w:szCs w:val="20"/>
                <w:color w:val="auto"/>
              </w:rPr>
            </w:pPr>
            <w:r>
              <w:rPr>
                <w:rFonts w:ascii="Arial" w:cs="Arial" w:eastAsia="Arial" w:hAnsi="Arial"/>
                <w:sz w:val="14"/>
                <w:szCs w:val="14"/>
                <w:color w:val="auto"/>
              </w:rPr>
              <w:t>-</w:t>
            </w:r>
          </w:p>
        </w:tc>
      </w:tr>
      <w:tr>
        <w:trPr>
          <w:trHeight w:val="272"/>
        </w:trPr>
        <w:tc>
          <w:tcPr>
            <w:tcW w:w="1580" w:type="dxa"/>
            <w:vAlign w:val="bottom"/>
            <w:gridSpan w:val="2"/>
          </w:tcPr>
          <w:p>
            <w:pPr>
              <w:spacing w:after="0"/>
              <w:rPr>
                <w:sz w:val="20"/>
                <w:szCs w:val="20"/>
                <w:color w:val="auto"/>
              </w:rPr>
            </w:pPr>
            <w:r>
              <w:rPr>
                <w:rFonts w:ascii="Arial" w:cs="Arial" w:eastAsia="Arial" w:hAnsi="Arial"/>
                <w:sz w:val="14"/>
                <w:szCs w:val="14"/>
                <w:color w:val="auto"/>
              </w:rPr>
              <w:t>Mountain Springs</w:t>
            </w: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40"/>
        </w:trPr>
        <w:tc>
          <w:tcPr>
            <w:tcW w:w="1580" w:type="dxa"/>
            <w:vAlign w:val="bottom"/>
            <w:gridSpan w:val="2"/>
          </w:tcPr>
          <w:p>
            <w:pPr>
              <w:spacing w:after="0" w:line="140" w:lineRule="exact"/>
              <w:rPr>
                <w:sz w:val="20"/>
                <w:szCs w:val="20"/>
                <w:color w:val="auto"/>
              </w:rPr>
            </w:pPr>
            <w:r>
              <w:rPr>
                <w:rFonts w:ascii="Arial" w:cs="Arial" w:eastAsia="Arial" w:hAnsi="Arial"/>
                <w:sz w:val="14"/>
                <w:szCs w:val="14"/>
                <w:color w:val="auto"/>
              </w:rPr>
              <w:t>Beneficiation Plant/</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7"/>
        </w:trPr>
        <w:tc>
          <w:tcPr>
            <w:tcW w:w="1320" w:type="dxa"/>
            <w:vAlign w:val="bottom"/>
          </w:tcPr>
          <w:p>
            <w:pPr>
              <w:spacing w:after="0" w:line="157" w:lineRule="exact"/>
              <w:rPr>
                <w:sz w:val="20"/>
                <w:szCs w:val="20"/>
                <w:color w:val="auto"/>
              </w:rPr>
            </w:pPr>
            <w:r>
              <w:rPr>
                <w:rFonts w:ascii="Arial" w:cs="Arial" w:eastAsia="Arial" w:hAnsi="Arial"/>
                <w:sz w:val="14"/>
                <w:szCs w:val="14"/>
                <w:color w:val="auto"/>
              </w:rPr>
              <w:t>2601390</w:t>
            </w:r>
          </w:p>
        </w:tc>
        <w:tc>
          <w:tcPr>
            <w:tcW w:w="260" w:type="dxa"/>
            <w:vAlign w:val="bottom"/>
          </w:tcPr>
          <w:p>
            <w:pPr>
              <w:spacing w:after="0"/>
              <w:rPr>
                <w:sz w:val="13"/>
                <w:szCs w:val="13"/>
                <w:color w:val="auto"/>
              </w:rPr>
            </w:pPr>
          </w:p>
        </w:tc>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rPr>
              <w:t>1</w:t>
            </w:r>
          </w:p>
        </w:tc>
        <w:tc>
          <w:tcPr>
            <w:tcW w:w="500" w:type="dxa"/>
            <w:vAlign w:val="bottom"/>
            <w:gridSpan w:val="2"/>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9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50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$1,737</w:t>
            </w:r>
          </w:p>
        </w:tc>
        <w:tc>
          <w:tcPr>
            <w:tcW w:w="70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3"/>
                <w:szCs w:val="13"/>
                <w:color w:val="auto"/>
              </w:rPr>
            </w:pP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w w:val="98"/>
              </w:rPr>
              <w:t>N</w:t>
            </w:r>
          </w:p>
        </w:tc>
        <w:tc>
          <w:tcPr>
            <w:tcW w:w="40" w:type="dxa"/>
            <w:vAlign w:val="bottom"/>
          </w:tcPr>
          <w:p>
            <w:pPr>
              <w:spacing w:after="0"/>
              <w:rPr>
                <w:sz w:val="13"/>
                <w:szCs w:val="13"/>
                <w:color w:val="auto"/>
              </w:rPr>
            </w:pPr>
          </w:p>
        </w:tc>
        <w:tc>
          <w:tcPr>
            <w:tcW w:w="580" w:type="dxa"/>
            <w:vAlign w:val="bottom"/>
          </w:tcPr>
          <w:p>
            <w:pPr>
              <w:jc w:val="center"/>
              <w:spacing w:after="0" w:line="157" w:lineRule="exact"/>
              <w:rPr>
                <w:sz w:val="20"/>
                <w:szCs w:val="20"/>
                <w:color w:val="auto"/>
              </w:rPr>
            </w:pPr>
            <w:r>
              <w:rPr>
                <w:rFonts w:ascii="Arial" w:cs="Arial" w:eastAsia="Arial" w:hAnsi="Arial"/>
                <w:sz w:val="14"/>
                <w:szCs w:val="14"/>
                <w:color w:val="auto"/>
                <w:w w:val="98"/>
              </w:rPr>
              <w:t>N</w:t>
            </w:r>
          </w:p>
        </w:tc>
        <w:tc>
          <w:tcPr>
            <w:tcW w:w="7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4"/>
              </w:rPr>
              <w:t>-</w:t>
            </w:r>
          </w:p>
        </w:tc>
        <w:tc>
          <w:tcPr>
            <w:tcW w:w="54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w:t>
            </w:r>
          </w:p>
        </w:tc>
      </w:tr>
    </w:tbl>
    <w:p>
      <w:pPr>
        <w:spacing w:after="0" w:line="308" w:lineRule="exact"/>
        <w:rPr>
          <w:sz w:val="20"/>
          <w:szCs w:val="20"/>
          <w:color w:val="auto"/>
        </w:rPr>
      </w:pPr>
    </w:p>
    <w:p>
      <w:pPr>
        <w:jc w:val="both"/>
        <w:ind w:left="520" w:right="120" w:hanging="400"/>
        <w:spacing w:after="0" w:line="249" w:lineRule="auto"/>
        <w:tabs>
          <w:tab w:leader="none" w:pos="5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Amounts included are the total dollar value of proposed assessments received from MSHA on or before December 31, 2022, regardless of whether the assessment has been challenged or appealed, for citations and orders occurring during the full year 2022.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ectPr>
          <w:pgSz w:w="12240" w:h="15840" w:orient="portrait"/>
          <w:cols w:equalWidth="0" w:num="1">
            <w:col w:w="9360"/>
          </w:cols>
          <w:pgMar w:left="1440" w:top="1440" w:right="1440" w:bottom="1440" w:gutter="0" w:footer="0" w:header="0"/>
        </w:sectPr>
      </w:pPr>
    </w:p>
    <w:bookmarkStart w:id="118" w:name="page119"/>
    <w:bookmarkEnd w:id="118"/>
    <w:p>
      <w:pPr>
        <w:ind w:left="20"/>
        <w:spacing w:after="0"/>
        <w:rPr>
          <w:sz w:val="20"/>
          <w:szCs w:val="20"/>
          <w:color w:val="auto"/>
        </w:rPr>
      </w:pPr>
      <w:r>
        <w:rPr>
          <w:rFonts w:ascii="Arial" w:cs="Arial" w:eastAsia="Arial" w:hAnsi="Arial"/>
          <w:sz w:val="28"/>
          <w:szCs w:val="28"/>
          <w:b w:val="1"/>
          <w:bCs w:val="1"/>
          <w:color w:val="auto"/>
        </w:rPr>
        <w:t>Board of directors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Peter Coleman</w:t>
      </w:r>
    </w:p>
    <w:p>
      <w:pPr>
        <w:spacing w:after="0" w:line="13" w:lineRule="exact"/>
        <w:rPr>
          <w:sz w:val="20"/>
          <w:szCs w:val="20"/>
          <w:color w:val="auto"/>
        </w:rPr>
      </w:pPr>
    </w:p>
    <w:p>
      <w:pPr>
        <w:ind w:left="20" w:right="720"/>
        <w:spacing w:after="0" w:line="286" w:lineRule="auto"/>
        <w:rPr>
          <w:sz w:val="20"/>
          <w:szCs w:val="20"/>
          <w:color w:val="auto"/>
        </w:rPr>
      </w:pPr>
      <w:r>
        <w:rPr>
          <w:rFonts w:ascii="Arial" w:cs="Arial" w:eastAsia="Arial" w:hAnsi="Arial"/>
          <w:sz w:val="16"/>
          <w:szCs w:val="16"/>
          <w:color w:val="auto"/>
        </w:rPr>
        <w:t>Former CEO and Managing Director Woodside Petroleum</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Patrick de La Chevardière</w:t>
      </w:r>
    </w:p>
    <w:p>
      <w:pPr>
        <w:spacing w:after="0" w:line="13" w:lineRule="exact"/>
        <w:rPr>
          <w:sz w:val="20"/>
          <w:szCs w:val="20"/>
          <w:color w:val="auto"/>
        </w:rPr>
      </w:pPr>
    </w:p>
    <w:p>
      <w:pPr>
        <w:ind w:left="20" w:right="1140"/>
        <w:spacing w:after="0" w:line="286" w:lineRule="auto"/>
        <w:rPr>
          <w:sz w:val="20"/>
          <w:szCs w:val="20"/>
          <w:color w:val="auto"/>
        </w:rPr>
      </w:pPr>
      <w:r>
        <w:rPr>
          <w:rFonts w:ascii="Arial" w:cs="Arial" w:eastAsia="Arial" w:hAnsi="Arial"/>
          <w:sz w:val="16"/>
          <w:szCs w:val="16"/>
          <w:color w:val="auto"/>
        </w:rPr>
        <w:t>Former Chief Financial Officer Total S.A.</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Miguel Galuccio</w:t>
      </w:r>
    </w:p>
    <w:p>
      <w:pPr>
        <w:spacing w:after="0" w:line="13"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color w:val="auto"/>
        </w:rPr>
        <w:t>Chairman and Chief Executive Officer Vista</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Olivier Le Peuch</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SLB</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Samuel Leupold</w:t>
      </w:r>
    </w:p>
    <w:p>
      <w:pPr>
        <w:spacing w:after="0" w:line="13" w:lineRule="exact"/>
        <w:rPr>
          <w:sz w:val="20"/>
          <w:szCs w:val="20"/>
          <w:color w:val="auto"/>
        </w:rPr>
      </w:pPr>
    </w:p>
    <w:p>
      <w:pPr>
        <w:ind w:left="20" w:right="1080"/>
        <w:spacing w:after="0" w:line="321" w:lineRule="auto"/>
        <w:rPr>
          <w:sz w:val="20"/>
          <w:szCs w:val="20"/>
          <w:color w:val="auto"/>
        </w:rPr>
      </w:pPr>
      <w:r>
        <w:rPr>
          <w:rFonts w:ascii="Arial" w:cs="Arial" w:eastAsia="Arial" w:hAnsi="Arial"/>
          <w:sz w:val="15"/>
          <w:szCs w:val="15"/>
          <w:color w:val="auto"/>
        </w:rPr>
        <w:t>Former Chief Executive Officer Ørsted Wind Power A/S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Tatiana Mitrova</w:t>
      </w:r>
    </w:p>
    <w:p>
      <w:pPr>
        <w:spacing w:after="0" w:line="13" w:lineRule="exact"/>
        <w:rPr>
          <w:sz w:val="20"/>
          <w:szCs w:val="20"/>
          <w:color w:val="auto"/>
        </w:rPr>
      </w:pPr>
    </w:p>
    <w:p>
      <w:pPr>
        <w:ind w:left="20" w:right="200"/>
        <w:spacing w:after="0" w:line="286" w:lineRule="auto"/>
        <w:rPr>
          <w:sz w:val="20"/>
          <w:szCs w:val="20"/>
          <w:color w:val="auto"/>
        </w:rPr>
      </w:pPr>
      <w:r>
        <w:rPr>
          <w:rFonts w:ascii="Arial" w:cs="Arial" w:eastAsia="Arial" w:hAnsi="Arial"/>
          <w:sz w:val="16"/>
          <w:szCs w:val="16"/>
          <w:color w:val="auto"/>
        </w:rPr>
        <w:t>Fellow, SIPA Center on Global Energy Policy Columbia University</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Maria Moræus Hanssen</w:t>
      </w:r>
    </w:p>
    <w:p>
      <w:pPr>
        <w:spacing w:after="0" w:line="13"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Former Deputy Chief Executive Officer &amp; COO Wintershall Dea GmbH</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Vanitha Narayanan</w:t>
      </w:r>
    </w:p>
    <w:p>
      <w:pPr>
        <w:spacing w:after="0" w:line="13" w:lineRule="exact"/>
        <w:rPr>
          <w:sz w:val="20"/>
          <w:szCs w:val="20"/>
          <w:color w:val="auto"/>
        </w:rPr>
      </w:pPr>
    </w:p>
    <w:p>
      <w:pPr>
        <w:ind w:left="20" w:right="380"/>
        <w:spacing w:after="0" w:line="286" w:lineRule="auto"/>
        <w:rPr>
          <w:sz w:val="20"/>
          <w:szCs w:val="20"/>
          <w:color w:val="auto"/>
        </w:rPr>
      </w:pPr>
      <w:r>
        <w:rPr>
          <w:rFonts w:ascii="Arial" w:cs="Arial" w:eastAsia="Arial" w:hAnsi="Arial"/>
          <w:sz w:val="16"/>
          <w:szCs w:val="16"/>
          <w:color w:val="auto"/>
        </w:rPr>
        <w:t>Former Chairman and Managing Director IBM India</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Mark Papa</w:t>
      </w:r>
    </w:p>
    <w:p>
      <w:pPr>
        <w:spacing w:after="0" w:line="13" w:lineRule="exact"/>
        <w:rPr>
          <w:sz w:val="20"/>
          <w:szCs w:val="20"/>
          <w:color w:val="auto"/>
        </w:rPr>
      </w:pPr>
    </w:p>
    <w:p>
      <w:pPr>
        <w:ind w:left="20" w:right="80"/>
        <w:spacing w:after="0" w:line="321" w:lineRule="auto"/>
        <w:rPr>
          <w:sz w:val="20"/>
          <w:szCs w:val="20"/>
          <w:color w:val="auto"/>
        </w:rPr>
      </w:pPr>
      <w:r>
        <w:rPr>
          <w:rFonts w:ascii="Arial" w:cs="Arial" w:eastAsia="Arial" w:hAnsi="Arial"/>
          <w:sz w:val="15"/>
          <w:szCs w:val="15"/>
          <w:color w:val="auto"/>
        </w:rPr>
        <w:t>Former Chairman and Chief Executive Officer Centennial Resource Development, Inc</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Jeff Sheets</w:t>
      </w:r>
    </w:p>
    <w:p>
      <w:pPr>
        <w:spacing w:after="0" w:line="13" w:lineRule="exact"/>
        <w:rPr>
          <w:sz w:val="20"/>
          <w:szCs w:val="20"/>
          <w:color w:val="auto"/>
        </w:rPr>
      </w:pPr>
    </w:p>
    <w:p>
      <w:pPr>
        <w:ind w:left="20" w:right="1140"/>
        <w:spacing w:after="0" w:line="286" w:lineRule="auto"/>
        <w:rPr>
          <w:sz w:val="20"/>
          <w:szCs w:val="20"/>
          <w:color w:val="auto"/>
        </w:rPr>
      </w:pPr>
      <w:r>
        <w:rPr>
          <w:rFonts w:ascii="Arial" w:cs="Arial" w:eastAsia="Arial" w:hAnsi="Arial"/>
          <w:sz w:val="16"/>
          <w:szCs w:val="16"/>
          <w:color w:val="auto"/>
        </w:rPr>
        <w:t>Former Chief Financial Officer ConocoPhillips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Ulrich Spiesshofer</w:t>
      </w:r>
    </w:p>
    <w:p>
      <w:pPr>
        <w:spacing w:after="0" w:line="13" w:lineRule="exact"/>
        <w:rPr>
          <w:sz w:val="20"/>
          <w:szCs w:val="20"/>
          <w:color w:val="auto"/>
        </w:rPr>
      </w:pPr>
    </w:p>
    <w:p>
      <w:pPr>
        <w:ind w:left="20" w:right="1360"/>
        <w:spacing w:after="0" w:line="286" w:lineRule="auto"/>
        <w:rPr>
          <w:sz w:val="20"/>
          <w:szCs w:val="20"/>
          <w:color w:val="auto"/>
        </w:rPr>
      </w:pPr>
      <w:r>
        <w:rPr>
          <w:rFonts w:ascii="Arial" w:cs="Arial" w:eastAsia="Arial" w:hAnsi="Arial"/>
          <w:sz w:val="16"/>
          <w:szCs w:val="16"/>
          <w:color w:val="auto"/>
        </w:rPr>
        <w:t>Former President and CEO ABB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auto"/>
        </w:rPr>
        <w:t>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Olivier Le Peuch</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Khaled Al Mogharbel</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Geographies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Stéphane Biguet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Abdellah Merad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Core Services &amp; Equipment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Katharina Beumelburg</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Chief Strategy and Sustainability Officer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Demosthenis Pafitis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Technology Officer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Dianne Ralston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and Secretary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Carmen Rando Bejar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People Officer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Gavin Rennick</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President, New Energy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Rajeev Sonthalia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President, Digital &amp; Integration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Kevin Fyfe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Treasurer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Howard Guild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Vijay Kasibhatla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Director, Mergers and Acquisitions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Ugo Prechner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Controller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auto"/>
        </w:rPr>
        <w:t>Corporate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information</w:t>
      </w:r>
    </w:p>
    <w:p>
      <w:pPr>
        <w:spacing w:after="0" w:line="16"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SLB’s common stock is listed on the New York Stock Exchange, trading symbol “SLB,” and on the Euronext Paris. For quarterly earnings dividend announcements and other information, please call +1 (713) 375-3535 or e-mail investor-relations@slb.com. You may also visit investorcenter.slb.com.</w:t>
      </w:r>
    </w:p>
    <w:p>
      <w:pPr>
        <w:spacing w:after="0" w:line="80"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b w:val="1"/>
          <w:bCs w:val="1"/>
          <w:color w:val="auto"/>
        </w:rPr>
        <w:t xml:space="preserve">Transfer agent and registrar </w:t>
      </w:r>
      <w:r>
        <w:rPr>
          <w:rFonts w:ascii="Arial" w:cs="Arial" w:eastAsia="Arial" w:hAnsi="Arial"/>
          <w:sz w:val="16"/>
          <w:szCs w:val="16"/>
          <w:color w:val="auto"/>
        </w:rPr>
        <w:t>Computershare Trust Company, N.A. P.O. Box 43006</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Providence, RI 02940-3006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 (877) 745-9341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 (781) 575-2707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E-mail alerts</w:t>
      </w:r>
    </w:p>
    <w:p>
      <w:pPr>
        <w:spacing w:after="0" w:line="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receive SLB press releases and daily news, sign up at investorcenter.slb.com.</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10-K</w:t>
      </w:r>
    </w:p>
    <w:p>
      <w:pPr>
        <w:spacing w:after="0" w:line="1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SLB 2022 Annual Report on Form 10-K filed with the Securities and Exchange Commission is available without charge. To obtain a copy, please call +1 (713) 375-3535, or e-mail investor-relations@slb.com. You may also visit investorcenter.slb.com.</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Duplicate mailings</w:t>
      </w:r>
    </w:p>
    <w:p>
      <w:pPr>
        <w:spacing w:after="0" w:line="16" w:lineRule="exact"/>
        <w:rPr>
          <w:sz w:val="20"/>
          <w:szCs w:val="20"/>
          <w:color w:val="auto"/>
        </w:rPr>
      </w:pPr>
    </w:p>
    <w:p>
      <w:pPr>
        <w:jc w:val="both"/>
        <w:ind w:right="40"/>
        <w:spacing w:after="0" w:line="278" w:lineRule="auto"/>
        <w:rPr>
          <w:sz w:val="20"/>
          <w:szCs w:val="20"/>
          <w:color w:val="auto"/>
        </w:rPr>
      </w:pPr>
      <w:r>
        <w:rPr>
          <w:rFonts w:ascii="Arial" w:cs="Arial" w:eastAsia="Arial" w:hAnsi="Arial"/>
          <w:sz w:val="15"/>
          <w:szCs w:val="15"/>
          <w:color w:val="auto"/>
        </w:rPr>
        <w:t>When a shareholder owns shares in more than one account, or when shareholders live at the same address, duplicate mailings may result.</w:t>
      </w:r>
    </w:p>
    <w:p>
      <w:pPr>
        <w:spacing w:after="0" w:line="1"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If you receive duplicate reports, you can help support our sustainability goals and eliminate added expense by requesting that only one copy be sent. To eliminate duplicate mailings, contact Computershare at the address above.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 in SLB</w:t>
      </w:r>
    </w:p>
    <w:p>
      <w:pPr>
        <w:spacing w:after="0" w:line="1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line with our commitment to contribute to the UN Sustainable Development Goals, SLB has three sustainability focus areas: climate action, people, and nature. Please see the latest edition of the SLB Sustainability Report at www.slb.com/sustainability.</w:t>
      </w:r>
    </w:p>
    <w:p>
      <w:pPr>
        <w:spacing w:after="0" w:line="200" w:lineRule="exact"/>
        <w:rPr>
          <w:sz w:val="20"/>
          <w:szCs w:val="20"/>
          <w:color w:val="auto"/>
        </w:rPr>
      </w:pPr>
    </w:p>
    <w:p>
      <w:pPr>
        <w:sectPr>
          <w:pgSz w:w="12060" w:h="15660" w:orient="portrait"/>
          <w:cols w:equalWidth="0" w:num="3">
            <w:col w:w="3240" w:space="340"/>
            <w:col w:w="3060" w:space="720"/>
            <w:col w:w="3220"/>
          </w:cols>
          <w:pgMar w:left="800" w:top="837"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Forward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looking statements</w:t>
      </w:r>
    </w:p>
    <w:p>
      <w:pPr>
        <w:spacing w:after="0" w:line="9" w:lineRule="exact"/>
        <w:rPr>
          <w:sz w:val="20"/>
          <w:szCs w:val="20"/>
          <w:color w:val="auto"/>
        </w:rPr>
      </w:pPr>
    </w:p>
    <w:p>
      <w:pPr>
        <w:ind w:right="40"/>
        <w:spacing w:after="0" w:line="272" w:lineRule="auto"/>
        <w:rPr>
          <w:sz w:val="20"/>
          <w:szCs w:val="20"/>
          <w:color w:val="auto"/>
        </w:rPr>
      </w:pPr>
      <w:r>
        <w:rPr>
          <w:rFonts w:ascii="Arial" w:cs="Arial" w:eastAsia="Arial" w:hAnsi="Arial"/>
          <w:sz w:val="13"/>
          <w:szCs w:val="13"/>
          <w:color w:val="auto"/>
        </w:rPr>
        <w:t>This Annual Report includes forward-looking statements within the meaning of the Private Securities Litigation Reform Act of 1995. All statements other than statements of historical or current facts made in this Annual Report are forward-looking. We use words such as anticipates, believes, expects, expected, estimated, future, intends, and similar expressions to identify forward-looking statements. Forward-looking statements reflect management’s current expectations and are inherently uncertain, and actual results or outcomes could differ materially for a variety of reasons.</w:t>
      </w:r>
    </w:p>
    <w:p>
      <w:pPr>
        <w:spacing w:after="0" w:line="6"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Risks and uncertainties that could cause our actual results to differ significantly from management’s expectations are described in our 2022 Annual Report on Form 10-K, included herein. Forward-looking and other statements in this report regarding our environmental, social and other sustainability plans and goals are not an indication that these statements are necessarily material to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in this report speak only as of February 23, 2023, and SLB disclaims any intention or obligation to update publicly or revise such statements, whether as a result of new information, future events or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  Mark of SLB or SLB companies.</w:t>
      </w:r>
    </w:p>
    <w:p>
      <w:pPr>
        <w:spacing w:after="0" w:line="9" w:lineRule="exact"/>
        <w:rPr>
          <w:sz w:val="20"/>
          <w:szCs w:val="20"/>
          <w:color w:val="auto"/>
        </w:rPr>
      </w:pPr>
    </w:p>
    <w:p>
      <w:pPr>
        <w:ind w:left="120" w:right="160"/>
        <w:spacing w:after="0" w:line="276" w:lineRule="auto"/>
        <w:rPr>
          <w:sz w:val="20"/>
          <w:szCs w:val="20"/>
          <w:color w:val="auto"/>
        </w:rPr>
      </w:pPr>
      <w:r>
        <w:rPr>
          <w:rFonts w:ascii="Arial" w:cs="Arial" w:eastAsia="Arial" w:hAnsi="Arial"/>
          <w:sz w:val="14"/>
          <w:szCs w:val="14"/>
          <w:color w:val="auto"/>
        </w:rPr>
        <w:t>Other company, product, and service names are the properties of their respective owners.</w:t>
      </w:r>
    </w:p>
    <w:p>
      <w:pPr>
        <w:ind w:left="120" w:hanging="116"/>
        <w:spacing w:after="0" w:line="188" w:lineRule="auto"/>
        <w:tabs>
          <w:tab w:leader="none" w:pos="120" w:val="left"/>
        </w:tabs>
        <w:numPr>
          <w:ilvl w:val="0"/>
          <w:numId w:val="84"/>
        </w:numPr>
        <w:rPr>
          <w:rFonts w:ascii="Arial" w:cs="Arial" w:eastAsia="Arial" w:hAnsi="Arial"/>
          <w:sz w:val="28"/>
          <w:szCs w:val="28"/>
          <w:color w:val="auto"/>
          <w:vertAlign w:val="superscript"/>
        </w:rPr>
      </w:pPr>
      <w:r>
        <w:rPr>
          <w:rFonts w:ascii="Arial" w:cs="Arial" w:eastAsia="Arial" w:hAnsi="Arial"/>
          <w:sz w:val="14"/>
          <w:szCs w:val="14"/>
          <w:color w:val="auto"/>
        </w:rPr>
        <w:t>This Annual Report includes references to non-</w:t>
      </w:r>
    </w:p>
    <w:p>
      <w:pPr>
        <w:ind w:left="120"/>
        <w:spacing w:after="0"/>
        <w:rPr>
          <w:rFonts w:ascii="Arial" w:cs="Arial" w:eastAsia="Arial" w:hAnsi="Arial"/>
          <w:sz w:val="28"/>
          <w:szCs w:val="28"/>
          <w:color w:val="auto"/>
          <w:vertAlign w:val="superscript"/>
        </w:rPr>
      </w:pPr>
      <w:r>
        <w:rPr>
          <w:rFonts w:ascii="Arial" w:cs="Arial" w:eastAsia="Arial" w:hAnsi="Arial"/>
          <w:sz w:val="14"/>
          <w:szCs w:val="14"/>
          <w:color w:val="auto"/>
        </w:rPr>
        <w:t>GAAP financial information, including adjusted</w:t>
      </w:r>
    </w:p>
    <w:p>
      <w:pPr>
        <w:spacing w:after="0" w:line="8" w:lineRule="exact"/>
        <w:rPr>
          <w:rFonts w:ascii="Arial" w:cs="Arial" w:eastAsia="Arial" w:hAnsi="Arial"/>
          <w:sz w:val="28"/>
          <w:szCs w:val="28"/>
          <w:color w:val="auto"/>
          <w:vertAlign w:val="superscript"/>
        </w:rPr>
      </w:pPr>
    </w:p>
    <w:p>
      <w:pPr>
        <w:ind w:left="120" w:right="200"/>
        <w:spacing w:after="0" w:line="272" w:lineRule="auto"/>
        <w:rPr>
          <w:rFonts w:ascii="Arial" w:cs="Arial" w:eastAsia="Arial" w:hAnsi="Arial"/>
          <w:sz w:val="28"/>
          <w:szCs w:val="28"/>
          <w:color w:val="auto"/>
          <w:vertAlign w:val="superscript"/>
        </w:rPr>
      </w:pPr>
      <w:r>
        <w:rPr>
          <w:rFonts w:ascii="Arial" w:cs="Arial" w:eastAsia="Arial" w:hAnsi="Arial"/>
          <w:sz w:val="13"/>
          <w:szCs w:val="13"/>
          <w:color w:val="auto"/>
        </w:rPr>
        <w:t>EBITDA, earnings per share excluding charges and credits, and net debt. For a reconciliation of adjusted EBITDA to income before taxes on a</w:t>
      </w:r>
    </w:p>
    <w:p>
      <w:pPr>
        <w:spacing w:after="0" w:line="1" w:lineRule="exact"/>
        <w:rPr>
          <w:rFonts w:ascii="Arial" w:cs="Arial" w:eastAsia="Arial" w:hAnsi="Arial"/>
          <w:sz w:val="28"/>
          <w:szCs w:val="28"/>
          <w:color w:val="auto"/>
          <w:vertAlign w:val="superscript"/>
        </w:rPr>
      </w:pPr>
    </w:p>
    <w:p>
      <w:pPr>
        <w:ind w:left="120" w:right="60"/>
        <w:spacing w:after="0" w:line="272" w:lineRule="auto"/>
        <w:rPr>
          <w:rFonts w:ascii="Arial" w:cs="Arial" w:eastAsia="Arial" w:hAnsi="Arial"/>
          <w:sz w:val="28"/>
          <w:szCs w:val="28"/>
          <w:color w:val="auto"/>
          <w:vertAlign w:val="superscript"/>
        </w:rPr>
      </w:pPr>
      <w:r>
        <w:rPr>
          <w:rFonts w:ascii="Arial" w:cs="Arial" w:eastAsia="Arial" w:hAnsi="Arial"/>
          <w:sz w:val="13"/>
          <w:szCs w:val="13"/>
          <w:color w:val="auto"/>
        </w:rPr>
        <w:t>GAAP basis, a reconciliation of earnings per share excluding charges and credits to earnings per share on a GAAP basis, and the calculation of net debt, please see our fourth-quarter and full-year</w:t>
      </w:r>
    </w:p>
    <w:p>
      <w:pPr>
        <w:spacing w:after="0" w:line="2" w:lineRule="exact"/>
        <w:rPr>
          <w:rFonts w:ascii="Arial" w:cs="Arial" w:eastAsia="Arial" w:hAnsi="Arial"/>
          <w:sz w:val="28"/>
          <w:szCs w:val="28"/>
          <w:color w:val="auto"/>
          <w:vertAlign w:val="superscript"/>
        </w:rPr>
      </w:pPr>
    </w:p>
    <w:p>
      <w:pPr>
        <w:ind w:left="120" w:right="40"/>
        <w:spacing w:after="0" w:line="253" w:lineRule="auto"/>
        <w:rPr>
          <w:rFonts w:ascii="Arial" w:cs="Arial" w:eastAsia="Arial" w:hAnsi="Arial"/>
          <w:sz w:val="28"/>
          <w:szCs w:val="28"/>
          <w:color w:val="auto"/>
          <w:vertAlign w:val="superscript"/>
        </w:rPr>
      </w:pPr>
      <w:r>
        <w:rPr>
          <w:rFonts w:ascii="Arial" w:cs="Arial" w:eastAsia="Arial" w:hAnsi="Arial"/>
          <w:sz w:val="14"/>
          <w:szCs w:val="14"/>
          <w:color w:val="auto"/>
        </w:rPr>
        <w:t>2022 results earnings press release at https:// investorcenter.slb.com/news-releases/news-release-details/slb-announces-fourth-quarter-and-full-year-2022-results-0. The foregoing non-</w:t>
      </w:r>
    </w:p>
    <w:p>
      <w:pPr>
        <w:ind w:left="120" w:right="20"/>
        <w:spacing w:after="0" w:line="260" w:lineRule="auto"/>
        <w:rPr>
          <w:rFonts w:ascii="Arial" w:cs="Arial" w:eastAsia="Arial" w:hAnsi="Arial"/>
          <w:sz w:val="28"/>
          <w:szCs w:val="28"/>
          <w:color w:val="auto"/>
          <w:vertAlign w:val="superscript"/>
        </w:rPr>
      </w:pPr>
      <w:r>
        <w:rPr>
          <w:rFonts w:ascii="Arial" w:cs="Arial" w:eastAsia="Arial" w:hAnsi="Arial"/>
          <w:sz w:val="14"/>
          <w:szCs w:val="14"/>
          <w:color w:val="auto"/>
        </w:rPr>
        <w:t>GAAP financial measures should be considered in addition to, not as a substitute for or superior to, other measures of financial performance prepared in accordance with GAAP.</w:t>
      </w:r>
    </w:p>
    <w:p>
      <w:pPr>
        <w:sectPr>
          <w:pgSz w:w="12060" w:h="15660" w:orient="portrait"/>
          <w:cols w:equalWidth="0" w:num="3">
            <w:col w:w="3180" w:space="400"/>
            <w:col w:w="3160" w:space="620"/>
            <w:col w:w="3220"/>
          </w:cols>
          <w:pgMar w:left="800" w:top="837" w:right="680"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31"/>
          <w:szCs w:val="3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6">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t>Schlumberger Limited</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FFFFFF"/>
        </w:rPr>
        <w:t>42 Rue Saint-Dominique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75007 Paris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France</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FFFFFF"/>
        </w:rPr>
        <w:t>5599 San Felipe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Houston, Texas 77056</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United States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FFFFFF"/>
        </w:rPr>
        <w:t>62 Buckingham Gate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London SW1E 6AJ</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United Kingdom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FFFFFF"/>
        </w:rPr>
        <w:t>Parkstraat 83</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2514 JG The Hague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The Netherlands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FFFFFF"/>
        </w:rPr>
        <w:t>slb.com</w:t>
      </w:r>
    </w:p>
    <w:sectPr>
      <w:pgSz w:w="12060" w:h="15660" w:orient="portrait"/>
      <w:cols w:equalWidth="0" w:num="1">
        <w:col w:w="9980"/>
      </w:cols>
      <w:pgMar w:left="640" w:top="6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2"/>
    </w:lvl>
  </w:abstractNum>
  <w:abstractNum w:abstractNumId="1">
    <w:nsid w:val="2A487CB0"/>
    <w:multiLevelType w:val="hybridMultilevel"/>
    <w:lvl w:ilvl="0">
      <w:lvlJc w:val="left"/>
      <w:lvlText w:val="%1"/>
      <w:numFmt w:val="decimal"/>
      <w:start w:val="4"/>
    </w:lvl>
  </w:abstractNum>
  <w:abstractNum w:abstractNumId="2">
    <w:nsid w:val="1D4ED43B"/>
    <w:multiLevelType w:val="hybridMultilevel"/>
    <w:lvl w:ilvl="0">
      <w:lvlJc w:val="left"/>
      <w:lvlText w:val="%1"/>
      <w:numFmt w:val="decimal"/>
      <w:start w:val="5"/>
    </w:lvl>
  </w:abstractNum>
  <w:abstractNum w:abstractNumId="3">
    <w:nsid w:val="725A06FB"/>
    <w:multiLevelType w:val="hybridMultilevel"/>
    <w:lvl w:ilvl="0">
      <w:lvlJc w:val="left"/>
      <w:lvlText w:val="%1"/>
      <w:numFmt w:val="decimal"/>
      <w:start w:val="7"/>
    </w:lvl>
  </w:abstractNum>
  <w:abstractNum w:abstractNumId="4">
    <w:nsid w:val="2CD89A32"/>
    <w:multiLevelType w:val="hybridMultilevel"/>
    <w:lvl w:ilvl="0">
      <w:lvlJc w:val="left"/>
      <w:lvlText w:val="%1"/>
      <w:numFmt w:val="decimal"/>
      <w:start w:val="10"/>
    </w:lvl>
  </w:abstractNum>
  <w:abstractNum w:abstractNumId="5">
    <w:nsid w:val="57E4CCAF"/>
    <w:multiLevelType w:val="hybridMultilevel"/>
    <w:lvl w:ilvl="0">
      <w:lvlJc w:val="left"/>
      <w:lvlText w:val="%1"/>
      <w:numFmt w:val="decimal"/>
      <w:start w:val="13"/>
    </w:lvl>
  </w:abstractNum>
  <w:abstractNum w:abstractNumId="6">
    <w:nsid w:val="7A6D8D3C"/>
    <w:multiLevelType w:val="hybridMultilevel"/>
    <w:lvl w:ilvl="0">
      <w:lvlJc w:val="left"/>
      <w:lvlText w:val="%1"/>
      <w:numFmt w:val="decimal"/>
      <w:start w:val="16"/>
    </w:lvl>
  </w:abstractNum>
  <w:abstractNum w:abstractNumId="7">
    <w:nsid w:val="4B588F54"/>
    <w:multiLevelType w:val="hybridMultilevel"/>
    <w:lvl w:ilvl="0">
      <w:lvlJc w:val="left"/>
      <w:lvlText w:val="%1"/>
      <w:numFmt w:val="decimal"/>
      <w:start w:val="19"/>
    </w:lvl>
  </w:abstractNum>
  <w:abstractNum w:abstractNumId="8">
    <w:nsid w:val="542289EC"/>
    <w:multiLevelType w:val="hybridMultilevel"/>
    <w:lvl w:ilvl="0">
      <w:lvlJc w:val="left"/>
      <w:lvlText w:val="%1"/>
      <w:numFmt w:val="decimal"/>
      <w:start w:val="21"/>
    </w:lvl>
  </w:abstractNum>
  <w:abstractNum w:abstractNumId="9">
    <w:nsid w:val="6DE91B18"/>
    <w:multiLevelType w:val="hybridMultilevel"/>
    <w:lvl w:ilvl="0">
      <w:lvlJc w:val="left"/>
      <w:lvlText w:val="%1"/>
      <w:numFmt w:val="decimal"/>
      <w:start w:val="2"/>
    </w:lvl>
  </w:abstractNum>
  <w:abstractNum w:abstractNumId="10">
    <w:nsid w:val="38437FDB"/>
    <w:multiLevelType w:val="hybridMultilevel"/>
    <w:lvl w:ilvl="0">
      <w:lvlJc w:val="left"/>
      <w:lvlText w:val="%1"/>
      <w:numFmt w:val="decimal"/>
      <w:start w:val="4"/>
    </w:lvl>
  </w:abstractNum>
  <w:abstractNum w:abstractNumId="11">
    <w:nsid w:val="7644A45C"/>
    <w:multiLevelType w:val="hybridMultilevel"/>
    <w:lvl w:ilvl="0">
      <w:lvlJc w:val="left"/>
      <w:lvlText w:val="%1"/>
      <w:numFmt w:val="decimal"/>
      <w:start w:val="6"/>
    </w:lvl>
  </w:abstractNum>
  <w:abstractNum w:abstractNumId="12">
    <w:nsid w:val="32FFF902"/>
    <w:multiLevelType w:val="hybridMultilevel"/>
    <w:lvl w:ilvl="0">
      <w:lvlJc w:val="left"/>
      <w:lvlText w:val="%1"/>
      <w:numFmt w:val="decimal"/>
      <w:start w:val="8"/>
    </w:lvl>
  </w:abstractNum>
  <w:abstractNum w:abstractNumId="13">
    <w:nsid w:val="684A481A"/>
    <w:multiLevelType w:val="hybridMultilevel"/>
    <w:lvl w:ilvl="0">
      <w:lvlJc w:val="left"/>
      <w:lvlText w:val="%1"/>
      <w:numFmt w:val="decimal"/>
      <w:start w:val="10"/>
    </w:lvl>
  </w:abstractNum>
  <w:abstractNum w:abstractNumId="14">
    <w:nsid w:val="579478FE"/>
    <w:multiLevelType w:val="hybridMultilevel"/>
    <w:lvl w:ilvl="0">
      <w:lvlJc w:val="left"/>
      <w:lvlText w:val="%1"/>
      <w:numFmt w:val="decimal"/>
      <w:start w:val="12"/>
    </w:lvl>
  </w:abstractNum>
  <w:abstractNum w:abstractNumId="15">
    <w:nsid w:val="749ABB43"/>
    <w:multiLevelType w:val="hybridMultilevel"/>
    <w:lvl w:ilvl="0">
      <w:lvlJc w:val="left"/>
      <w:lvlText w:val="%1"/>
      <w:numFmt w:val="decimal"/>
      <w:start w:val="14"/>
    </w:lvl>
  </w:abstractNum>
  <w:abstractNum w:abstractNumId="16">
    <w:nsid w:val="3DC240FB"/>
    <w:multiLevelType w:val="hybridMultilevel"/>
    <w:lvl w:ilvl="0">
      <w:lvlJc w:val="left"/>
      <w:lvlText w:val="%1"/>
      <w:numFmt w:val="decimal"/>
      <w:start w:val="16"/>
    </w:lvl>
  </w:abstractNum>
  <w:abstractNum w:abstractNumId="17">
    <w:nsid w:val="1BA026FA"/>
    <w:multiLevelType w:val="hybridMultilevel"/>
    <w:lvl w:ilvl="0">
      <w:lvlJc w:val="left"/>
      <w:lvlText w:val="%1"/>
      <w:numFmt w:val="decimal"/>
      <w:start w:val="18"/>
    </w:lvl>
  </w:abstractNum>
  <w:abstractNum w:abstractNumId="18">
    <w:nsid w:val="79A1DEAA"/>
    <w:multiLevelType w:val="hybridMultilevel"/>
    <w:lvl w:ilvl="0">
      <w:lvlJc w:val="left"/>
      <w:lvlText w:val="%1"/>
      <w:numFmt w:val="decimal"/>
      <w:start w:val="20"/>
    </w:lvl>
  </w:abstractNum>
  <w:abstractNum w:abstractNumId="19">
    <w:nsid w:val="75C6C33A"/>
    <w:multiLevelType w:val="hybridMultilevel"/>
    <w:lvl w:ilvl="0">
      <w:lvlJc w:val="left"/>
      <w:lvlText w:val="%1"/>
      <w:numFmt w:val="decimal"/>
      <w:start w:val="22"/>
    </w:lvl>
  </w:abstractNum>
  <w:abstractNum w:abstractNumId="20">
    <w:nsid w:val="12E685FB"/>
    <w:multiLevelType w:val="hybridMultilevel"/>
    <w:lvl w:ilvl="0">
      <w:lvlJc w:val="left"/>
      <w:lvlText w:val="Í"/>
      <w:numFmt w:val="bullet"/>
      <w:start w:val="1"/>
    </w:lvl>
  </w:abstractNum>
  <w:abstractNum w:abstractNumId="21">
    <w:nsid w:val="70C6A529"/>
    <w:multiLevelType w:val="hybridMultilevel"/>
    <w:lvl w:ilvl="0">
      <w:lvlJc w:val="left"/>
      <w:lvlText w:val="\lquote "/>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2"/>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2"/>
    </w:lvl>
  </w:abstractNum>
  <w:abstractNum w:abstractNumId="45">
    <w:nsid w:val="2F305DEF"/>
    <w:multiLevelType w:val="hybridMultilevel"/>
    <w:lvl w:ilvl="0">
      <w:lvlJc w:val="left"/>
      <w:lvlText w:val="%1."/>
      <w:numFmt w:val="decimal"/>
      <w:start w:val="3"/>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lvl w:ilvl="1">
      <w:lvlJc w:val="left"/>
      <w:lvlText w:val="-"/>
      <w:numFmt w:val="bullet"/>
      <w:start w:val="1"/>
    </w:lvl>
  </w:abstractNum>
  <w:abstractNum w:abstractNumId="52">
    <w:nsid w:val="100F8FCA"/>
    <w:multiLevelType w:val="hybridMultilevel"/>
    <w:lvl w:ilvl="0">
      <w:lvlJc w:val="left"/>
      <w:lvlText w:val="•"/>
      <w:numFmt w:val="bullet"/>
      <w:start w:val="1"/>
    </w:lvl>
    <w:lvl w:ilvl="1">
      <w:lvlJc w:val="left"/>
      <w:lvlText w:val="-"/>
      <w:numFmt w:val="bullet"/>
      <w:start w:val="1"/>
    </w:lvl>
  </w:abstractNum>
  <w:abstractNum w:abstractNumId="53">
    <w:nsid w:val="6590700B"/>
    <w:multiLevelType w:val="hybridMultilevel"/>
    <w:lvl w:ilvl="0">
      <w:lvlJc w:val="left"/>
      <w:lvlText w:val="•"/>
      <w:numFmt w:val="bullet"/>
      <w:start w:val="1"/>
    </w:lvl>
    <w:lvl w:ilvl="1">
      <w:lvlJc w:val="left"/>
      <w:lvlText w:val="-"/>
      <w:numFmt w:val="bullet"/>
      <w:start w:val="1"/>
    </w:lvl>
  </w:abstractNum>
  <w:abstractNum w:abstractNumId="54">
    <w:nsid w:val="15014ACB"/>
    <w:multiLevelType w:val="hybridMultilevel"/>
    <w:lvl w:ilvl="0">
      <w:lvlJc w:val="left"/>
      <w:lvlText w:val="•"/>
      <w:numFmt w:val="bullet"/>
      <w:start w:val="1"/>
    </w:lvl>
    <w:lvl w:ilvl="1">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4"/>
    </w:lvl>
  </w:abstractNum>
  <w:abstractNum w:abstractNumId="57">
    <w:nsid w:val="799D0247"/>
    <w:multiLevelType w:val="hybridMultilevel"/>
    <w:lvl w:ilvl="0">
      <w:lvlJc w:val="left"/>
      <w:lvlText w:val="%1."/>
      <w:numFmt w:val="decimal"/>
      <w:start w:val="6"/>
    </w:lvl>
  </w:abstractNum>
  <w:abstractNum w:abstractNumId="58">
    <w:nsid w:val="6B94764"/>
    <w:multiLevelType w:val="hybridMultilevel"/>
    <w:lvl w:ilvl="0">
      <w:lvlJc w:val="left"/>
      <w:lvlText w:val="%1."/>
      <w:numFmt w:val="decimal"/>
      <w:start w:val="7"/>
    </w:lvl>
  </w:abstractNum>
  <w:abstractNum w:abstractNumId="59">
    <w:nsid w:val="42C296BD"/>
    <w:multiLevelType w:val="hybridMultilevel"/>
    <w:lvl w:ilvl="0">
      <w:lvlJc w:val="left"/>
      <w:lvlText w:val="%1."/>
      <w:numFmt w:val="decimal"/>
      <w:start w:val="8"/>
    </w:lvl>
  </w:abstractNum>
  <w:abstractNum w:abstractNumId="60">
    <w:nsid w:val="168E121F"/>
    <w:multiLevelType w:val="hybridMultilevel"/>
    <w:lvl w:ilvl="0">
      <w:lvlJc w:val="left"/>
      <w:lvlText w:val="%1."/>
      <w:numFmt w:val="decimal"/>
      <w:start w:val="9"/>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1."/>
      <w:numFmt w:val="decimal"/>
      <w:start w:val="10"/>
    </w:lvl>
  </w:abstractNum>
  <w:abstractNum w:abstractNumId="64">
    <w:nsid w:val="540A471C"/>
    <w:multiLevelType w:val="hybridMultilevel"/>
    <w:lvl w:ilvl="0">
      <w:lvlJc w:val="left"/>
      <w:lvlText w:val="%1."/>
      <w:numFmt w:val="decimal"/>
      <w:start w:val="11"/>
    </w:lvl>
  </w:abstractNum>
  <w:abstractNum w:abstractNumId="65">
    <w:nsid w:val="7BD3EE7B"/>
    <w:multiLevelType w:val="hybridMultilevel"/>
    <w:lvl w:ilvl="0">
      <w:lvlJc w:val="left"/>
      <w:lvlText w:val="%1."/>
      <w:numFmt w:val="decimal"/>
      <w:start w:val="12"/>
    </w:lvl>
  </w:abstractNum>
  <w:abstractNum w:abstractNumId="66">
    <w:nsid w:val="51D9C564"/>
    <w:multiLevelType w:val="hybridMultilevel"/>
    <w:lvl w:ilvl="0">
      <w:lvlJc w:val="left"/>
      <w:lvlText w:val="%1."/>
      <w:numFmt w:val="decimal"/>
      <w:start w:val="13"/>
    </w:lvl>
  </w:abstractNum>
  <w:abstractNum w:abstractNumId="67">
    <w:nsid w:val="613EFDC5"/>
    <w:multiLevelType w:val="hybridMultilevel"/>
    <w:lvl w:ilvl="0">
      <w:lvlJc w:val="left"/>
      <w:lvlText w:val="%1."/>
      <w:numFmt w:val="decimal"/>
      <w:start w:val="14"/>
    </w:lvl>
  </w:abstractNum>
  <w:abstractNum w:abstractNumId="68">
    <w:nsid w:val="BF72B14"/>
    <w:multiLevelType w:val="hybridMultilevel"/>
    <w:lvl w:ilvl="0">
      <w:lvlJc w:val="left"/>
      <w:lvlText w:val="%1."/>
      <w:numFmt w:val="decimal"/>
      <w:start w:val="15"/>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decimal"/>
      <w:start w:val="17"/>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1)"/>
      <w:numFmt w:val="lowerRoman"/>
      <w:start w:val="3"/>
    </w:lvl>
  </w:abstractNum>
  <w:abstractNum w:abstractNumId="76">
    <w:nsid w:val="4962813B"/>
    <w:multiLevelType w:val="hybridMultilevel"/>
    <w:lvl w:ilvl="0">
      <w:lvlJc w:val="left"/>
      <w:lvlText w:val="%1"/>
      <w:numFmt w:val="lowerLetter"/>
      <w:start w:val="1"/>
    </w:lvl>
    <w:lvl w:ilvl="1">
      <w:lvlJc w:val="left"/>
      <w:lvlText w:val="(%2)"/>
      <w:numFmt w:val="decimal"/>
      <w:start w:val="2"/>
    </w:lvl>
  </w:abstractNum>
  <w:abstractNum w:abstractNumId="77">
    <w:nsid w:val="60B6DF70"/>
    <w:multiLevelType w:val="hybridMultilevel"/>
    <w:lvl w:ilvl="0">
      <w:lvlJc w:val="left"/>
      <w:lvlText w:val="(%1)"/>
      <w:numFmt w:val="lowerLetter"/>
      <w:start w:val="2"/>
    </w:lvl>
    <w:lvl w:ilvl="1">
      <w:lvlJc w:val="left"/>
      <w:lvlText w:val="%2"/>
      <w:numFmt w:val="decimal"/>
      <w:start w:val="1"/>
    </w:lvl>
  </w:abstractNum>
  <w:abstractNum w:abstractNumId="78">
    <w:nsid w:val="6A5EE64"/>
    <w:multiLevelType w:val="hybridMultilevel"/>
    <w:lvl w:ilvl="0">
      <w:lvlJc w:val="left"/>
      <w:lvlText w:val="%1."/>
      <w:numFmt w:val="decimal"/>
      <w:start w:val="1"/>
    </w:lvl>
    <w:lvl w:ilvl="1">
      <w:lvlJc w:val="left"/>
      <w:lvlText w:val="%2)"/>
      <w:numFmt w:val="lowerLetter"/>
      <w:start w:val="1"/>
    </w:lvl>
  </w:abstractNum>
  <w:abstractNum w:abstractNumId="79">
    <w:nsid w:val="14330624"/>
    <w:multiLevelType w:val="hybridMultilevel"/>
    <w:lvl w:ilvl="0">
      <w:lvlJc w:val="left"/>
      <w:lvlText w:val="%1."/>
      <w:numFmt w:val="decimal"/>
      <w:start w:val="1"/>
    </w:lvl>
    <w:lvl w:ilvl="1">
      <w:lvlJc w:val="left"/>
      <w:lvlText w:val="%2)"/>
      <w:numFmt w:val="lowerLetter"/>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2023-02-23T09:50:41Z</dcterms:created>
  <dcterms:modified xsi:type="dcterms:W3CDTF">2023-02-23T09:50:41Z</dcterms:modified>
</cp:coreProperties>
</file>