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865"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865" cy="591185"/>
                    </a:xfrm>
                    <a:prstGeom prst="rect">
                      <a:avLst/>
                    </a:prstGeom>
                    <a:noFill/>
                  </pic:spPr>
                </pic:pic>
              </a:graphicData>
            </a:graphic>
          </wp:anchor>
        </w:drawing>
        <w:t>Schlumberger Limited</w:t>
      </w:r>
    </w:p>
    <w:p>
      <w:pPr>
        <w:spacing w:after="0" w:line="3"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26 July 2023</w:t>
      </w:r>
    </w:p>
    <w:p>
      <w:pPr>
        <w:spacing w:after="0" w:line="206" w:lineRule="exact"/>
        <w:rPr>
          <w:sz w:val="24"/>
          <w:szCs w:val="24"/>
          <w:color w:val="auto"/>
        </w:rPr>
      </w:pPr>
    </w:p>
    <w:p>
      <w:pPr>
        <w:ind w:right="260"/>
        <w:spacing w:after="0" w:line="267"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1"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Quarterly Report on Form 10-Q for the fiscal quarter ended June 30, 2023, which was filed with the U.S. Securities and Exchange Commission on July 26, 2023. Such disclosure appears on page 22 of the Quarterly Report on Form 10-Q and is incorporated by reference herein.</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5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2023-07-26T11:22:31Z</dcterms:created>
  <dcterms:modified xsi:type="dcterms:W3CDTF">2023-07-26T11:22:31Z</dcterms:modified>
</cp:coreProperties>
</file>