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Khaled Al Mogharbel</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80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right w:val="single" w:sz="8" w:color="auto"/>
            </w:tcBorders>
          </w:tcPr>
          <w:p>
            <w:pPr>
              <w:spacing w:after="0"/>
              <w:rPr>
                <w:sz w:val="16"/>
                <w:szCs w:val="16"/>
                <w:color w:val="auto"/>
              </w:rPr>
            </w:pPr>
          </w:p>
        </w:tc>
        <w:tc>
          <w:tcPr>
            <w:tcW w:w="270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1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ONLY</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Whom the Securities are</w:t>
            </w:r>
          </w:p>
        </w:tc>
        <w:tc>
          <w:tcPr>
            <w:tcW w:w="10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 Other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JPMorgan Chase,</w:t>
            </w:r>
          </w:p>
        </w:tc>
        <w:tc>
          <w:tcPr>
            <w:tcW w:w="10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9,097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$356,875</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1,385,122,272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07/22/2019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84"/>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270 Park Ave, NY, NY 10017</w:t>
            </w: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80" w:type="dxa"/>
            <w:vAlign w:val="bottom"/>
            <w:tcBorders>
              <w:top w:val="single" w:sz="8" w:color="auto"/>
              <w:left w:val="single" w:sz="8" w:color="auto"/>
              <w:right w:val="single" w:sz="8" w:color="auto"/>
            </w:tcBorders>
            <w:vMerge w:val="restart"/>
          </w:tcPr>
          <w:p>
            <w:pPr>
              <w:jc w:val="center"/>
              <w:ind w:right="33"/>
              <w:spacing w:after="0"/>
              <w:rPr>
                <w:sz w:val="20"/>
                <w:szCs w:val="20"/>
                <w:color w:val="auto"/>
              </w:rPr>
            </w:pPr>
            <w:r>
              <w:rPr>
                <w:rFonts w:ascii="Arial" w:cs="Arial" w:eastAsia="Arial" w:hAnsi="Arial"/>
                <w:sz w:val="13"/>
                <w:szCs w:val="13"/>
                <w:b w:val="1"/>
                <w:bCs w:val="1"/>
                <w:color w:val="auto"/>
                <w:w w:val="89"/>
              </w:rPr>
              <w:t>Title of</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80" w:type="dxa"/>
            <w:vAlign w:val="bottom"/>
            <w:tcBorders>
              <w:left w:val="single" w:sz="8" w:color="auto"/>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25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3"/>
                <w:szCs w:val="13"/>
                <w:b w:val="1"/>
                <w:bCs w:val="1"/>
                <w:color w:val="auto"/>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1"/>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bottom w:val="single" w:sz="8" w:color="auto"/>
              <w:right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2"/>
              </w:rPr>
              <w:t>the Class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1/19/2015</w:t>
            </w:r>
          </w:p>
        </w:tc>
        <w:tc>
          <w:tcPr>
            <w:tcW w:w="25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Restricted Stock Unit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right"/>
              <w:ind w:right="453"/>
              <w:spacing w:after="0"/>
              <w:rPr>
                <w:sz w:val="20"/>
                <w:szCs w:val="20"/>
                <w:color w:val="auto"/>
              </w:rPr>
            </w:pPr>
            <w:r>
              <w:rPr>
                <w:rFonts w:ascii="Arial" w:cs="Arial" w:eastAsia="Arial" w:hAnsi="Arial"/>
                <w:sz w:val="14"/>
                <w:szCs w:val="14"/>
                <w:color w:val="auto"/>
              </w:rPr>
              <w:t>8,000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4/19/2015</w:t>
            </w:r>
          </w:p>
        </w:tc>
        <w:tc>
          <w:tcPr>
            <w:tcW w:w="25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Restricted Stock Unit Release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color w:val="auto"/>
              </w:rPr>
              <w:t>10,000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33285" cy="30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30162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160" w:type="dxa"/>
            <w:vAlign w:val="bottom"/>
            <w:tcBorders>
              <w:top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720" w:type="dxa"/>
            <w:vAlign w:val="bottom"/>
            <w:tcBorders>
              <w:top w:val="single" w:sz="8" w:color="auto"/>
            </w:tcBorders>
            <w:vMerge w:val="restart"/>
          </w:tcPr>
          <w:p>
            <w:pPr>
              <w:ind w:left="1080"/>
              <w:spacing w:after="0"/>
              <w:rPr>
                <w:sz w:val="20"/>
                <w:szCs w:val="20"/>
                <w:color w:val="auto"/>
              </w:rPr>
            </w:pPr>
            <w:r>
              <w:rPr>
                <w:rFonts w:ascii="Arial" w:cs="Arial" w:eastAsia="Arial" w:hAnsi="Arial"/>
                <w:sz w:val="13"/>
                <w:szCs w:val="13"/>
                <w:b w:val="1"/>
                <w:bCs w:val="1"/>
                <w:color w:val="auto"/>
              </w:rPr>
              <w:t>Title of Securities Sold</w:t>
            </w:r>
          </w:p>
        </w:tc>
        <w:tc>
          <w:tcPr>
            <w:tcW w:w="1040" w:type="dxa"/>
            <w:vAlign w:val="bottom"/>
            <w:tcBorders>
              <w:top w:val="single" w:sz="8" w:color="auto"/>
            </w:tcBorders>
          </w:tcPr>
          <w:p>
            <w:pPr>
              <w:jc w:val="center"/>
              <w:ind w:left="117"/>
              <w:spacing w:after="0" w:line="123" w:lineRule="exact"/>
              <w:rPr>
                <w:sz w:val="20"/>
                <w:szCs w:val="20"/>
                <w:color w:val="auto"/>
              </w:rPr>
            </w:pPr>
            <w:r>
              <w:rPr>
                <w:rFonts w:ascii="Arial" w:cs="Arial" w:eastAsia="Arial" w:hAnsi="Arial"/>
                <w:sz w:val="13"/>
                <w:szCs w:val="13"/>
                <w:b w:val="1"/>
                <w:bCs w:val="1"/>
                <w:color w:val="auto"/>
                <w:w w:val="86"/>
              </w:rPr>
              <w:t>Date of</w:t>
            </w:r>
          </w:p>
        </w:tc>
        <w:tc>
          <w:tcPr>
            <w:tcW w:w="154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3"/>
                <w:szCs w:val="13"/>
                <w:b w:val="1"/>
                <w:bCs w:val="1"/>
                <w:color w:val="auto"/>
                <w:w w:val="89"/>
              </w:rPr>
              <w:t>Amount of</w:t>
            </w:r>
          </w:p>
        </w:tc>
        <w:tc>
          <w:tcPr>
            <w:tcW w:w="192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65"/>
        </w:trPr>
        <w:tc>
          <w:tcPr>
            <w:tcW w:w="416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82"/>
              </w:rPr>
              <w:t>Sale</w:t>
            </w:r>
          </w:p>
        </w:tc>
        <w:tc>
          <w:tcPr>
            <w:tcW w:w="1540" w:type="dxa"/>
            <w:vAlign w:val="bottom"/>
          </w:tcPr>
          <w:p>
            <w:pPr>
              <w:jc w:val="center"/>
              <w:ind w:right="197"/>
              <w:spacing w:after="0"/>
              <w:rPr>
                <w:sz w:val="20"/>
                <w:szCs w:val="20"/>
                <w:color w:val="auto"/>
              </w:rPr>
            </w:pPr>
            <w:r>
              <w:rPr>
                <w:rFonts w:ascii="Arial" w:cs="Arial" w:eastAsia="Arial" w:hAnsi="Arial"/>
                <w:sz w:val="13"/>
                <w:szCs w:val="13"/>
                <w:b w:val="1"/>
                <w:bCs w:val="1"/>
                <w:color w:val="auto"/>
                <w:w w:val="85"/>
              </w:rPr>
              <w:t>Securities Sold</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2019-11-30T21:09:46Z</dcterms:created>
  <dcterms:modified xsi:type="dcterms:W3CDTF">2019-11-30T21:09:46Z</dcterms:modified>
</cp:coreProperties>
</file>