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Merad Abdellah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ind w:left="16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6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03/03/2023</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EVP, Core Services &amp; Equipment</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24,315</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228,672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9,568</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55.17</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219,104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15, 2020. Vesting of the PSUs was based on three-year Company performance relative to select key competitors. Most of these competitors had not reported their 2022 audited financial results when the Company's compensation committee met in January 2023 to certify performance under the PSUs. As a result, the Company's compensation committee approved the issuance of 80% of the shares that the committee determined had been earned according to the information available to the committee at the time. As of March 3, 2023, all such competitors had reported their 2022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9211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2023-03-07T17:37:28Z</dcterms:created>
  <dcterms:modified xsi:type="dcterms:W3CDTF">2023-03-07T17:37:28Z</dcterms:modified>
</cp:coreProperties>
</file>