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ARIAL" w:hAnsi="ARIAL"/>
          <w:b/>
          <w:sz w:val="20"/>
        </w:rPr>
      </w:pPr>
      <w:bookmarkStart w:id="0" w:name="d846788d425.htm"/>
      <w:bookmarkStart w:id="1" w:name="ksd846788d425"/>
      <w:bookmarkEnd w:id="0"/>
      <w:bookmarkEnd w:id="1"/>
      <w:r>
        <w:rPr>
          <w:rFonts w:ascii="ARIAL" w:hAnsi="ARIAL"/>
          <w:b/>
          <w:sz w:val="20"/>
        </w:rPr>
        <w:t xml:space="preserve">Filed by Schlumberger N.V. </w:t>
      </w:r>
    </w:p>
    <w:p>
      <w:pPr>
        <w:pStyle w:val="TextBody"/>
        <w:bidi w:val="0"/>
        <w:spacing w:before="0" w:after="0"/>
        <w:jc w:val="right"/>
        <w:rPr>
          <w:rFonts w:ascii="ARIAL" w:hAnsi="ARIAL"/>
          <w:b/>
          <w:sz w:val="20"/>
        </w:rPr>
      </w:pPr>
      <w:r>
        <w:rPr>
          <w:rFonts w:ascii="ARIAL" w:hAnsi="ARIAL"/>
          <w:b/>
          <w:sz w:val="20"/>
        </w:rPr>
        <w:t xml:space="preserve">pursuant to Rule 425 under the Securities Act of 1933 </w:t>
      </w:r>
    </w:p>
    <w:p>
      <w:pPr>
        <w:pStyle w:val="TextBody"/>
        <w:bidi w:val="0"/>
        <w:spacing w:before="0" w:after="0"/>
        <w:jc w:val="right"/>
        <w:rPr>
          <w:rFonts w:ascii="ARIAL" w:hAnsi="ARIAL"/>
          <w:b/>
          <w:sz w:val="20"/>
        </w:rPr>
      </w:pPr>
      <w:r>
        <w:rPr>
          <w:rFonts w:ascii="ARIAL" w:hAnsi="ARIAL"/>
          <w:b/>
          <w:sz w:val="20"/>
        </w:rPr>
        <w:t xml:space="preserve">and deemed filed pursuant to Rule 14a-12 </w:t>
      </w:r>
    </w:p>
    <w:p>
      <w:pPr>
        <w:pStyle w:val="TextBody"/>
        <w:bidi w:val="0"/>
        <w:spacing w:before="0" w:after="0"/>
        <w:jc w:val="right"/>
        <w:rPr>
          <w:rFonts w:ascii="ARIAL" w:hAnsi="ARIAL"/>
          <w:b/>
          <w:sz w:val="20"/>
        </w:rPr>
      </w:pPr>
      <w:r>
        <w:rPr>
          <w:rFonts w:ascii="ARIAL" w:hAnsi="ARIAL"/>
          <w:b/>
          <w:sz w:val="20"/>
        </w:rPr>
        <w:t xml:space="preserve">under the Securities Exchange Act of 1934 </w:t>
      </w:r>
    </w:p>
    <w:p>
      <w:pPr>
        <w:pStyle w:val="TextBody"/>
        <w:bidi w:val="0"/>
        <w:spacing w:before="0" w:after="0"/>
        <w:jc w:val="right"/>
        <w:rPr>
          <w:rFonts w:ascii="ARIAL" w:hAnsi="ARIAL"/>
          <w:b/>
          <w:sz w:val="20"/>
        </w:rPr>
      </w:pPr>
      <w:r>
        <w:rPr>
          <w:rFonts w:ascii="ARIAL" w:hAnsi="ARIAL"/>
          <w:b/>
          <w:sz w:val="20"/>
        </w:rPr>
        <w:t xml:space="preserve">Subject Company: ChampionX Corporation </w:t>
      </w:r>
    </w:p>
    <w:p>
      <w:pPr>
        <w:pStyle w:val="TextBody"/>
        <w:bidi w:val="0"/>
        <w:spacing w:before="0" w:after="0"/>
        <w:jc w:val="right"/>
        <w:rPr>
          <w:rFonts w:ascii="ARIAL" w:hAnsi="ARIAL"/>
          <w:b/>
          <w:sz w:val="20"/>
        </w:rPr>
      </w:pPr>
      <w:r>
        <w:rPr>
          <w:rFonts w:ascii="ARIAL" w:hAnsi="ARIAL"/>
          <w:b/>
          <w:sz w:val="20"/>
        </w:rPr>
        <w:t xml:space="preserve">Filers SEC File No.: 001-38441 </w:t>
      </w:r>
    </w:p>
    <w:p>
      <w:pPr>
        <w:pStyle w:val="TextBody"/>
        <w:bidi w:val="0"/>
        <w:spacing w:before="0" w:after="0"/>
        <w:jc w:val="right"/>
        <w:rPr>
          <w:rFonts w:ascii="ARIAL" w:hAnsi="ARIAL"/>
          <w:b/>
          <w:sz w:val="20"/>
        </w:rPr>
      </w:pPr>
      <w:r>
        <w:rPr>
          <w:rFonts w:ascii="ARIAL" w:hAnsi="ARIAL"/>
          <w:b/>
          <w:sz w:val="20"/>
        </w:rPr>
        <w:t xml:space="preserve">Date: July 2,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43"/>
        <w:gridCol w:w="121"/>
        <w:gridCol w:w="5041"/>
      </w:tblGrid>
      <w:tr>
        <w:trPr/>
        <w:tc>
          <w:tcPr>
            <w:tcW w:w="504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041" w:type="dxa"/>
            <w:tcBorders/>
            <w:vAlign w:val="center"/>
          </w:tcPr>
          <w:p>
            <w:pPr>
              <w:pStyle w:val="TableContents"/>
              <w:bidi w:val="0"/>
              <w:spacing w:before="0" w:after="283"/>
              <w:jc w:val="left"/>
              <w:rPr>
                <w:sz w:val="4"/>
                <w:szCs w:val="4"/>
              </w:rPr>
            </w:pPr>
            <w:r>
              <w:rPr>
                <w:sz w:val="4"/>
                <w:szCs w:val="4"/>
              </w:rPr>
            </w:r>
          </w:p>
        </w:tc>
      </w:tr>
      <w:tr>
        <w:trPr/>
        <w:tc>
          <w:tcPr>
            <w:tcW w:w="5043" w:type="dxa"/>
            <w:tcBorders/>
          </w:tcPr>
          <w:p>
            <w:pPr>
              <w:pStyle w:val="TableContents"/>
              <w:bidi w:val="0"/>
              <w:spacing w:before="0" w:after="283"/>
              <w:jc w:val="left"/>
              <w:rPr/>
            </w:pPr>
            <w:r>
              <w:rPr/>
              <w:t>News Release</w:t>
            </w:r>
          </w:p>
        </w:tc>
        <w:tc>
          <w:tcPr>
            <w:tcW w:w="121" w:type="dxa"/>
            <w:tcBorders/>
            <w:vAlign w:val="bottom"/>
          </w:tcPr>
          <w:p>
            <w:pPr>
              <w:pStyle w:val="TableContents"/>
              <w:bidi w:val="0"/>
              <w:spacing w:before="0" w:after="283"/>
              <w:jc w:val="left"/>
              <w:rPr/>
            </w:pPr>
            <w:r>
              <w:rPr/>
              <w:t>  </w:t>
            </w:r>
          </w:p>
        </w:tc>
        <w:tc>
          <w:tcPr>
            <w:tcW w:w="5041" w:type="dxa"/>
            <w:tcBorders/>
          </w:tcPr>
          <w:p>
            <w:pPr>
              <w:pStyle w:val="TableContents"/>
              <w:bidi w:val="0"/>
              <w:spacing w:before="0" w:after="283"/>
              <w:jc w:val="right"/>
              <w:rPr/>
            </w:pPr>
            <w:r>
              <w:rPr/>
              <w:drawing>
                <wp:inline distT="0" distB="0" distL="0" distR="0">
                  <wp:extent cx="1304925"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914400"/>
                          </a:xfrm>
                          <a:prstGeom prst="rect">
                            <a:avLst/>
                          </a:prstGeom>
                        </pic:spPr>
                      </pic:pic>
                    </a:graphicData>
                  </a:graphic>
                </wp:inline>
              </w:drawing>
            </w:r>
            <w:r>
              <w:rPr/>
              <w:t xml:space="preserve"> </w:t>
            </w:r>
          </w:p>
        </w:tc>
      </w:tr>
    </w:tbl>
    <w:p>
      <w:pPr>
        <w:pStyle w:val="TextBody"/>
        <w:bidi w:val="0"/>
        <w:spacing w:before="240" w:after="0"/>
        <w:jc w:val="left"/>
        <w:rPr>
          <w:rFonts w:ascii="ARIAL" w:hAnsi="ARIAL"/>
          <w:sz w:val="20"/>
        </w:rPr>
      </w:pPr>
      <w:r>
        <w:rPr>
          <w:rFonts w:ascii="ARIAL" w:hAnsi="ARIAL"/>
          <w:sz w:val="20"/>
        </w:rPr>
        <w:t xml:space="preserve">SLB Provides Update on Planned Acquisition of ChampionX </w:t>
      </w:r>
    </w:p>
    <w:p>
      <w:pPr>
        <w:pStyle w:val="TextBody"/>
        <w:bidi w:val="0"/>
        <w:spacing w:before="240" w:after="0"/>
        <w:jc w:val="left"/>
        <w:rPr>
          <w:rFonts w:ascii="ARIAL" w:hAnsi="ARIAL"/>
          <w:sz w:val="20"/>
        </w:rPr>
      </w:pPr>
      <w:r>
        <w:rPr>
          <w:rFonts w:ascii="ARIAL" w:hAnsi="ARIAL"/>
          <w:b/>
          <w:sz w:val="20"/>
        </w:rPr>
        <w:t>HOUSTON, July 02, 2024</w:t>
      </w:r>
      <w:r>
        <w:rPr>
          <w:rFonts w:ascii="ARIAL" w:hAnsi="ARIAL"/>
          <w:sz w:val="20"/>
        </w:rPr>
        <w:t xml:space="preserve">SLB (NYSE: SLB) today announced that, as expected, it and ChampionX (NASDAQ: CHX) have each received a request for additional information (second request) from the United States Department of Justice (DoJ) in connection with the DoJs review of SLBs previously announced planned acquisition of ChampionX. </w:t>
      </w:r>
    </w:p>
    <w:p>
      <w:pPr>
        <w:pStyle w:val="TextBody"/>
        <w:bidi w:val="0"/>
        <w:spacing w:before="240" w:after="0"/>
        <w:jc w:val="left"/>
        <w:rPr>
          <w:rFonts w:ascii="ARIAL" w:hAnsi="ARIAL"/>
          <w:sz w:val="20"/>
        </w:rPr>
      </w:pPr>
      <w:r>
        <w:rPr>
          <w:rFonts w:ascii="ARIAL" w:hAnsi="ARIAL"/>
          <w:sz w:val="20"/>
        </w:rPr>
        <w:t xml:space="preserve">SLB currently expects the transaction to close in the fourth quarter of 2024 or the first quarter of 2025, pending regulatory approvals and other customary closing conditions. The transaction received the approval of the ChampionX stockholders at a special meeting held on June 18, 2024. </w:t>
      </w:r>
    </w:p>
    <w:p>
      <w:pPr>
        <w:pStyle w:val="TextBody"/>
        <w:bidi w:val="0"/>
        <w:spacing w:before="360" w:after="0"/>
        <w:jc w:val="left"/>
        <w:rPr>
          <w:rFonts w:ascii="ARIAL" w:hAnsi="ARIAL"/>
          <w:b/>
          <w:sz w:val="20"/>
        </w:rPr>
      </w:pPr>
      <w:r>
        <w:rPr>
          <w:rFonts w:ascii="ARIAL" w:hAnsi="ARIAL"/>
          <w:b/>
          <w:sz w:val="20"/>
        </w:rPr>
        <w:t xml:space="preserve">About SLB </w:t>
      </w:r>
    </w:p>
    <w:p>
      <w:pPr>
        <w:pStyle w:val="TextBody"/>
        <w:bidi w:val="0"/>
        <w:spacing w:before="120" w:after="0"/>
        <w:jc w:val="left"/>
        <w:rPr>
          <w:rFonts w:ascii="ARIAL" w:hAnsi="ARIAL"/>
          <w:sz w:val="20"/>
        </w:rPr>
      </w:pPr>
      <w:r>
        <w:rPr>
          <w:rFonts w:ascii="ARIAL" w:hAnsi="ARIAL"/>
          <w:sz w:val="20"/>
        </w:rPr>
        <w:t xml:space="preserve">SLB (NYSE: SLB) is a global technology company that drives energy innovation for a balanced planet. With a global footprint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 </w:t>
      </w:r>
    </w:p>
    <w:p>
      <w:pPr>
        <w:pStyle w:val="TextBody"/>
        <w:bidi w:val="0"/>
        <w:spacing w:before="360" w:after="0"/>
        <w:jc w:val="left"/>
        <w:rPr>
          <w:rFonts w:ascii="ARIAL" w:hAnsi="ARIAL"/>
          <w:b/>
          <w:sz w:val="20"/>
        </w:rPr>
      </w:pPr>
      <w:r>
        <w:rPr>
          <w:rFonts w:ascii="ARIAL" w:hAnsi="ARIAL"/>
          <w:b/>
          <w:sz w:val="20"/>
        </w:rPr>
        <w:t xml:space="preserve">About ChampionX </w:t>
      </w:r>
    </w:p>
    <w:p>
      <w:pPr>
        <w:pStyle w:val="TextBody"/>
        <w:bidi w:val="0"/>
        <w:spacing w:before="120" w:after="0"/>
        <w:jc w:val="left"/>
        <w:rPr>
          <w:rFonts w:ascii="ARIAL" w:hAnsi="ARIAL"/>
          <w:sz w:val="20"/>
        </w:rPr>
      </w:pPr>
      <w:r>
        <w:rPr>
          <w:rFonts w:ascii="ARIAL" w:hAnsi="ARIAL"/>
          <w:sz w:val="20"/>
        </w:rPr>
        <w:t xml:space="preserve">ChampionX Corporation is a global leader in chemistry solutions, artificial lift systems, and highly engineered equipment and technologies that help companies drill for and produce oil and gas safely, efficiently, and sustainably around the world. ChampionXs expertise, innovative products, and digital technologies provide enhanced oil and gas production, transportation, and real-time emissions monitoring throughout the lifecycle of a well. To learn more about ChampionX, visit our website at www.championX.com.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74"/>
        <w:gridCol w:w="120"/>
        <w:gridCol w:w="5011"/>
      </w:tblGrid>
      <w:tr>
        <w:trPr/>
        <w:tc>
          <w:tcPr>
            <w:tcW w:w="50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5074" w:type="dxa"/>
            <w:tcBorders/>
          </w:tcPr>
          <w:p>
            <w:pPr>
              <w:pStyle w:val="TableContents"/>
              <w:bidi w:val="0"/>
              <w:spacing w:before="0" w:after="283"/>
              <w:jc w:val="left"/>
              <w:rPr>
                <w:b/>
              </w:rPr>
            </w:pPr>
            <w:r>
              <w:rPr>
                <w:b/>
              </w:rPr>
              <w:t>Media</w:t>
            </w:r>
          </w:p>
        </w:tc>
        <w:tc>
          <w:tcPr>
            <w:tcW w:w="120" w:type="dxa"/>
            <w:tcBorders/>
            <w:vAlign w:val="bottom"/>
          </w:tcPr>
          <w:p>
            <w:pPr>
              <w:pStyle w:val="TableContents"/>
              <w:bidi w:val="0"/>
              <w:spacing w:before="0" w:after="283"/>
              <w:jc w:val="left"/>
              <w:rPr/>
            </w:pPr>
            <w:r>
              <w:rPr/>
              <w:t>  </w:t>
            </w:r>
          </w:p>
        </w:tc>
        <w:tc>
          <w:tcPr>
            <w:tcW w:w="5011" w:type="dxa"/>
            <w:tcBorders/>
          </w:tcPr>
          <w:p>
            <w:pPr>
              <w:pStyle w:val="TableContents"/>
              <w:bidi w:val="0"/>
              <w:spacing w:before="0" w:after="283"/>
              <w:jc w:val="left"/>
              <w:rPr>
                <w:b/>
              </w:rPr>
            </w:pPr>
            <w:r>
              <w:rPr>
                <w:b/>
              </w:rPr>
              <w:t>Investors</w:t>
            </w:r>
          </w:p>
        </w:tc>
      </w:tr>
      <w:tr>
        <w:trPr>
          <w:trHeight w:val="120" w:hRule="atLeast"/>
        </w:trPr>
        <w:tc>
          <w:tcPr>
            <w:tcW w:w="5074" w:type="dxa"/>
            <w:tcBorders/>
            <w:vAlign w:val="center"/>
          </w:tcPr>
          <w:p>
            <w:pPr>
              <w:pStyle w:val="TableContents"/>
              <w:bidi w:val="0"/>
              <w:spacing w:before="0" w:after="283"/>
              <w:jc w:val="left"/>
              <w:rPr>
                <w:sz w:val="4"/>
                <w:szCs w:val="4"/>
              </w:rPr>
            </w:pPr>
            <w:r>
              <w:rPr>
                <w:sz w:val="4"/>
                <w:szCs w:val="4"/>
              </w:rPr>
            </w:r>
          </w:p>
        </w:tc>
        <w:tc>
          <w:tcPr>
            <w:tcW w:w="5131" w:type="dxa"/>
            <w:gridSpan w:val="2"/>
            <w:tcBorders/>
            <w:vAlign w:val="center"/>
          </w:tcPr>
          <w:p>
            <w:pPr>
              <w:pStyle w:val="TableContents"/>
              <w:bidi w:val="0"/>
              <w:spacing w:before="0" w:after="283"/>
              <w:jc w:val="left"/>
              <w:rPr>
                <w:sz w:val="4"/>
                <w:szCs w:val="4"/>
              </w:rPr>
            </w:pPr>
            <w:r>
              <w:rPr>
                <w:sz w:val="4"/>
                <w:szCs w:val="4"/>
              </w:rPr>
            </w:r>
          </w:p>
        </w:tc>
      </w:tr>
      <w:tr>
        <w:trPr/>
        <w:tc>
          <w:tcPr>
            <w:tcW w:w="5074" w:type="dxa"/>
            <w:tcBorders/>
          </w:tcPr>
          <w:p>
            <w:pPr>
              <w:pStyle w:val="TableContents"/>
              <w:bidi w:val="0"/>
              <w:spacing w:before="0" w:after="0"/>
              <w:jc w:val="left"/>
              <w:rPr>
                <w:rFonts w:ascii="ARIAL" w:hAnsi="ARIAL"/>
                <w:sz w:val="20"/>
              </w:rPr>
            </w:pPr>
            <w:r>
              <w:rPr>
                <w:rFonts w:ascii="ARIAL" w:hAnsi="ARIAL"/>
                <w:sz w:val="20"/>
              </w:rPr>
              <w:t>Josh Byerly  Vice President of Communications</w:t>
            </w:r>
          </w:p>
          <w:p>
            <w:pPr>
              <w:pStyle w:val="TableContents"/>
              <w:bidi w:val="0"/>
              <w:spacing w:before="0" w:after="0"/>
              <w:jc w:val="left"/>
              <w:rPr>
                <w:rFonts w:ascii="ARIAL" w:hAnsi="ARIAL"/>
                <w:sz w:val="20"/>
              </w:rPr>
            </w:pPr>
            <w:r>
              <w:rPr>
                <w:rFonts w:ascii="ARIAL" w:hAnsi="ARIAL"/>
                <w:sz w:val="20"/>
              </w:rPr>
              <w:t>Moira Duff  Director of External Communications</w:t>
            </w:r>
          </w:p>
          <w:p>
            <w:pPr>
              <w:pStyle w:val="TableContents"/>
              <w:bidi w:val="0"/>
              <w:spacing w:before="0" w:after="20"/>
              <w:jc w:val="left"/>
              <w:rPr>
                <w:rFonts w:ascii="ARIAL" w:hAnsi="ARIAL"/>
                <w:sz w:val="20"/>
              </w:rPr>
            </w:pPr>
            <w:r>
              <w:rPr>
                <w:rFonts w:ascii="ARIAL" w:hAnsi="ARIAL"/>
                <w:sz w:val="20"/>
              </w:rPr>
              <w:t xml:space="preserve">SLB </w:t>
              <w:br/>
              <w:t xml:space="preserve">Tel: +1 (713) 375-3407 </w:t>
              <w:br/>
              <w:t>media@slb.com</w:t>
            </w:r>
          </w:p>
        </w:tc>
        <w:tc>
          <w:tcPr>
            <w:tcW w:w="120" w:type="dxa"/>
            <w:tcBorders/>
            <w:vAlign w:val="bottom"/>
          </w:tcPr>
          <w:p>
            <w:pPr>
              <w:pStyle w:val="TableContents"/>
              <w:bidi w:val="0"/>
              <w:spacing w:before="0" w:after="283"/>
              <w:jc w:val="left"/>
              <w:rPr/>
            </w:pPr>
            <w:r>
              <w:rPr/>
              <w:t>  </w:t>
            </w:r>
          </w:p>
        </w:tc>
        <w:tc>
          <w:tcPr>
            <w:tcW w:w="5011" w:type="dxa"/>
            <w:tcBorders/>
          </w:tcPr>
          <w:p>
            <w:pPr>
              <w:pStyle w:val="TableContents"/>
              <w:bidi w:val="0"/>
              <w:spacing w:before="0" w:after="0"/>
              <w:jc w:val="left"/>
              <w:rPr>
                <w:rFonts w:ascii="ARIAL" w:hAnsi="ARIAL"/>
                <w:sz w:val="20"/>
              </w:rPr>
            </w:pPr>
            <w:r>
              <w:rPr>
                <w:rFonts w:ascii="ARIAL" w:hAnsi="ARIAL"/>
                <w:sz w:val="20"/>
              </w:rPr>
              <w:t xml:space="preserve">James R. McDonald  Vice President of Investor Relations </w:t>
              <w:br/>
              <w:t>Joy V. Domingo  Director of Investor Relations</w:t>
            </w:r>
          </w:p>
          <w:p>
            <w:pPr>
              <w:pStyle w:val="TableContents"/>
              <w:bidi w:val="0"/>
              <w:spacing w:before="0" w:after="20"/>
              <w:jc w:val="left"/>
              <w:rPr>
                <w:rFonts w:ascii="ARIAL" w:hAnsi="ARIAL"/>
                <w:sz w:val="20"/>
              </w:rPr>
            </w:pPr>
            <w:r>
              <w:rPr>
                <w:rFonts w:ascii="ARIAL" w:hAnsi="ARIAL"/>
                <w:sz w:val="20"/>
              </w:rPr>
              <w:t xml:space="preserve">SLB </w:t>
              <w:br/>
              <w:t xml:space="preserve">Tel: +1 (713) 375-3535 </w:t>
              <w:br/>
              <w:t>investor-relations@slb.com</w:t>
            </w:r>
          </w:p>
        </w:tc>
      </w:tr>
    </w:tbl>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Slb.com/newsroom </w:t>
      </w:r>
    </w:p>
    <w:p>
      <w:pPr>
        <w:pStyle w:val="TextBody"/>
        <w:bidi w:val="0"/>
        <w:spacing w:before="240" w:after="0"/>
        <w:jc w:val="center"/>
        <w:rPr>
          <w:rFonts w:ascii="ARIAL" w:hAnsi="ARIAL"/>
          <w:sz w:val="20"/>
        </w:rPr>
      </w:pPr>
      <w:r>
        <w:rPr>
          <w:rFonts w:ascii="ARIAL" w:hAnsi="ARIAL"/>
          <w:sz w:val="20"/>
        </w:rPr>
        <w:t xml:space="preserve">SLB-Private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Forward-Looking Statements </w:t>
      </w:r>
    </w:p>
    <w:p>
      <w:pPr>
        <w:pStyle w:val="TextBody"/>
        <w:bidi w:val="0"/>
        <w:spacing w:before="120" w:after="0"/>
        <w:jc w:val="left"/>
        <w:rPr>
          <w:rFonts w:ascii="ARIAL" w:hAnsi="ARIAL"/>
          <w:sz w:val="20"/>
        </w:rPr>
      </w:pPr>
      <w:r>
        <w:rPr>
          <w:rFonts w:ascii="ARIAL" w:hAnsi="ARIAL"/>
          <w:sz w:val="20"/>
        </w:rPr>
        <w:t xml:space="preserve">This communication contains forward-looking statements within the meaning of the Private Securities Litigation Reform Act of 1995, Section 27A of the Securities Act of 1933, as amended, and Section 21E of the Securities Exchange Act of 1934, as amended. </w:t>
      </w:r>
    </w:p>
    <w:p>
      <w:pPr>
        <w:pStyle w:val="TextBody"/>
        <w:bidi w:val="0"/>
        <w:spacing w:before="240" w:after="0"/>
        <w:jc w:val="left"/>
        <w:rPr>
          <w:rFonts w:ascii="ARIAL" w:hAnsi="ARIAL"/>
          <w:sz w:val="20"/>
        </w:rPr>
      </w:pPr>
      <w:r>
        <w:rPr>
          <w:rFonts w:ascii="ARIAL" w:hAnsi="ARIAL"/>
          <w:sz w:val="20"/>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Slb.com/newsroom </w:t>
      </w:r>
    </w:p>
    <w:p>
      <w:pPr>
        <w:pStyle w:val="TextBody"/>
        <w:bidi w:val="0"/>
        <w:spacing w:before="240" w:after="0"/>
        <w:jc w:val="center"/>
        <w:rPr>
          <w:rFonts w:ascii="ARIAL" w:hAnsi="ARIAL"/>
          <w:sz w:val="20"/>
        </w:rPr>
      </w:pPr>
      <w:r>
        <w:rPr>
          <w:rFonts w:ascii="ARIAL" w:hAnsi="ARIAL"/>
          <w:sz w:val="20"/>
        </w:rPr>
        <w:t xml:space="preserve">SLB-Private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p>
    <w:p>
      <w:pPr>
        <w:pStyle w:val="TextBody"/>
        <w:bidi w:val="0"/>
        <w:spacing w:before="240" w:after="0"/>
        <w:jc w:val="left"/>
        <w:rPr>
          <w:rFonts w:ascii="ARIAL" w:hAnsi="ARIAL"/>
          <w:sz w:val="20"/>
        </w:rPr>
      </w:pPr>
      <w:r>
        <w:rPr>
          <w:rFonts w:ascii="ARIAL" w:hAnsi="ARIAL"/>
          <w:sz w:val="20"/>
        </w:rPr>
        <w:t xml:space="preserve">These risks, as well as other risks related to the proposed transaction, are included in the Form S-4 and proxy statement/prospectus (each, as defined below) that has been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Slb.com/newsroom </w:t>
      </w:r>
    </w:p>
    <w:p>
      <w:pPr>
        <w:pStyle w:val="TextBody"/>
        <w:bidi w:val="0"/>
        <w:spacing w:before="240" w:after="0"/>
        <w:jc w:val="center"/>
        <w:rPr>
          <w:rFonts w:ascii="ARIAL" w:hAnsi="ARIAL"/>
          <w:sz w:val="20"/>
        </w:rPr>
      </w:pPr>
      <w:r>
        <w:rPr>
          <w:rFonts w:ascii="ARIAL" w:hAnsi="ARIAL"/>
          <w:sz w:val="20"/>
        </w:rPr>
        <w:t xml:space="preserve">SLB-Private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Additional Information about the Transaction and Where to Find It </w:t>
      </w:r>
    </w:p>
    <w:p>
      <w:pPr>
        <w:pStyle w:val="TextBody"/>
        <w:bidi w:val="0"/>
        <w:spacing w:before="120" w:after="0"/>
        <w:jc w:val="left"/>
        <w:rPr/>
      </w:pPr>
      <w:r>
        <w:rPr>
          <w:rFonts w:ascii="ARIAL" w:hAnsi="ARIAL"/>
          <w:sz w:val="20"/>
        </w:rPr>
        <w:t>In connection with the proposed transaction, SLB filed with the Securities and Exchange Commission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w:t>
      </w:r>
      <w:hyperlink r:id="rId3">
        <w:r>
          <w:rPr>
            <w:rStyle w:val="InternetLink"/>
            <w:rFonts w:ascii="ARIAL" w:hAnsi="ARIAL"/>
            <w:sz w:val="20"/>
          </w:rPr>
          <w:t>https://www.sec.gov/Archives/edgar/data/87347/000119312524139403/d818663d424b3.htm</w:t>
        </w:r>
      </w:hyperlink>
      <w:r>
        <w:rPr>
          <w:rFonts w:ascii="ARIAL" w:hAnsi="ARIAL"/>
          <w:sz w:val="20"/>
        </w:rPr>
        <w:t xml:space="preserve">),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Slb.com/newsroom </w:t>
      </w:r>
    </w:p>
    <w:p>
      <w:pPr>
        <w:pStyle w:val="TextBody"/>
        <w:bidi w:val="0"/>
        <w:spacing w:before="240" w:after="0"/>
        <w:jc w:val="center"/>
        <w:rPr>
          <w:rFonts w:ascii="ARIAL" w:hAnsi="ARIAL"/>
          <w:sz w:val="20"/>
        </w:rPr>
      </w:pPr>
      <w:r>
        <w:rPr>
          <w:rFonts w:ascii="ARIAL" w:hAnsi="ARIAL"/>
          <w:sz w:val="20"/>
        </w:rPr>
        <w:t xml:space="preserve">SLB-Private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87347/000119312524139403/d818663d424b3.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1844</Words>
  <Characters>10027</Characters>
  <CharactersWithSpaces>11746</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