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158750</wp:posOffset>
            </wp:positionV>
            <wp:extent cx="153479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186690</wp:posOffset>
            </wp:positionV>
            <wp:extent cx="15347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8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28"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Date of Report (date of earliest event reported): April 23, 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177800</wp:posOffset>
            </wp:positionV>
            <wp:extent cx="15347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8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2149475</wp:posOffset>
            </wp:positionH>
            <wp:positionV relativeFrom="paragraph">
              <wp:posOffset>154940</wp:posOffset>
            </wp:positionV>
            <wp:extent cx="1534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00" w:lineRule="exact"/>
        <w:rPr>
          <w:sz w:val="24"/>
          <w:szCs w:val="24"/>
          <w:color w:val="auto"/>
        </w:rPr>
      </w:pPr>
    </w:p>
    <w:p>
      <w:pPr>
        <w:spacing w:after="0" w:line="279" w:lineRule="exact"/>
        <w:rPr>
          <w:sz w:val="24"/>
          <w:szCs w:val="24"/>
          <w:color w:val="auto"/>
        </w:rPr>
      </w:pPr>
    </w:p>
    <w:tbl>
      <w:tblPr>
        <w:tblLayout w:type="fixed"/>
        <w:tblInd w:w="0" w:type="dxa"/>
        <w:tblCellMar>
          <w:top w:w="0" w:type="dxa"/>
          <w:left w:w="0" w:type="dxa"/>
          <w:bottom w:w="0" w:type="dxa"/>
          <w:right w:w="0" w:type="dxa"/>
        </w:tblCellMar>
      </w:tblPr>
      <w:tr>
        <w:trPr>
          <w:trHeight w:val="218"/>
        </w:trPr>
        <w:tc>
          <w:tcPr>
            <w:tcW w:w="3340" w:type="dxa"/>
            <w:vAlign w:val="bottom"/>
          </w:tcPr>
          <w:p>
            <w:pPr>
              <w:jc w:val="center"/>
              <w:ind w:right="1718"/>
              <w:spacing w:after="0"/>
              <w:rPr>
                <w:sz w:val="20"/>
                <w:szCs w:val="20"/>
                <w:color w:val="auto"/>
              </w:rPr>
            </w:pPr>
            <w:r>
              <w:rPr>
                <w:rFonts w:ascii="Arial" w:cs="Arial" w:eastAsia="Arial" w:hAnsi="Arial"/>
                <w:sz w:val="18"/>
                <w:szCs w:val="18"/>
                <w:b w:val="1"/>
                <w:bCs w:val="1"/>
                <w:color w:val="auto"/>
                <w:w w:val="88"/>
              </w:rPr>
              <w:t>Netherlands Antilles</w:t>
            </w:r>
          </w:p>
        </w:tc>
        <w:tc>
          <w:tcPr>
            <w:tcW w:w="2880" w:type="dxa"/>
            <w:vAlign w:val="bottom"/>
          </w:tcPr>
          <w:p>
            <w:pPr>
              <w:jc w:val="right"/>
              <w:ind w:right="1242"/>
              <w:spacing w:after="0"/>
              <w:rPr>
                <w:sz w:val="20"/>
                <w:szCs w:val="20"/>
                <w:color w:val="auto"/>
              </w:rPr>
            </w:pPr>
            <w:r>
              <w:rPr>
                <w:rFonts w:ascii="Arial" w:cs="Arial" w:eastAsia="Arial" w:hAnsi="Arial"/>
                <w:sz w:val="18"/>
                <w:szCs w:val="18"/>
                <w:b w:val="1"/>
                <w:bCs w:val="1"/>
                <w:color w:val="auto"/>
              </w:rPr>
              <w:t>1-4601</w:t>
            </w:r>
          </w:p>
        </w:tc>
        <w:tc>
          <w:tcPr>
            <w:tcW w:w="2780" w:type="dxa"/>
            <w:vAlign w:val="bottom"/>
          </w:tcPr>
          <w:p>
            <w:pPr>
              <w:jc w:val="center"/>
              <w:ind w:left="1661"/>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3340" w:type="dxa"/>
            <w:vAlign w:val="bottom"/>
          </w:tcPr>
          <w:p>
            <w:pPr>
              <w:jc w:val="center"/>
              <w:ind w:right="1718"/>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880" w:type="dxa"/>
            <w:vAlign w:val="bottom"/>
          </w:tcPr>
          <w:p>
            <w:pPr>
              <w:jc w:val="center"/>
              <w:ind w:right="162"/>
              <w:spacing w:after="0" w:line="149" w:lineRule="exact"/>
              <w:rPr>
                <w:sz w:val="20"/>
                <w:szCs w:val="20"/>
                <w:color w:val="auto"/>
              </w:rPr>
            </w:pPr>
            <w:r>
              <w:rPr>
                <w:rFonts w:ascii="Arial" w:cs="Arial" w:eastAsia="Arial" w:hAnsi="Arial"/>
                <w:sz w:val="14"/>
                <w:szCs w:val="14"/>
                <w:b w:val="1"/>
                <w:bCs w:val="1"/>
                <w:color w:val="auto"/>
                <w:w w:val="87"/>
              </w:rPr>
              <w:t>(Commission File Number)</w:t>
            </w:r>
          </w:p>
        </w:tc>
        <w:tc>
          <w:tcPr>
            <w:tcW w:w="2780" w:type="dxa"/>
            <w:vAlign w:val="bottom"/>
          </w:tcPr>
          <w:p>
            <w:pPr>
              <w:jc w:val="center"/>
              <w:ind w:left="1661"/>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3340" w:type="dxa"/>
            <w:vAlign w:val="bottom"/>
          </w:tcPr>
          <w:p>
            <w:pPr>
              <w:jc w:val="center"/>
              <w:ind w:right="1718"/>
              <w:spacing w:after="0"/>
              <w:rPr>
                <w:sz w:val="20"/>
                <w:szCs w:val="20"/>
                <w:color w:val="auto"/>
              </w:rPr>
            </w:pPr>
            <w:r>
              <w:rPr>
                <w:rFonts w:ascii="Arial" w:cs="Arial" w:eastAsia="Arial" w:hAnsi="Arial"/>
                <w:sz w:val="14"/>
                <w:szCs w:val="14"/>
                <w:b w:val="1"/>
                <w:bCs w:val="1"/>
                <w:color w:val="auto"/>
                <w:w w:val="87"/>
              </w:rPr>
              <w:t>of incorporation)</w:t>
            </w:r>
          </w:p>
        </w:tc>
        <w:tc>
          <w:tcPr>
            <w:tcW w:w="2880" w:type="dxa"/>
            <w:vAlign w:val="bottom"/>
          </w:tcPr>
          <w:p>
            <w:pPr>
              <w:spacing w:after="0"/>
              <w:rPr>
                <w:sz w:val="15"/>
                <w:szCs w:val="15"/>
                <w:color w:val="auto"/>
              </w:rPr>
            </w:pPr>
          </w:p>
        </w:tc>
        <w:tc>
          <w:tcPr>
            <w:tcW w:w="2780" w:type="dxa"/>
            <w:vAlign w:val="bottom"/>
          </w:tcPr>
          <w:p>
            <w:pPr>
              <w:jc w:val="center"/>
              <w:ind w:left="1641"/>
              <w:spacing w:after="0"/>
              <w:rPr>
                <w:sz w:val="20"/>
                <w:szCs w:val="20"/>
                <w:color w:val="auto"/>
              </w:rPr>
            </w:pPr>
            <w:r>
              <w:rPr>
                <w:rFonts w:ascii="Arial" w:cs="Arial" w:eastAsia="Arial" w:hAnsi="Arial"/>
                <w:sz w:val="14"/>
                <w:szCs w:val="14"/>
                <w:b w:val="1"/>
                <w:bCs w:val="1"/>
                <w:color w:val="auto"/>
                <w:w w:val="89"/>
              </w:rPr>
              <w:t>Identification No.)</w:t>
            </w:r>
          </w:p>
        </w:tc>
      </w:tr>
      <w:tr>
        <w:trPr>
          <w:trHeight w:val="35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6"/>
              </w:rPr>
              <w:t>153 East 53</w:t>
            </w:r>
            <w:r>
              <w:rPr>
                <w:rFonts w:ascii="Arial" w:cs="Arial" w:eastAsia="Arial" w:hAnsi="Arial"/>
                <w:sz w:val="22"/>
                <w:szCs w:val="22"/>
                <w:b w:val="1"/>
                <w:bCs w:val="1"/>
                <w:color w:val="auto"/>
                <w:w w:val="86"/>
                <w:vertAlign w:val="superscript"/>
              </w:rPr>
              <w:t>rd</w:t>
            </w:r>
            <w:r>
              <w:rPr>
                <w:rFonts w:ascii="Arial" w:cs="Arial" w:eastAsia="Arial" w:hAnsi="Arial"/>
                <w:sz w:val="18"/>
                <w:szCs w:val="18"/>
                <w:b w:val="1"/>
                <w:bCs w:val="1"/>
                <w:color w:val="auto"/>
                <w:w w:val="86"/>
              </w:rPr>
              <w:t xml:space="preserve"> Street, 57</w:t>
            </w:r>
            <w:r>
              <w:rPr>
                <w:rFonts w:ascii="Arial" w:cs="Arial" w:eastAsia="Arial" w:hAnsi="Arial"/>
                <w:sz w:val="22"/>
                <w:szCs w:val="22"/>
                <w:b w:val="1"/>
                <w:bCs w:val="1"/>
                <w:color w:val="auto"/>
                <w:w w:val="86"/>
                <w:vertAlign w:val="superscript"/>
              </w:rPr>
              <w:t>th</w:t>
            </w:r>
            <w:r>
              <w:rPr>
                <w:rFonts w:ascii="Arial" w:cs="Arial" w:eastAsia="Arial" w:hAnsi="Arial"/>
                <w:sz w:val="18"/>
                <w:szCs w:val="18"/>
                <w:b w:val="1"/>
                <w:bCs w:val="1"/>
                <w:color w:val="auto"/>
                <w:w w:val="86"/>
              </w:rPr>
              <w:t xml:space="preserve"> Floor</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New York, New York</w:t>
            </w:r>
          </w:p>
        </w:tc>
        <w:tc>
          <w:tcPr>
            <w:tcW w:w="2880" w:type="dxa"/>
            <w:vAlign w:val="bottom"/>
          </w:tcPr>
          <w:p>
            <w:pPr>
              <w:spacing w:after="0"/>
              <w:rPr>
                <w:sz w:val="21"/>
                <w:szCs w:val="21"/>
                <w:color w:val="auto"/>
              </w:rPr>
            </w:pPr>
          </w:p>
        </w:tc>
        <w:tc>
          <w:tcPr>
            <w:tcW w:w="2780" w:type="dxa"/>
            <w:vAlign w:val="bottom"/>
          </w:tcPr>
          <w:p>
            <w:pPr>
              <w:jc w:val="right"/>
              <w:ind w:right="881"/>
              <w:spacing w:after="0"/>
              <w:rPr>
                <w:sz w:val="20"/>
                <w:szCs w:val="20"/>
                <w:color w:val="auto"/>
              </w:rPr>
            </w:pPr>
            <w:r>
              <w:rPr>
                <w:rFonts w:ascii="Arial" w:cs="Arial" w:eastAsia="Arial" w:hAnsi="Arial"/>
                <w:sz w:val="18"/>
                <w:szCs w:val="18"/>
                <w:b w:val="1"/>
                <w:bCs w:val="1"/>
                <w:color w:val="auto"/>
              </w:rPr>
              <w:t>10022-4624</w:t>
            </w:r>
          </w:p>
        </w:tc>
      </w:tr>
      <w:tr>
        <w:trPr>
          <w:trHeight w:val="42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42, rue Saint-Dominique</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42"/>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90"/>
              </w:rPr>
              <w:t>Paris, France</w:t>
            </w:r>
          </w:p>
        </w:tc>
        <w:tc>
          <w:tcPr>
            <w:tcW w:w="2880" w:type="dxa"/>
            <w:vAlign w:val="bottom"/>
          </w:tcPr>
          <w:p>
            <w:pPr>
              <w:spacing w:after="0"/>
              <w:rPr>
                <w:sz w:val="21"/>
                <w:szCs w:val="21"/>
                <w:color w:val="auto"/>
              </w:rPr>
            </w:pPr>
          </w:p>
        </w:tc>
        <w:tc>
          <w:tcPr>
            <w:tcW w:w="2780" w:type="dxa"/>
            <w:vAlign w:val="bottom"/>
          </w:tcPr>
          <w:p>
            <w:pPr>
              <w:jc w:val="right"/>
              <w:ind w:right="1081"/>
              <w:spacing w:after="0"/>
              <w:rPr>
                <w:sz w:val="20"/>
                <w:szCs w:val="20"/>
                <w:color w:val="auto"/>
              </w:rPr>
            </w:pPr>
            <w:r>
              <w:rPr>
                <w:rFonts w:ascii="Arial" w:cs="Arial" w:eastAsia="Arial" w:hAnsi="Arial"/>
                <w:sz w:val="18"/>
                <w:szCs w:val="18"/>
                <w:b w:val="1"/>
                <w:bCs w:val="1"/>
                <w:color w:val="auto"/>
              </w:rPr>
              <w:t>75007</w:t>
            </w:r>
          </w:p>
        </w:tc>
      </w:tr>
      <w:tr>
        <w:trPr>
          <w:trHeight w:val="420"/>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Parkstraat 83,</w:t>
            </w:r>
          </w:p>
        </w:tc>
        <w:tc>
          <w:tcPr>
            <w:tcW w:w="288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16"/>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8"/>
              </w:rPr>
              <w:t>The Hague,</w:t>
            </w:r>
          </w:p>
        </w:tc>
        <w:tc>
          <w:tcPr>
            <w:tcW w:w="288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31"/>
        </w:trPr>
        <w:tc>
          <w:tcPr>
            <w:tcW w:w="3340" w:type="dxa"/>
            <w:vAlign w:val="bottom"/>
          </w:tcPr>
          <w:p>
            <w:pPr>
              <w:jc w:val="center"/>
              <w:spacing w:after="0"/>
              <w:rPr>
                <w:sz w:val="20"/>
                <w:szCs w:val="20"/>
                <w:color w:val="auto"/>
              </w:rPr>
            </w:pPr>
            <w:r>
              <w:rPr>
                <w:rFonts w:ascii="Arial" w:cs="Arial" w:eastAsia="Arial" w:hAnsi="Arial"/>
                <w:sz w:val="18"/>
                <w:szCs w:val="18"/>
                <w:b w:val="1"/>
                <w:bCs w:val="1"/>
                <w:color w:val="auto"/>
                <w:w w:val="89"/>
              </w:rPr>
              <w:t>The Netherlands</w:t>
            </w:r>
          </w:p>
        </w:tc>
        <w:tc>
          <w:tcPr>
            <w:tcW w:w="288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2514 JG</w:t>
            </w:r>
          </w:p>
        </w:tc>
      </w:tr>
      <w:tr>
        <w:trPr>
          <w:trHeight w:val="174"/>
        </w:trPr>
        <w:tc>
          <w:tcPr>
            <w:tcW w:w="3340" w:type="dxa"/>
            <w:vAlign w:val="bottom"/>
          </w:tcPr>
          <w:p>
            <w:pPr>
              <w:jc w:val="center"/>
              <w:spacing w:after="0"/>
              <w:rPr>
                <w:sz w:val="20"/>
                <w:szCs w:val="20"/>
                <w:color w:val="auto"/>
              </w:rPr>
            </w:pPr>
            <w:r>
              <w:rPr>
                <w:rFonts w:ascii="Arial" w:cs="Arial" w:eastAsia="Arial" w:hAnsi="Arial"/>
                <w:sz w:val="14"/>
                <w:szCs w:val="14"/>
                <w:b w:val="1"/>
                <w:bCs w:val="1"/>
                <w:color w:val="auto"/>
                <w:w w:val="84"/>
              </w:rPr>
              <w:t>(Addresses of principal executive offices)</w:t>
            </w:r>
          </w:p>
        </w:tc>
        <w:tc>
          <w:tcPr>
            <w:tcW w:w="2880" w:type="dxa"/>
            <w:vAlign w:val="bottom"/>
          </w:tcPr>
          <w:p>
            <w:pPr>
              <w:spacing w:after="0"/>
              <w:rPr>
                <w:sz w:val="15"/>
                <w:szCs w:val="15"/>
                <w:color w:val="auto"/>
              </w:rPr>
            </w:pPr>
          </w:p>
        </w:tc>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88"/>
              </w:rPr>
              <w:t>(Zip or Postal Codes)</w:t>
            </w:r>
          </w:p>
        </w:tc>
      </w:tr>
    </w:tbl>
    <w:p>
      <w:pPr>
        <w:spacing w:after="0" w:line="121" w:lineRule="exact"/>
        <w:rPr>
          <w:sz w:val="24"/>
          <w:szCs w:val="24"/>
          <w:color w:val="auto"/>
        </w:rPr>
      </w:pPr>
    </w:p>
    <w:p>
      <w:pPr>
        <w:jc w:val="center"/>
        <w:ind w:right="-8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-707390</wp:posOffset>
            </wp:positionH>
            <wp:positionV relativeFrom="paragraph">
              <wp:posOffset>124460</wp:posOffset>
            </wp:positionV>
            <wp:extent cx="725043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99"/>
          </w:cols>
          <w:pgMar w:left="1360" w:top="355" w:right="1440" w:bottom="1440" w:gutter="0" w:footer="0" w:header="0"/>
        </w:sectPr>
      </w:pPr>
    </w:p>
    <w:bookmarkStart w:id="1" w:name="page2"/>
    <w:bookmarkEnd w:id="1"/>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Item 7. </w:t>
      </w:r>
      <w:r>
        <w:rPr>
          <w:rFonts w:ascii="Arial" w:cs="Arial" w:eastAsia="Arial" w:hAnsi="Arial"/>
          <w:sz w:val="18"/>
          <w:szCs w:val="18"/>
          <w:b w:val="1"/>
          <w:bCs w:val="1"/>
          <w:color w:val="auto"/>
        </w:rPr>
        <w:t>FINANCIAL STATEMENTS AND EXHIBITS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furnished pursuant to Item 12 of this Form 8-K.</w:t>
      </w:r>
    </w:p>
    <w:p>
      <w:pPr>
        <w:spacing w:after="0" w:line="77"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Exhibits</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99.1  First Quarter 2004 Press Release dated April 23, 2004.</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99.2  Question and Answer document on the April 23, 2004 Press Release.</w:t>
      </w:r>
    </w:p>
    <w:p>
      <w:pPr>
        <w:spacing w:after="0" w:line="1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 xml:space="preserve">Item 12. </w:t>
      </w:r>
      <w:r>
        <w:rPr>
          <w:rFonts w:ascii="Arial" w:cs="Arial" w:eastAsia="Arial" w:hAnsi="Arial"/>
          <w:sz w:val="18"/>
          <w:szCs w:val="18"/>
          <w:b w:val="1"/>
          <w:bCs w:val="1"/>
          <w:color w:val="auto"/>
        </w:rPr>
        <w:t>RESULTS OF OPERATIONS AND FINANCIAL CONDITION</w:t>
      </w:r>
    </w:p>
    <w:p>
      <w:pPr>
        <w:spacing w:after="0" w:line="83"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First Quarter 2004 Press Release attached hereto as Exhibit 99.1, and the Question and Answer document attached hereto as Exhibit 99.2, which are incorporated in this Item 12 by reference, were posted on the Schlumberger internet web site (www.slb.com/ir) on April 23, 2004.</w:t>
      </w:r>
    </w:p>
    <w:p>
      <w:pPr>
        <w:spacing w:after="0" w:line="7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First Quarter 2004 Press Release and Question and Answer document, these documents also include the following non-GAAP financial measures (as defined under the SEC’s Regulation G):</w:t>
      </w:r>
    </w:p>
    <w:p>
      <w:pPr>
        <w:spacing w:after="0" w:line="46" w:lineRule="exact"/>
        <w:rPr>
          <w:sz w:val="20"/>
          <w:szCs w:val="20"/>
          <w:color w:val="auto"/>
        </w:rPr>
      </w:pPr>
    </w:p>
    <w:p>
      <w:pPr>
        <w:ind w:left="800" w:right="20" w:hanging="346"/>
        <w:spacing w:after="0" w:line="306" w:lineRule="auto"/>
        <w:tabs>
          <w:tab w:leader="none" w:pos="8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Net debt</w:t>
      </w:r>
      <w:r>
        <w:rPr>
          <w:rFonts w:ascii="Arial" w:cs="Arial" w:eastAsia="Arial" w:hAnsi="Arial"/>
          <w:sz w:val="16"/>
          <w:szCs w:val="16"/>
          <w:color w:val="auto"/>
        </w:rPr>
        <w:t>: 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the Company’s indebtedness by reflecting cash and investments that could be used to repay debt, and that the level of net debt provides useful information as to the results of the Company’s deleveraging efforts.</w:t>
      </w:r>
    </w:p>
    <w:p>
      <w:pPr>
        <w:spacing w:after="0" w:line="12" w:lineRule="exact"/>
        <w:rPr>
          <w:rFonts w:ascii="Arial" w:cs="Arial" w:eastAsia="Arial" w:hAnsi="Arial"/>
          <w:sz w:val="16"/>
          <w:szCs w:val="16"/>
          <w:color w:val="auto"/>
        </w:rPr>
      </w:pPr>
    </w:p>
    <w:p>
      <w:pPr>
        <w:ind w:left="800" w:right="1080" w:hanging="346"/>
        <w:spacing w:after="0" w:line="375" w:lineRule="auto"/>
        <w:tabs>
          <w:tab w:leader="none" w:pos="798"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Income from continuing operations before charges, diluted earnings per share before charges and effective tax rate before charges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following is a reconciliation of :</w:t>
      </w:r>
    </w:p>
    <w:p>
      <w:pPr>
        <w:spacing w:after="0" w:line="1"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6"/>
          <w:szCs w:val="16"/>
          <w:color w:val="auto"/>
        </w:rPr>
      </w:pPr>
      <w:r>
        <w:rPr>
          <w:rFonts w:ascii="Arial" w:cs="Arial" w:eastAsia="Arial" w:hAnsi="Arial"/>
          <w:sz w:val="16"/>
          <w:szCs w:val="16"/>
          <w:i w:val="1"/>
          <w:iCs w:val="1"/>
          <w:color w:val="auto"/>
        </w:rPr>
        <w:t xml:space="preserve">Income from continuing operations </w:t>
      </w:r>
      <w:r>
        <w:rPr>
          <w:rFonts w:ascii="Arial" w:cs="Arial" w:eastAsia="Arial" w:hAnsi="Arial"/>
          <w:sz w:val="16"/>
          <w:szCs w:val="16"/>
          <w:color w:val="auto"/>
        </w:rPr>
        <w:t>per the</w:t>
      </w:r>
      <w:r>
        <w:rPr>
          <w:rFonts w:ascii="Arial" w:cs="Arial" w:eastAsia="Arial" w:hAnsi="Arial"/>
          <w:sz w:val="16"/>
          <w:szCs w:val="16"/>
          <w:i w:val="1"/>
          <w:iCs w:val="1"/>
          <w:color w:val="auto"/>
        </w:rPr>
        <w:t xml:space="preserve"> Consolidated Statement of Income </w:t>
      </w:r>
      <w:r>
        <w:rPr>
          <w:rFonts w:ascii="Arial" w:cs="Arial" w:eastAsia="Arial" w:hAnsi="Arial"/>
          <w:sz w:val="16"/>
          <w:szCs w:val="16"/>
          <w:color w:val="auto"/>
        </w:rPr>
        <w:t>to Income from continuing operations before charges.</w:t>
      </w:r>
    </w:p>
    <w:p>
      <w:pPr>
        <w:spacing w:after="0" w:line="99" w:lineRule="exact"/>
        <w:rPr>
          <w:rFonts w:ascii="Arial" w:cs="Arial" w:eastAsia="Arial" w:hAnsi="Arial"/>
          <w:sz w:val="16"/>
          <w:szCs w:val="16"/>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Diluted earnings per share before charges.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Effective tax rate before charges.</w:t>
      </w:r>
    </w:p>
    <w:p>
      <w:pPr>
        <w:sectPr>
          <w:pgSz w:w="11900" w:h="16838" w:orient="portrait"/>
          <w:cols w:equalWidth="0" w:num="1">
            <w:col w:w="11380"/>
          </w:cols>
          <w:pgMar w:left="240" w:top="274" w:right="2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90" w:type="dxa"/>
            <w:vAlign w:val="bottom"/>
          </w:tcPr>
          <w:p>
            <w:pPr>
              <w:spacing w:after="0"/>
              <w:rPr>
                <w:sz w:val="15"/>
                <w:szCs w:val="15"/>
                <w:color w:val="auto"/>
              </w:rPr>
            </w:pPr>
          </w:p>
        </w:tc>
        <w:tc>
          <w:tcPr>
            <w:tcW w:w="69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14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4600" w:type="dxa"/>
            <w:vAlign w:val="bottom"/>
          </w:tcPr>
          <w:p>
            <w:pPr>
              <w:spacing w:after="0"/>
              <w:rPr>
                <w:sz w:val="17"/>
                <w:szCs w:val="17"/>
                <w:color w:val="auto"/>
              </w:rPr>
            </w:pPr>
          </w:p>
        </w:tc>
        <w:tc>
          <w:tcPr>
            <w:tcW w:w="90" w:type="dxa"/>
            <w:vAlign w:val="bottom"/>
          </w:tcPr>
          <w:p>
            <w:pPr>
              <w:spacing w:after="0"/>
              <w:rPr>
                <w:sz w:val="17"/>
                <w:szCs w:val="17"/>
                <w:color w:val="auto"/>
              </w:rPr>
            </w:pPr>
          </w:p>
        </w:tc>
        <w:tc>
          <w:tcPr>
            <w:tcW w:w="69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40" w:type="dxa"/>
            <w:vAlign w:val="bottom"/>
            <w:gridSpan w:val="4"/>
          </w:tcPr>
          <w:p>
            <w:pPr>
              <w:jc w:val="right"/>
              <w:ind w:right="780"/>
              <w:spacing w:after="0"/>
              <w:rPr>
                <w:sz w:val="20"/>
                <w:szCs w:val="20"/>
                <w:color w:val="auto"/>
              </w:rPr>
            </w:pPr>
            <w:r>
              <w:rPr>
                <w:rFonts w:ascii="Arial" w:cs="Arial" w:eastAsia="Arial" w:hAnsi="Arial"/>
                <w:sz w:val="14"/>
                <w:szCs w:val="14"/>
                <w:b w:val="1"/>
                <w:bCs w:val="1"/>
                <w:color w:val="auto"/>
              </w:rPr>
              <w:t>First Quarter 2004</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4600" w:type="dxa"/>
            <w:vAlign w:val="bottom"/>
          </w:tcPr>
          <w:p>
            <w:pPr>
              <w:spacing w:after="0"/>
              <w:rPr>
                <w:sz w:val="22"/>
                <w:szCs w:val="22"/>
                <w:color w:val="auto"/>
              </w:rPr>
            </w:pPr>
          </w:p>
        </w:tc>
        <w:tc>
          <w:tcPr>
            <w:tcW w:w="90" w:type="dxa"/>
            <w:vAlign w:val="bottom"/>
          </w:tcPr>
          <w:p>
            <w:pPr>
              <w:spacing w:after="0"/>
              <w:rPr>
                <w:sz w:val="22"/>
                <w:szCs w:val="22"/>
                <w:color w:val="auto"/>
              </w:rPr>
            </w:pPr>
          </w:p>
        </w:tc>
        <w:tc>
          <w:tcPr>
            <w:tcW w:w="690" w:type="dxa"/>
            <w:vAlign w:val="bottom"/>
          </w:tcPr>
          <w:p>
            <w:pPr>
              <w:jc w:val="right"/>
              <w:ind w:right="115"/>
              <w:spacing w:after="0"/>
              <w:rPr>
                <w:sz w:val="20"/>
                <w:szCs w:val="20"/>
                <w:color w:val="auto"/>
              </w:rPr>
            </w:pPr>
            <w:r>
              <w:rPr>
                <w:rFonts w:ascii="Arial" w:cs="Arial" w:eastAsia="Arial" w:hAnsi="Arial"/>
                <w:sz w:val="14"/>
                <w:szCs w:val="14"/>
                <w:b w:val="1"/>
                <w:bCs w:val="1"/>
                <w:color w:val="auto"/>
              </w:rPr>
              <w:t>Pretax</w:t>
            </w:r>
          </w:p>
        </w:tc>
        <w:tc>
          <w:tcPr>
            <w:tcW w:w="420" w:type="dxa"/>
            <w:vAlign w:val="bottom"/>
          </w:tcPr>
          <w:p>
            <w:pPr>
              <w:spacing w:after="0"/>
              <w:rPr>
                <w:sz w:val="22"/>
                <w:szCs w:val="22"/>
                <w:color w:val="auto"/>
              </w:rPr>
            </w:pPr>
          </w:p>
        </w:tc>
        <w:tc>
          <w:tcPr>
            <w:tcW w:w="600" w:type="dxa"/>
            <w:vAlign w:val="bottom"/>
          </w:tcPr>
          <w:p>
            <w:pPr>
              <w:jc w:val="right"/>
              <w:ind w:right="104"/>
              <w:spacing w:after="0"/>
              <w:rPr>
                <w:sz w:val="20"/>
                <w:szCs w:val="20"/>
                <w:color w:val="auto"/>
              </w:rPr>
            </w:pPr>
            <w:r>
              <w:rPr>
                <w:rFonts w:ascii="Arial" w:cs="Arial" w:eastAsia="Arial" w:hAnsi="Arial"/>
                <w:sz w:val="14"/>
                <w:szCs w:val="14"/>
                <w:b w:val="1"/>
                <w:bCs w:val="1"/>
                <w:color w:val="auto"/>
              </w:rPr>
              <w:t>Tax</w:t>
            </w:r>
          </w:p>
        </w:tc>
        <w:tc>
          <w:tcPr>
            <w:tcW w:w="440" w:type="dxa"/>
            <w:vAlign w:val="bottom"/>
          </w:tcPr>
          <w:p>
            <w:pPr>
              <w:spacing w:after="0"/>
              <w:rPr>
                <w:sz w:val="22"/>
                <w:szCs w:val="22"/>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Min Int</w:t>
            </w:r>
          </w:p>
        </w:tc>
        <w:tc>
          <w:tcPr>
            <w:tcW w:w="100" w:type="dxa"/>
            <w:vAlign w:val="bottom"/>
          </w:tcPr>
          <w:p>
            <w:pPr>
              <w:spacing w:after="0"/>
              <w:rPr>
                <w:sz w:val="22"/>
                <w:szCs w:val="22"/>
                <w:color w:val="auto"/>
              </w:rPr>
            </w:pPr>
          </w:p>
        </w:tc>
        <w:tc>
          <w:tcPr>
            <w:tcW w:w="7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 Consolidated Statement of Income</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186,097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$ 56,276</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(2,982)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126,839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Add back Charges:</w:t>
            </w:r>
          </w:p>
        </w:tc>
        <w:tc>
          <w:tcPr>
            <w:tcW w:w="90" w:type="dxa"/>
            <w:vAlign w:val="bottom"/>
          </w:tcPr>
          <w:p>
            <w:pPr>
              <w:spacing w:after="0"/>
              <w:rPr>
                <w:sz w:val="18"/>
                <w:szCs w:val="18"/>
                <w:color w:val="auto"/>
              </w:rPr>
            </w:pPr>
          </w:p>
        </w:tc>
        <w:tc>
          <w:tcPr>
            <w:tcW w:w="69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Debt extinguishment costs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77,482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 Loss recognized on interest-rate swaps</w:t>
            </w:r>
          </w:p>
        </w:tc>
        <w:tc>
          <w:tcPr>
            <w:tcW w:w="90" w:type="dxa"/>
            <w:vAlign w:val="bottom"/>
          </w:tcPr>
          <w:p>
            <w:pPr>
              <w:spacing w:after="0"/>
              <w:rPr>
                <w:sz w:val="18"/>
                <w:szCs w:val="18"/>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73,515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27,164</w:t>
            </w:r>
          </w:p>
        </w:tc>
        <w:tc>
          <w:tcPr>
            <w:tcW w:w="440" w:type="dxa"/>
            <w:vAlign w:val="bottom"/>
          </w:tcPr>
          <w:p>
            <w:pPr>
              <w:spacing w:after="0"/>
              <w:rPr>
                <w:sz w:val="18"/>
                <w:szCs w:val="18"/>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46,351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Loss on sale of Atos Origin shares</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20" w:type="dxa"/>
            <w:vAlign w:val="bottom"/>
            <w:gridSpan w:val="2"/>
          </w:tcPr>
          <w:p>
            <w:pPr>
              <w:spacing w:after="0"/>
              <w:rPr>
                <w:sz w:val="20"/>
                <w:szCs w:val="20"/>
                <w:color w:val="auto"/>
              </w:rPr>
            </w:pPr>
            <w:r>
              <w:rPr>
                <w:rFonts w:ascii="Arial" w:cs="Arial" w:eastAsia="Arial" w:hAnsi="Arial"/>
                <w:sz w:val="18"/>
                <w:szCs w:val="18"/>
                <w:color w:val="auto"/>
              </w:rPr>
              <w:t>- Restructuring program charge</w:t>
            </w:r>
          </w:p>
        </w:tc>
        <w:tc>
          <w:tcPr>
            <w:tcW w:w="90" w:type="dxa"/>
            <w:vAlign w:val="bottom"/>
          </w:tcPr>
          <w:p>
            <w:pPr>
              <w:spacing w:after="0"/>
              <w:rPr>
                <w:sz w:val="19"/>
                <w:szCs w:val="19"/>
                <w:color w:val="auto"/>
              </w:rPr>
            </w:pPr>
          </w:p>
        </w:tc>
        <w:tc>
          <w:tcPr>
            <w:tcW w:w="690" w:type="dxa"/>
            <w:vAlign w:val="bottom"/>
          </w:tcPr>
          <w:p>
            <w:pPr>
              <w:jc w:val="right"/>
              <w:spacing w:after="0"/>
              <w:rPr>
                <w:sz w:val="20"/>
                <w:szCs w:val="20"/>
                <w:color w:val="auto"/>
              </w:rPr>
            </w:pPr>
            <w:r>
              <w:rPr>
                <w:rFonts w:ascii="Arial" w:cs="Arial" w:eastAsia="Arial" w:hAnsi="Arial"/>
                <w:sz w:val="18"/>
                <w:szCs w:val="18"/>
                <w:color w:val="auto"/>
              </w:rPr>
              <w:t>19,500</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5,500</w:t>
            </w:r>
          </w:p>
        </w:tc>
        <w:tc>
          <w:tcPr>
            <w:tcW w:w="440" w:type="dxa"/>
            <w:vAlign w:val="bottom"/>
          </w:tcPr>
          <w:p>
            <w:pPr>
              <w:spacing w:after="0"/>
              <w:rPr>
                <w:sz w:val="19"/>
                <w:szCs w:val="19"/>
                <w:color w:val="auto"/>
              </w:rPr>
            </w:pPr>
          </w:p>
        </w:tc>
        <w:tc>
          <w:tcPr>
            <w:tcW w:w="11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14,000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Borders>
              <w:bottom w:val="single" w:sz="8" w:color="auto"/>
            </w:tcBorders>
          </w:tcPr>
          <w:p>
            <w:pPr>
              <w:spacing w:after="0"/>
              <w:rPr>
                <w:sz w:val="8"/>
                <w:szCs w:val="8"/>
                <w:color w:val="auto"/>
              </w:rPr>
            </w:pPr>
          </w:p>
        </w:tc>
        <w:tc>
          <w:tcPr>
            <w:tcW w:w="690" w:type="dxa"/>
            <w:vAlign w:val="bottom"/>
            <w:tcBorders>
              <w:bottom w:val="single" w:sz="8" w:color="auto"/>
            </w:tcBorders>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620" w:type="dxa"/>
            <w:vAlign w:val="bottom"/>
          </w:tcPr>
          <w:p>
            <w:pPr>
              <w:spacing w:after="0"/>
              <w:rPr>
                <w:sz w:val="8"/>
                <w:szCs w:val="8"/>
                <w:color w:val="auto"/>
              </w:rPr>
            </w:pPr>
          </w:p>
        </w:tc>
        <w:tc>
          <w:tcPr>
            <w:tcW w:w="4600" w:type="dxa"/>
            <w:vAlign w:val="bottom"/>
          </w:tcPr>
          <w:p>
            <w:pPr>
              <w:spacing w:after="0"/>
              <w:rPr>
                <w:sz w:val="8"/>
                <w:szCs w:val="8"/>
                <w:color w:val="auto"/>
              </w:rPr>
            </w:pPr>
          </w:p>
        </w:tc>
        <w:tc>
          <w:tcPr>
            <w:tcW w:w="90" w:type="dxa"/>
            <w:vAlign w:val="bottom"/>
          </w:tcPr>
          <w:p>
            <w:pPr>
              <w:spacing w:after="0"/>
              <w:rPr>
                <w:sz w:val="8"/>
                <w:szCs w:val="8"/>
                <w:color w:val="auto"/>
              </w:rPr>
            </w:pPr>
          </w:p>
        </w:tc>
        <w:tc>
          <w:tcPr>
            <w:tcW w:w="690" w:type="dxa"/>
            <w:vAlign w:val="bottom"/>
          </w:tcPr>
          <w:p>
            <w:pPr>
              <w:spacing w:after="0"/>
              <w:rPr>
                <w:sz w:val="8"/>
                <w:szCs w:val="8"/>
                <w:color w:val="auto"/>
              </w:rPr>
            </w:pPr>
          </w:p>
        </w:tc>
        <w:tc>
          <w:tcPr>
            <w:tcW w:w="420" w:type="dxa"/>
            <w:vAlign w:val="bottom"/>
          </w:tcPr>
          <w:p>
            <w:pPr>
              <w:spacing w:after="0"/>
              <w:rPr>
                <w:sz w:val="8"/>
                <w:szCs w:val="8"/>
                <w:color w:val="auto"/>
              </w:rPr>
            </w:pPr>
          </w:p>
        </w:tc>
        <w:tc>
          <w:tcPr>
            <w:tcW w:w="60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w:t>
            </w:r>
          </w:p>
        </w:tc>
        <w:tc>
          <w:tcPr>
            <w:tcW w:w="9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370,924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$ 88,940</w:t>
            </w:r>
          </w:p>
        </w:tc>
        <w:tc>
          <w:tcPr>
            <w:tcW w:w="15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 (2,982)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279,002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4600" w:type="dxa"/>
            <w:vAlign w:val="bottom"/>
          </w:tcPr>
          <w:p>
            <w:pPr>
              <w:spacing w:after="0"/>
              <w:rPr>
                <w:sz w:val="11"/>
                <w:szCs w:val="11"/>
                <w:color w:val="auto"/>
              </w:rPr>
            </w:pPr>
          </w:p>
        </w:tc>
        <w:tc>
          <w:tcPr>
            <w:tcW w:w="90" w:type="dxa"/>
            <w:vAlign w:val="bottom"/>
            <w:tcBorders>
              <w:bottom w:val="single" w:sz="8" w:color="auto"/>
            </w:tcBorders>
          </w:tcPr>
          <w:p>
            <w:pPr>
              <w:spacing w:after="0"/>
              <w:rPr>
                <w:sz w:val="11"/>
                <w:szCs w:val="11"/>
                <w:color w:val="auto"/>
              </w:rPr>
            </w:pPr>
          </w:p>
        </w:tc>
        <w:tc>
          <w:tcPr>
            <w:tcW w:w="69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620" w:type="dxa"/>
            <w:vAlign w:val="bottom"/>
          </w:tcPr>
          <w:p>
            <w:pPr>
              <w:spacing w:after="0"/>
              <w:rPr>
                <w:sz w:val="9"/>
                <w:szCs w:val="9"/>
                <w:color w:val="auto"/>
              </w:rPr>
            </w:pPr>
          </w:p>
        </w:tc>
        <w:tc>
          <w:tcPr>
            <w:tcW w:w="4600" w:type="dxa"/>
            <w:vAlign w:val="bottom"/>
          </w:tcPr>
          <w:p>
            <w:pPr>
              <w:spacing w:after="0"/>
              <w:rPr>
                <w:sz w:val="9"/>
                <w:szCs w:val="9"/>
                <w:color w:val="auto"/>
              </w:rPr>
            </w:pPr>
          </w:p>
        </w:tc>
        <w:tc>
          <w:tcPr>
            <w:tcW w:w="90" w:type="dxa"/>
            <w:vAlign w:val="bottom"/>
          </w:tcPr>
          <w:p>
            <w:pPr>
              <w:spacing w:after="0"/>
              <w:rPr>
                <w:sz w:val="9"/>
                <w:szCs w:val="9"/>
                <w:color w:val="auto"/>
              </w:rPr>
            </w:pPr>
          </w:p>
        </w:tc>
        <w:tc>
          <w:tcPr>
            <w:tcW w:w="69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0" w:type="dxa"/>
            <w:vAlign w:val="bottom"/>
          </w:tcPr>
          <w:p>
            <w:pPr>
              <w:spacing w:after="0"/>
              <w:rPr>
                <w:sz w:val="9"/>
                <w:szCs w:val="9"/>
                <w:color w:val="auto"/>
              </w:rPr>
            </w:pPr>
          </w:p>
        </w:tc>
        <w:tc>
          <w:tcPr>
            <w:tcW w:w="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Continuing operations before charges</w:t>
            </w:r>
          </w:p>
        </w:tc>
        <w:tc>
          <w:tcPr>
            <w:tcW w:w="90" w:type="dxa"/>
            <w:vAlign w:val="bottom"/>
            <w:shd w:val="clear" w:color="auto" w:fill="CCEEFF"/>
          </w:tcPr>
          <w:p>
            <w:pPr>
              <w:spacing w:after="0"/>
              <w:rPr>
                <w:sz w:val="17"/>
                <w:szCs w:val="17"/>
                <w:color w:val="auto"/>
              </w:rPr>
            </w:pPr>
          </w:p>
        </w:tc>
        <w:tc>
          <w:tcPr>
            <w:tcW w:w="69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Effective tax rate</w:t>
            </w:r>
          </w:p>
        </w:tc>
        <w:tc>
          <w:tcPr>
            <w:tcW w:w="4600" w:type="dxa"/>
            <w:vAlign w:val="bottom"/>
            <w:tcBorders>
              <w:top w:val="single" w:sz="8" w:color="CCEEFF"/>
            </w:tcBorders>
          </w:tcPr>
          <w:p>
            <w:pPr>
              <w:spacing w:after="0"/>
              <w:rPr>
                <w:sz w:val="18"/>
                <w:szCs w:val="18"/>
                <w:color w:val="auto"/>
              </w:rPr>
            </w:pPr>
          </w:p>
        </w:tc>
        <w:tc>
          <w:tcPr>
            <w:tcW w:w="90" w:type="dxa"/>
            <w:vAlign w:val="bottom"/>
            <w:tcBorders>
              <w:top w:val="single" w:sz="8" w:color="CCEEFF"/>
            </w:tcBorders>
          </w:tcPr>
          <w:p>
            <w:pPr>
              <w:spacing w:after="0"/>
              <w:rPr>
                <w:sz w:val="18"/>
                <w:szCs w:val="18"/>
                <w:color w:val="auto"/>
              </w:rPr>
            </w:pPr>
          </w:p>
        </w:tc>
        <w:tc>
          <w:tcPr>
            <w:tcW w:w="69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90" w:type="dxa"/>
            <w:vAlign w:val="bottom"/>
            <w:shd w:val="clear" w:color="auto" w:fill="CCEEFF"/>
          </w:tcPr>
          <w:p>
            <w:pPr>
              <w:spacing w:after="0"/>
              <w:rPr>
                <w:sz w:val="18"/>
                <w:szCs w:val="18"/>
                <w:color w:val="auto"/>
              </w:rPr>
            </w:pPr>
          </w:p>
        </w:tc>
        <w:tc>
          <w:tcPr>
            <w:tcW w:w="69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-507365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-507365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-507365</wp:posOffset>
            </wp:positionV>
            <wp:extent cx="2159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-507365</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-507365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-507365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6014720</wp:posOffset>
            </wp:positionH>
            <wp:positionV relativeFrom="paragraph">
              <wp:posOffset>-507365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-507365</wp:posOffset>
            </wp:positionV>
            <wp:extent cx="2159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-507365</wp:posOffset>
            </wp:positionV>
            <wp:extent cx="3873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-507365</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-507365</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7146925</wp:posOffset>
            </wp:positionH>
            <wp:positionV relativeFrom="paragraph">
              <wp:posOffset>-507365</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ind w:left="920" w:right="560"/>
        <w:spacing w:after="0" w:line="325" w:lineRule="auto"/>
        <w:rPr>
          <w:sz w:val="20"/>
          <w:szCs w:val="20"/>
          <w:color w:val="auto"/>
        </w:rPr>
      </w:pPr>
      <w:r>
        <w:rPr>
          <w:rFonts w:ascii="Arial" w:cs="Arial" w:eastAsia="Arial" w:hAnsi="Arial"/>
          <w:sz w:val="16"/>
          <w:szCs w:val="16"/>
          <w:u w:val="single" w:color="auto"/>
          <w:color w:val="auto"/>
        </w:rPr>
        <w:t>Reasons for excluding charges</w:t>
      </w:r>
      <w:r>
        <w:rPr>
          <w:rFonts w:ascii="Arial" w:cs="Arial" w:eastAsia="Arial" w:hAnsi="Arial"/>
          <w:sz w:val="16"/>
          <w:szCs w:val="16"/>
          <w:color w:val="auto"/>
        </w:rPr>
        <w:t xml:space="preserve"> - Management believes that the exclusion of these items enables it to evaluate more effectively the Company’s operations period over period and to identify operating trends that could otherwise be masked by the excluded items.</w:t>
      </w:r>
    </w:p>
    <w:p>
      <w:pPr>
        <w:spacing w:after="0" w:line="1" w:lineRule="exact"/>
        <w:rPr>
          <w:sz w:val="20"/>
          <w:szCs w:val="20"/>
          <w:color w:val="auto"/>
        </w:rPr>
      </w:pPr>
    </w:p>
    <w:p>
      <w:pPr>
        <w:ind w:left="800" w:right="440" w:hanging="346"/>
        <w:spacing w:after="0" w:line="259" w:lineRule="auto"/>
        <w:tabs>
          <w:tab w:leader="none" w:pos="80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expense before swap-related charges. </w:t>
      </w:r>
      <w:r>
        <w:rPr>
          <w:rFonts w:ascii="Arial" w:cs="Arial" w:eastAsia="Arial" w:hAnsi="Arial"/>
          <w:sz w:val="18"/>
          <w:szCs w:val="18"/>
          <w:color w:val="auto"/>
        </w:rPr>
        <w:t>Management believes that the exclusion of the loss recognized on interest rate swaps enables it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evaluate more effectively the Company’s operations period over period and to identify operating trends that could otherwise be masked by the excluded items.</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the Company’s financial statements and filings with the Securities and Exchange Commission.</w:t>
      </w:r>
    </w:p>
    <w:p>
      <w:pPr>
        <w:sectPr>
          <w:pgSz w:w="11900" w:h="16838" w:orient="portrait"/>
          <w:cols w:equalWidth="0" w:num="1">
            <w:col w:w="11420"/>
          </w:cols>
          <w:pgMar w:left="240" w:top="275" w:right="2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Frank A. Sorgie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80010</wp:posOffset>
            </wp:positionV>
            <wp:extent cx="1912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12620" cy="8890"/>
                    </a:xfrm>
                    <a:prstGeom prst="rect">
                      <a:avLst/>
                    </a:prstGeom>
                    <a:noFill/>
                  </pic:spPr>
                </pic:pic>
              </a:graphicData>
            </a:graphic>
          </wp:anchor>
        </w:drawing>
      </w:r>
    </w:p>
    <w:p>
      <w:pPr>
        <w:spacing w:after="0" w:line="219"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Frank A. Sorgie</w:t>
      </w:r>
    </w:p>
    <w:p>
      <w:pPr>
        <w:spacing w:after="0" w:line="15"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April 23, 2004</w:t>
      </w:r>
    </w:p>
    <w:p>
      <w:pPr>
        <w:sectPr>
          <w:pgSz w:w="11900" w:h="16838" w:orient="portrait"/>
          <w:cols w:equalWidth="0" w:num="1">
            <w:col w:w="11400"/>
          </w:cols>
          <w:pgMar w:left="240" w:top="274" w:right="2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First Quarter 2004 Results</w:t>
      </w:r>
    </w:p>
    <w:p>
      <w:pPr>
        <w:spacing w:after="0" w:line="158"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 xml:space="preserve">NEW YORK, April 23, 2004 </w:t>
      </w:r>
      <w:r>
        <w:rPr>
          <w:rFonts w:ascii="Arial" w:cs="Arial" w:eastAsia="Arial" w:hAnsi="Arial"/>
          <w:sz w:val="18"/>
          <w:szCs w:val="18"/>
          <w:color w:val="auto"/>
        </w:rPr>
        <w:t>- Schlumberger Limited (NYSE:SLB) today reported first quarter 2004 operating revenue of $3.02 billion versus $2.65 billion in</w:t>
      </w:r>
      <w:r>
        <w:rPr>
          <w:rFonts w:ascii="Arial" w:cs="Arial" w:eastAsia="Arial" w:hAnsi="Arial"/>
          <w:sz w:val="18"/>
          <w:szCs w:val="18"/>
          <w:b w:val="1"/>
          <w:bCs w:val="1"/>
          <w:color w:val="auto"/>
        </w:rPr>
        <w:t xml:space="preserve"> </w:t>
      </w:r>
      <w:r>
        <w:rPr>
          <w:rFonts w:ascii="Arial" w:cs="Arial" w:eastAsia="Arial" w:hAnsi="Arial"/>
          <w:sz w:val="18"/>
          <w:szCs w:val="18"/>
          <w:color w:val="auto"/>
        </w:rPr>
        <w:t>2003. Income from continuing operations (before the previously announced charges) of $279 million, or $0.47 per share, was 87% higher than last year. Including after-tax charges of $152 million, income from continuing operations was $127 million, or $0.22 per share.</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Discontinued operations recorded a gain of $93 million ($0.15 per share) in the quarter, resulting in net income of $220 million, or $0.37 per share.</w:t>
      </w:r>
    </w:p>
    <w:p>
      <w:pPr>
        <w:spacing w:after="0" w:line="18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Oilfield Services revenue of $2.36 billion increased 2% compared to the fourth quarter of 2003, and 15% compared to the same quarter of last year. Pretax operating income of $423 million increased 1% sequentially and 31% year-on-year.</w:t>
      </w:r>
    </w:p>
    <w:p>
      <w:pPr>
        <w:spacing w:after="0" w:line="118"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WesternGeco revenue of $313 million was 2% higher sequentially and year-on-year. Pretax operating income of $34 million improved $1 million sequentially and compared to break-even in the first quarter of 2003.</w:t>
      </w:r>
    </w:p>
    <w:p>
      <w:pPr>
        <w:spacing w:after="0" w:line="118"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Other activities, which comprise mainly Axalto, Electricity Meters North America and Business Continuity had revenue of $349 million and pretax operating income of $26 million.</w:t>
      </w:r>
    </w:p>
    <w:p>
      <w:pPr>
        <w:spacing w:after="0" w:line="118"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Schlumberger Chairman and CEO Andrew Gould commented, “First quarter activity was particularly strong in Canada, India, Indonesia, West Africa, and on land in the United States. These gains offset slow activity in Venezuela, the Gulf Coast, and the Caspian. Western-Geco continued to progress due largely to recovery in Multiclient sales in the Gulf of Mexico.</w:t>
      </w:r>
    </w:p>
    <w:p>
      <w:pPr>
        <w:spacing w:after="0" w:line="12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quarter marked the completion of the sale of SchlumbergerSema as well as the divestiture of a number of other non-oilfield businesses. As a result, net debt dropped below $3 billion at the end of the quarter. Programs for the remaining divestitures are in place and significant steps have been made to restructure our debt for a more efficient capital structure.</w:t>
      </w:r>
    </w:p>
    <w:p>
      <w:pPr>
        <w:spacing w:after="0" w:line="12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activity confirmed our belief that E&amp;P spending will remain robust in the face of increased demand from China and the United States. While fundamentals for the remainder of the year remain strong, geopolitical and local industry conditions continue to restrict investment and activity in some parts of the world, moderating short-term growth.”</w:t>
      </w:r>
    </w:p>
    <w:p>
      <w:pPr>
        <w:sectPr>
          <w:pgSz w:w="11900" w:h="16838" w:orient="portrait"/>
          <w:cols w:equalWidth="0" w:num="1">
            <w:col w:w="11420"/>
          </w:cols>
          <w:pgMar w:left="240" w:top="125"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w:t>
      </w:r>
      <w:r>
        <w:rPr>
          <w:rFonts w:ascii="Arial" w:cs="Arial" w:eastAsia="Arial" w:hAnsi="Arial"/>
          <w:sz w:val="18"/>
          <w:szCs w:val="18"/>
          <w:color w:val="auto"/>
        </w:rPr>
        <w:t>:</w:t>
      </w:r>
    </w:p>
    <w:p>
      <w:pPr>
        <w:spacing w:after="0" w:line="77" w:lineRule="exact"/>
        <w:rPr>
          <w:sz w:val="20"/>
          <w:szCs w:val="20"/>
          <w:color w:val="auto"/>
        </w:rPr>
      </w:pPr>
    </w:p>
    <w:p>
      <w:pPr>
        <w:ind w:left="800" w:right="120" w:hanging="346"/>
        <w:spacing w:after="0" w:line="259" w:lineRule="auto"/>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24, Schlumberger Limited announced that a prospectus (“Document de Base”) has been registered with the French “Autorité des Marchés Financiers”, in connection with the proposed initial public offering (IPO) of the common stock of Axalto. Schlumberger expects to proceed with an offer of a majority of the shares of Axalto as and when market conditions permit.</w:t>
      </w:r>
    </w:p>
    <w:p>
      <w:pPr>
        <w:spacing w:after="0" w:line="45"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8, Schlumberger entered into agreements with IBM for the sale of the Business Continuity Services activity.</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12, Schlumberger Limited announced charges from continuing operations to be taken in the first quarter:</w:t>
      </w:r>
    </w:p>
    <w:p>
      <w:pPr>
        <w:spacing w:after="0" w:line="76" w:lineRule="exact"/>
        <w:rPr>
          <w:rFonts w:ascii="Arial" w:cs="Arial" w:eastAsia="Arial" w:hAnsi="Arial"/>
          <w:sz w:val="18"/>
          <w:szCs w:val="18"/>
          <w:color w:val="auto"/>
        </w:rPr>
      </w:pPr>
    </w:p>
    <w:p>
      <w:pPr>
        <w:ind w:left="1260" w:hanging="455"/>
        <w:spacing w:after="0" w:line="256"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Schlumberger plc (SPLC) accepted tenders for the outstanding £175 million SPLC 6.50% Guaranteed Bonds due 2032. In addition, Schlumberger SA (SSA) bought back €25 million of the outstanding €274 million SSA 5.25% Guaranteed Bonds due 2008 and €8 million of the outstanding €259 million SSA 5.875% Guaranteed Bonds due 2011. As a result, Schlumberger recorded a pretax and after-tax charge of $77 million, which includes market and tender premiums, and transaction costs.</w:t>
      </w:r>
    </w:p>
    <w:p>
      <w:pPr>
        <w:spacing w:after="0" w:line="48" w:lineRule="exact"/>
        <w:rPr>
          <w:rFonts w:ascii="Arial" w:cs="Arial" w:eastAsia="Arial" w:hAnsi="Arial"/>
          <w:sz w:val="18"/>
          <w:szCs w:val="18"/>
          <w:color w:val="auto"/>
        </w:rPr>
      </w:pPr>
    </w:p>
    <w:p>
      <w:pPr>
        <w:ind w:left="1260" w:right="180" w:hanging="455"/>
        <w:spacing w:after="0" w:line="259"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Schlumberger paid off its commercial paper program in the US. As a result, the Company’s $500 million US interest-rate swaps that were designated as cash-flow hedges became ineffective. Schlumberger recorded a pretax non-cash charge of $73 million ($46 million after-tax) to recognize unrealized losses previously recorded in Other Comprehensive Income.</w:t>
      </w:r>
    </w:p>
    <w:p>
      <w:pPr>
        <w:spacing w:after="0" w:line="45" w:lineRule="exact"/>
        <w:rPr>
          <w:rFonts w:ascii="Arial" w:cs="Arial" w:eastAsia="Arial" w:hAnsi="Arial"/>
          <w:sz w:val="18"/>
          <w:szCs w:val="18"/>
          <w:color w:val="auto"/>
        </w:rPr>
      </w:pPr>
    </w:p>
    <w:p>
      <w:pPr>
        <w:ind w:left="1260" w:right="100" w:hanging="455"/>
        <w:spacing w:after="0" w:line="259"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Schlumberger sold 9.6 million ordinary shares of Atos Origin SA at a price of €52.95 per share. The net consideration for the sale was $625 million and Schlumberger recorded a pretax and after-tax loss of $14 million on this transaction which reflects both banking fees and currency effect.</w:t>
      </w:r>
    </w:p>
    <w:p>
      <w:pPr>
        <w:spacing w:after="0" w:line="45" w:lineRule="exact"/>
        <w:rPr>
          <w:rFonts w:ascii="Arial" w:cs="Arial" w:eastAsia="Arial" w:hAnsi="Arial"/>
          <w:sz w:val="18"/>
          <w:szCs w:val="18"/>
          <w:color w:val="auto"/>
        </w:rPr>
      </w:pPr>
    </w:p>
    <w:p>
      <w:pPr>
        <w:ind w:left="1260" w:right="280" w:hanging="455"/>
        <w:spacing w:after="0" w:line="268"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Schlumberger is undertaking a restructuring program in order to reduce overhead. Consequently a pretax charge of $20 million ($14 million after-tax) was taken in the quarter.</w:t>
      </w:r>
    </w:p>
    <w:p>
      <w:pPr>
        <w:spacing w:after="0" w:line="37" w:lineRule="exact"/>
        <w:rPr>
          <w:rFonts w:ascii="Arial" w:cs="Arial" w:eastAsia="Arial" w:hAnsi="Arial"/>
          <w:sz w:val="18"/>
          <w:szCs w:val="18"/>
          <w:color w:val="auto"/>
        </w:rPr>
      </w:pPr>
    </w:p>
    <w:p>
      <w:pPr>
        <w:ind w:left="800" w:hanging="346"/>
        <w:spacing w:after="0"/>
        <w:tabs>
          <w:tab w:leader="none" w:pos="8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April 12, Schlumberger Limited also announced the following transactions which were recorded as discontinued operations:</w:t>
      </w:r>
    </w:p>
    <w:p>
      <w:pPr>
        <w:spacing w:after="0" w:line="76" w:lineRule="exact"/>
        <w:rPr>
          <w:rFonts w:ascii="Arial" w:cs="Arial" w:eastAsia="Arial" w:hAnsi="Arial"/>
          <w:sz w:val="18"/>
          <w:szCs w:val="18"/>
          <w:color w:val="auto"/>
        </w:rPr>
      </w:pPr>
    </w:p>
    <w:p>
      <w:pPr>
        <w:ind w:left="1260" w:right="20" w:hanging="455"/>
        <w:spacing w:after="0" w:line="255"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The sale of the SchlumbergerSema business was completed in January 2004. Schlumberger received €443 million ($555 million) in cash and 19.3 million shares of common stock of Atos Origin with a value of €1.02 billion ($1.275 billion), which represented approximately 29% of the outstanding common shares of Atos Origin. As at the end of March 2004, Schlumberger held about 14.5% of the share capital of Atos Origin after selling 9.6 million shares for $625 million. This investment is accounted for using the cost method as of February 2, 2004. The estimated gain on the sale is $26 million.</w:t>
      </w:r>
    </w:p>
    <w:p>
      <w:pPr>
        <w:sectPr>
          <w:pgSz w:w="11900" w:h="16838" w:orient="portrait"/>
          <w:cols w:equalWidth="0" w:num="1">
            <w:col w:w="11360"/>
          </w:cols>
          <w:pgMar w:left="240" w:top="280" w:right="299" w:bottom="1440" w:gutter="0" w:footer="0" w:header="0"/>
        </w:sectPr>
      </w:pPr>
    </w:p>
    <w:bookmarkStart w:id="6" w:name="page7"/>
    <w:bookmarkEnd w:id="6"/>
    <w:p>
      <w:pPr>
        <w:ind w:left="455" w:hanging="455"/>
        <w:spacing w:after="0"/>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sold its Infodata business unit for an all-cash amount of $104 million. The gain on the sale was $50 million.</w:t>
      </w:r>
    </w:p>
    <w:p>
      <w:pPr>
        <w:spacing w:after="0" w:line="76" w:lineRule="exact"/>
        <w:rPr>
          <w:rFonts w:ascii="Arial" w:cs="Arial" w:eastAsia="Arial" w:hAnsi="Arial"/>
          <w:sz w:val="18"/>
          <w:szCs w:val="18"/>
          <w:color w:val="auto"/>
        </w:rPr>
      </w:pPr>
    </w:p>
    <w:p>
      <w:pPr>
        <w:ind w:left="455" w:hanging="455"/>
        <w:spacing w:after="0" w:line="259" w:lineRule="auto"/>
        <w:tabs>
          <w:tab w:leader="none" w:pos="455" w:val="left"/>
        </w:tabs>
        <w:numPr>
          <w:ilvl w:val="0"/>
          <w:numId w:val="5"/>
        </w:numPr>
        <w:rPr>
          <w:rFonts w:ascii="Arial" w:cs="Arial" w:eastAsia="Arial" w:hAnsi="Arial"/>
          <w:sz w:val="18"/>
          <w:szCs w:val="18"/>
          <w:color w:val="auto"/>
        </w:rPr>
      </w:pPr>
      <w:r>
        <w:rPr>
          <w:rFonts w:ascii="Arial" w:cs="Arial" w:eastAsia="Arial" w:hAnsi="Arial"/>
          <w:sz w:val="18"/>
          <w:szCs w:val="18"/>
          <w:color w:val="auto"/>
        </w:rPr>
        <w:t>Schlumberger sold its Telecom Billing Software activity for an all-cash amount of $37 million, excluding future cash payments of $10 million. The gain on the sale was $17 million. Schlumberger continues to retain the Telecom Messaging Software activity, which is under active exit negotiations.</w:t>
      </w:r>
    </w:p>
    <w:p>
      <w:pPr>
        <w:sectPr>
          <w:pgSz w:w="11900" w:h="16838" w:orient="portrait"/>
          <w:cols w:equalWidth="0" w:num="1">
            <w:col w:w="10475"/>
          </w:cols>
          <w:pgMar w:left="1045" w:top="280" w:right="37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4540" w:type="dxa"/>
            <w:vAlign w:val="bottom"/>
            <w:gridSpan w:val="8"/>
          </w:tcPr>
          <w:p>
            <w:pPr>
              <w:jc w:val="right"/>
              <w:spacing w:after="0"/>
              <w:rPr>
                <w:sz w:val="20"/>
                <w:szCs w:val="20"/>
                <w:color w:val="auto"/>
              </w:rPr>
            </w:pPr>
            <w:r>
              <w:rPr>
                <w:rFonts w:ascii="Arial" w:cs="Arial" w:eastAsia="Arial" w:hAnsi="Arial"/>
                <w:sz w:val="14"/>
                <w:szCs w:val="14"/>
                <w:i w:val="1"/>
                <w:iCs w:val="1"/>
                <w:color w:val="auto"/>
              </w:rPr>
              <w:t>(Stated in thousands except per share amounts)</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Three Months</w:t>
            </w:r>
          </w:p>
        </w:tc>
        <w:tc>
          <w:tcPr>
            <w:tcW w:w="0" w:type="dxa"/>
            <w:vAlign w:val="bottom"/>
          </w:tcPr>
          <w:p>
            <w:pPr>
              <w:spacing w:after="0"/>
              <w:rPr>
                <w:sz w:val="1"/>
                <w:szCs w:val="1"/>
                <w:color w:val="auto"/>
              </w:rPr>
            </w:pPr>
          </w:p>
        </w:tc>
      </w:tr>
      <w:tr>
        <w:trPr>
          <w:trHeight w:val="95"/>
        </w:trPr>
        <w:tc>
          <w:tcPr>
            <w:tcW w:w="1180" w:type="dxa"/>
            <w:vAlign w:val="bottom"/>
            <w:gridSpan w:val="2"/>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688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For Periods Ended March 31</w:t>
            </w:r>
          </w:p>
        </w:tc>
        <w:tc>
          <w:tcPr>
            <w:tcW w:w="2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jc w:val="right"/>
              <w:ind w:right="19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Revenue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420"/>
              <w:spacing w:after="0"/>
              <w:rPr>
                <w:sz w:val="20"/>
                <w:szCs w:val="20"/>
                <w:color w:val="auto"/>
              </w:rPr>
            </w:pPr>
            <w:r>
              <w:rPr>
                <w:rFonts w:ascii="Arial" w:cs="Arial" w:eastAsia="Arial" w:hAnsi="Arial"/>
                <w:sz w:val="18"/>
                <w:szCs w:val="18"/>
                <w:color w:val="auto"/>
              </w:rPr>
              <w:t>Operating</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3,018,323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2,654,226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 and other income</w:t>
            </w:r>
            <w:r>
              <w:rPr>
                <w:rFonts w:ascii="Arial" w:cs="Arial" w:eastAsia="Arial" w:hAnsi="Arial"/>
                <w:sz w:val="22"/>
                <w:szCs w:val="22"/>
                <w:color w:val="auto"/>
                <w:vertAlign w:val="superscript"/>
              </w:rPr>
              <w:t>(1) (4)</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22,894</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3,041,217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2,683,884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 xml:space="preserve">Cost of goods sold and services </w:t>
            </w:r>
            <w:r>
              <w:rPr>
                <w:rFonts w:ascii="Arial" w:cs="Arial" w:eastAsia="Arial" w:hAnsi="Arial"/>
                <w:sz w:val="22"/>
                <w:szCs w:val="22"/>
                <w:color w:val="auto"/>
                <w:vertAlign w:val="superscript"/>
              </w:rPr>
              <w:t>(2)</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w w:val="87"/>
              </w:rPr>
              <w:t>2,364,108</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2,120,980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130,141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420"/>
              <w:spacing w:after="0"/>
              <w:rPr>
                <w:sz w:val="20"/>
                <w:szCs w:val="20"/>
                <w:color w:val="auto"/>
              </w:rPr>
            </w:pPr>
            <w:r>
              <w:rPr>
                <w:rFonts w:ascii="Arial" w:cs="Arial" w:eastAsia="Arial" w:hAnsi="Arial"/>
                <w:sz w:val="18"/>
                <w:szCs w:val="18"/>
                <w:color w:val="auto"/>
              </w:rPr>
              <w:t>Marketing</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46,513</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94,103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93,787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(3)</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77,482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Interest </w:t>
            </w:r>
            <w:r>
              <w:rPr>
                <w:rFonts w:ascii="Arial" w:cs="Arial" w:eastAsia="Arial" w:hAnsi="Arial"/>
                <w:sz w:val="22"/>
                <w:szCs w:val="22"/>
                <w:color w:val="auto"/>
                <w:vertAlign w:val="superscript"/>
              </w:rPr>
              <w:t>(5)</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142,773</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7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2,855,120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2,473,070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186,097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(2) (5)</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56,276</w:t>
            </w: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65,729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129,821</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gridSpan w:val="3"/>
          </w:tcPr>
          <w:p>
            <w:pPr>
              <w:jc w:val="right"/>
              <w:ind w:right="500"/>
              <w:spacing w:after="0"/>
              <w:rPr>
                <w:sz w:val="20"/>
                <w:szCs w:val="20"/>
                <w:color w:val="auto"/>
              </w:rPr>
            </w:pPr>
            <w:r>
              <w:rPr>
                <w:rFonts w:ascii="Arial" w:cs="Arial" w:eastAsia="Arial" w:hAnsi="Arial"/>
                <w:sz w:val="18"/>
                <w:szCs w:val="18"/>
                <w:b w:val="1"/>
                <w:bCs w:val="1"/>
                <w:color w:val="auto"/>
              </w:rPr>
              <w:t>(2,982)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126,839</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60" w:type="dxa"/>
            <w:vAlign w:val="bottom"/>
            <w:gridSpan w:val="3"/>
          </w:tcPr>
          <w:p>
            <w:pPr>
              <w:spacing w:after="0"/>
              <w:rPr>
                <w:sz w:val="20"/>
                <w:szCs w:val="20"/>
                <w:color w:val="auto"/>
              </w:rPr>
            </w:pPr>
            <w:r>
              <w:rPr>
                <w:rFonts w:ascii="Arial" w:cs="Arial" w:eastAsia="Arial" w:hAnsi="Arial"/>
                <w:sz w:val="18"/>
                <w:szCs w:val="18"/>
                <w:i w:val="1"/>
                <w:iCs w:val="1"/>
                <w:color w:val="auto"/>
              </w:rPr>
              <w:t>Income (Loss) from Discontinued Operations</w:t>
            </w:r>
          </w:p>
        </w:tc>
        <w:tc>
          <w:tcPr>
            <w:tcW w:w="2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93,447</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220,286</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0.22</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0.15</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940" w:type="dxa"/>
            <w:vAlign w:val="bottom"/>
          </w:tcPr>
          <w:p>
            <w:pPr>
              <w:spacing w:after="0"/>
              <w:rPr>
                <w:sz w:val="8"/>
                <w:szCs w:val="8"/>
                <w:color w:val="auto"/>
              </w:rPr>
            </w:pPr>
          </w:p>
        </w:tc>
        <w:tc>
          <w:tcPr>
            <w:tcW w:w="4760" w:type="dxa"/>
            <w:vAlign w:val="bottom"/>
          </w:tcPr>
          <w:p>
            <w:pPr>
              <w:spacing w:after="0"/>
              <w:rPr>
                <w:sz w:val="8"/>
                <w:szCs w:val="8"/>
                <w:color w:val="auto"/>
              </w:rPr>
            </w:pPr>
          </w:p>
        </w:tc>
        <w:tc>
          <w:tcPr>
            <w:tcW w:w="22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0.37</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2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587,738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582,209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611,860</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583,981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6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(6)</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347,598</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760" w:type="dxa"/>
            <w:vAlign w:val="bottom"/>
          </w:tcPr>
          <w:p>
            <w:pPr>
              <w:spacing w:after="0"/>
              <w:rPr>
                <w:sz w:val="9"/>
                <w:szCs w:val="9"/>
                <w:color w:val="auto"/>
              </w:rPr>
            </w:pPr>
          </w:p>
        </w:tc>
        <w:tc>
          <w:tcPr>
            <w:tcW w:w="2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9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5800090</wp:posOffset>
            </wp:positionH>
            <wp:positionV relativeFrom="paragraph">
              <wp:posOffset>-1588135</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-1588135</wp:posOffset>
            </wp:positionV>
            <wp:extent cx="2159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-1588135</wp:posOffset>
            </wp:positionV>
            <wp:extent cx="3873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-1588135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-1588135</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-1588135</wp:posOffset>
            </wp:positionV>
            <wp:extent cx="3873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-730250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5860415</wp:posOffset>
            </wp:positionH>
            <wp:positionV relativeFrom="paragraph">
              <wp:posOffset>-730250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-730250</wp:posOffset>
            </wp:positionV>
            <wp:extent cx="3873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-730250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-730250</wp:posOffset>
            </wp:positionV>
            <wp:extent cx="2159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7172325</wp:posOffset>
            </wp:positionH>
            <wp:positionV relativeFrom="paragraph">
              <wp:posOffset>-730250</wp:posOffset>
            </wp:positionV>
            <wp:extent cx="3873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interest income of $14 million in both 2004 and 2003.</w:t>
      </w:r>
    </w:p>
    <w:p>
      <w:pPr>
        <w:spacing w:after="0" w:line="15" w:lineRule="exact"/>
        <w:rPr>
          <w:rFonts w:ascii="Arial" w:cs="Arial" w:eastAsia="Arial" w:hAnsi="Arial"/>
          <w:sz w:val="18"/>
          <w:szCs w:val="18"/>
          <w:color w:val="auto"/>
        </w:rPr>
      </w:pPr>
    </w:p>
    <w:p>
      <w:pPr>
        <w:ind w:left="460" w:right="4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2004 includes a $14 million ($0.02 per share) charge (pretax $20 million and tax benefit of $6 million) related to the restructuring program in the United States.</w:t>
      </w: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Related to the repurchase of UK Pound and Euro denominated Bonds ($0.13 per share).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first quarter of 2004 includes a $14 million ($0.02 per share) loss on the sale of Atos Origin shares.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first quarter of 2004 includes a $46 million ($0.08 per share) write off of the US Interest Rate Swap (pretax $73 million and tax benefit of $27 million).</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Including multiclient seismic data costs.</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5"/>
          </w:tcPr>
          <w:p>
            <w:pPr>
              <w:ind w:left="560"/>
              <w:spacing w:after="0"/>
              <w:rPr>
                <w:sz w:val="20"/>
                <w:szCs w:val="20"/>
                <w:color w:val="auto"/>
              </w:rPr>
            </w:pPr>
            <w:r>
              <w:rPr>
                <w:rFonts w:ascii="Arial" w:cs="Arial" w:eastAsia="Arial" w:hAnsi="Arial"/>
                <w:sz w:val="14"/>
                <w:szCs w:val="14"/>
                <w:b w:val="1"/>
                <w:bCs w:val="1"/>
                <w:i w:val="1"/>
                <w:iCs w:val="1"/>
                <w:color w:val="auto"/>
              </w:rPr>
              <w:t>(Stated 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Mar. 31, 2004</w:t>
            </w: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8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Assets</w:t>
            </w: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Current Assets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2,833,005</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242,723</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3,237,841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Investment in Atos Origin</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585,502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4"/>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4,359,318</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4,022,307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8,020,548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10,369,121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182,476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223,300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3,618,568</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3,799,711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Multiclient seismic data</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462,512</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505,784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3,198,760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3,284,254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Other assets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1,853,440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1,859,155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17,336,304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0"/>
              </w:rPr>
              <w:t>Liabilities and Stockholders’ Equity</w:t>
            </w:r>
          </w:p>
        </w:tc>
        <w:tc>
          <w:tcPr>
            <w:tcW w:w="6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Current Liabilities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3,429,287</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3,247,545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839,851</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807,938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1,753,416</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1,411,168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ind w:left="420"/>
              <w:spacing w:after="0"/>
              <w:rPr>
                <w:sz w:val="20"/>
                <w:szCs w:val="20"/>
                <w:color w:val="auto"/>
              </w:rPr>
            </w:pPr>
            <w:r>
              <w:rPr>
                <w:rFonts w:ascii="Arial" w:cs="Arial" w:eastAsia="Arial" w:hAnsi="Arial"/>
                <w:sz w:val="18"/>
                <w:szCs w:val="18"/>
                <w:color w:val="auto"/>
              </w:rPr>
              <w:t>Dividend payable</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111,036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110,511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85,769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1,217,568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6,219,359</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6,794,730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Long-term debt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4,221,924</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6,097,418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635,244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Other liabilities</w:t>
            </w:r>
          </w:p>
        </w:tc>
        <w:tc>
          <w:tcPr>
            <w:tcW w:w="1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158,977</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254,708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11,235,504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13,761,706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tcPr>
          <w:p>
            <w:pPr>
              <w:spacing w:after="0"/>
              <w:rPr>
                <w:sz w:val="20"/>
                <w:szCs w:val="20"/>
                <w:color w:val="auto"/>
              </w:rPr>
            </w:pPr>
            <w:r>
              <w:rPr>
                <w:rFonts w:ascii="Arial" w:cs="Arial" w:eastAsia="Arial" w:hAnsi="Arial"/>
                <w:sz w:val="18"/>
                <w:szCs w:val="18"/>
                <w:i w:val="1"/>
                <w:iCs w:val="1"/>
                <w:color w:val="auto"/>
              </w:rPr>
              <w:t>Minority interest</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403,116</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398,330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5,697,684</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5,881,289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6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6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17,336,304</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20,041,325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36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-2831465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-2831465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-2831465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-2831465</wp:posOffset>
            </wp:positionV>
            <wp:extent cx="64706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7065"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-172720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-172720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-172720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-172720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-172720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-172720</wp:posOffset>
            </wp:positionV>
            <wp:extent cx="2159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4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22"/>
          <w:szCs w:val="22"/>
          <w:color w:val="auto"/>
          <w:vertAlign w:val="superscript"/>
        </w:rPr>
      </w:pPr>
      <w:r>
        <w:rPr>
          <w:rFonts w:ascii="Arial" w:cs="Arial" w:eastAsia="Arial" w:hAnsi="Arial"/>
          <w:sz w:val="18"/>
          <w:szCs w:val="18"/>
          <w:color w:val="auto"/>
        </w:rPr>
        <w:t>Assets and liabilities held for sale represent:</w:t>
      </w:r>
    </w:p>
    <w:p>
      <w:pPr>
        <w:spacing w:after="0" w:line="62" w:lineRule="exact"/>
        <w:rPr>
          <w:rFonts w:ascii="Arial" w:cs="Arial" w:eastAsia="Arial" w:hAnsi="Arial"/>
          <w:sz w:val="22"/>
          <w:szCs w:val="22"/>
          <w:color w:val="auto"/>
          <w:vertAlign w:val="superscript"/>
        </w:rPr>
      </w:pPr>
    </w:p>
    <w:p>
      <w:pPr>
        <w:ind w:left="800" w:hanging="346"/>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March 31, 2004, the gross assets and liabilities of the Business Continuity activity.</w:t>
      </w:r>
    </w:p>
    <w:p>
      <w:pPr>
        <w:spacing w:after="0" w:line="74" w:lineRule="exact"/>
        <w:rPr>
          <w:rFonts w:ascii="Arial" w:cs="Arial" w:eastAsia="Arial" w:hAnsi="Arial"/>
          <w:sz w:val="18"/>
          <w:szCs w:val="18"/>
          <w:color w:val="auto"/>
        </w:rPr>
      </w:pPr>
    </w:p>
    <w:p>
      <w:pPr>
        <w:ind w:left="800" w:hanging="346"/>
        <w:spacing w:after="0"/>
        <w:tabs>
          <w:tab w:leader="none" w:pos="800" w:val="left"/>
        </w:tabs>
        <w:numPr>
          <w:ilvl w:val="1"/>
          <w:numId w:val="7"/>
        </w:numPr>
        <w:rPr>
          <w:rFonts w:ascii="Arial" w:cs="Arial" w:eastAsia="Arial" w:hAnsi="Arial"/>
          <w:sz w:val="18"/>
          <w:szCs w:val="18"/>
          <w:color w:val="auto"/>
        </w:rPr>
      </w:pPr>
      <w:r>
        <w:rPr>
          <w:rFonts w:ascii="Arial" w:cs="Arial" w:eastAsia="Arial" w:hAnsi="Arial"/>
          <w:sz w:val="18"/>
          <w:szCs w:val="18"/>
          <w:color w:val="auto"/>
        </w:rPr>
        <w:t>At December 31, 2003, the gross assets and liabilities of the SchlumbergerSema activity.</w:t>
      </w:r>
    </w:p>
    <w:p>
      <w:pPr>
        <w:sectPr>
          <w:pgSz w:w="11900" w:h="16838" w:orient="portrait"/>
          <w:cols w:equalWidth="0" w:num="1">
            <w:col w:w="11420"/>
          </w:cols>
          <w:pgMar w:left="240" w:top="274" w:right="239" w:bottom="1440" w:gutter="0" w:footer="0" w:header="0"/>
        </w:sectPr>
      </w:pPr>
    </w:p>
    <w:bookmarkStart w:id="9" w:name="page10"/>
    <w:bookmarkEnd w:id="9"/>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Net Debt represents gross debt less cash, short-term investments and fixed income investments, held to maturity. Details of the Net Debt follows: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40" w:type="dxa"/>
            <w:vAlign w:val="bottom"/>
            <w:gridSpan w:val="7"/>
          </w:tcPr>
          <w:p>
            <w:pPr>
              <w:ind w:left="300"/>
              <w:spacing w:after="0"/>
              <w:rPr>
                <w:sz w:val="20"/>
                <w:szCs w:val="20"/>
                <w:color w:val="auto"/>
              </w:rPr>
            </w:pPr>
            <w:r>
              <w:rPr>
                <w:rFonts w:ascii="Arial" w:cs="Arial" w:eastAsia="Arial" w:hAnsi="Arial"/>
                <w:sz w:val="14"/>
                <w:szCs w:val="14"/>
                <w:b w:val="1"/>
                <w:bCs w:val="1"/>
                <w:i w:val="1"/>
                <w:iCs w:val="1"/>
                <w:color w:val="auto"/>
                <w:w w:val="89"/>
              </w:rPr>
              <w:t>(Stated in millions)</w:t>
            </w:r>
          </w:p>
        </w:tc>
        <w:tc>
          <w:tcPr>
            <w:tcW w:w="0" w:type="dxa"/>
            <w:vAlign w:val="bottom"/>
          </w:tcPr>
          <w:p>
            <w:pPr>
              <w:spacing w:after="0"/>
              <w:rPr>
                <w:sz w:val="1"/>
                <w:szCs w:val="1"/>
                <w:color w:val="auto"/>
              </w:rPr>
            </w:pPr>
          </w:p>
        </w:tc>
      </w:tr>
      <w:tr>
        <w:trPr>
          <w:trHeight w:val="95"/>
        </w:trPr>
        <w:tc>
          <w:tcPr>
            <w:tcW w:w="940" w:type="dxa"/>
            <w:vAlign w:val="bottom"/>
            <w:gridSpan w:val="2"/>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First Quarter</w:t>
            </w:r>
          </w:p>
        </w:tc>
        <w:tc>
          <w:tcPr>
            <w:tcW w:w="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ind w:right="313"/>
              <w:spacing w:after="0"/>
              <w:rPr>
                <w:sz w:val="20"/>
                <w:szCs w:val="20"/>
                <w:color w:val="auto"/>
              </w:rPr>
            </w:pPr>
            <w:r>
              <w:rPr>
                <w:rFonts w:ascii="Arial" w:cs="Arial" w:eastAsia="Arial" w:hAnsi="Arial"/>
                <w:sz w:val="14"/>
                <w:szCs w:val="14"/>
                <w:b w:val="1"/>
                <w:bCs w:val="1"/>
                <w:color w:val="auto"/>
                <w:w w:val="76"/>
              </w:rPr>
              <w:t>2004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Net income from continuing operations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Depreciation and amortization</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348</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Increase in working capital requirements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Capital expenditures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Dividends paid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Employee stock plans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SchlumbergerSema activity</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theTelecom Billing Software activity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Proceeds from the sale of the Infodata activity</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Proceeds from the sale of Atos Origin shares</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Debt extinguishment costs</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ind w:left="420"/>
              <w:spacing w:after="0"/>
              <w:rPr>
                <w:sz w:val="20"/>
                <w:szCs w:val="20"/>
                <w:color w:val="auto"/>
              </w:rPr>
            </w:pPr>
            <w:r>
              <w:rPr>
                <w:rFonts w:ascii="Arial" w:cs="Arial" w:eastAsia="Arial" w:hAnsi="Arial"/>
                <w:sz w:val="18"/>
                <w:szCs w:val="18"/>
                <w:color w:val="auto"/>
              </w:rPr>
              <w:t>Other</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Translation effect on net debt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(2,960)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gridSpan w:val="2"/>
          </w:tcPr>
          <w:p>
            <w:pPr>
              <w:spacing w:after="0"/>
              <w:rPr>
                <w:sz w:val="11"/>
                <w:szCs w:val="11"/>
                <w:color w:val="auto"/>
              </w:rPr>
            </w:pPr>
          </w:p>
        </w:tc>
        <w:tc>
          <w:tcPr>
            <w:tcW w:w="300" w:type="dxa"/>
            <w:vAlign w:val="bottom"/>
            <w:tcBorders>
              <w:bottom w:val="single" w:sz="8" w:color="auto"/>
            </w:tcBorders>
            <w:gridSpan w:val="2"/>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6"/>
          </w:tcPr>
          <w:p>
            <w:pPr>
              <w:ind w:left="520"/>
              <w:spacing w:after="0"/>
              <w:rPr>
                <w:sz w:val="20"/>
                <w:szCs w:val="20"/>
                <w:color w:val="auto"/>
              </w:rPr>
            </w:pPr>
            <w:r>
              <w:rPr>
                <w:rFonts w:ascii="Arial" w:cs="Arial" w:eastAsia="Arial" w:hAnsi="Arial"/>
                <w:sz w:val="14"/>
                <w:szCs w:val="14"/>
                <w:b w:val="1"/>
                <w:bCs w:val="1"/>
                <w:i w:val="1"/>
                <w:iCs w:val="1"/>
                <w:color w:val="auto"/>
                <w:w w:val="87"/>
              </w:rPr>
              <w:t>(Stated in millions)</w:t>
            </w: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840" w:type="dxa"/>
            <w:vAlign w:val="bottom"/>
            <w:gridSpan w:val="3"/>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8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7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1980" w:type="dxa"/>
            <w:vAlign w:val="bottom"/>
            <w:gridSpan w:val="4"/>
          </w:tcPr>
          <w:p>
            <w:pPr>
              <w:ind w:left="840"/>
              <w:spacing w:after="0"/>
              <w:rPr>
                <w:sz w:val="20"/>
                <w:szCs w:val="20"/>
                <w:color w:val="auto"/>
              </w:rPr>
            </w:pPr>
            <w:r>
              <w:rPr>
                <w:rFonts w:ascii="Arial" w:cs="Arial" w:eastAsia="Arial" w:hAnsi="Arial"/>
                <w:sz w:val="14"/>
                <w:szCs w:val="14"/>
                <w:b w:val="1"/>
                <w:bCs w:val="1"/>
                <w:color w:val="auto"/>
              </w:rPr>
              <w:t>Mar. 31, 2004</w:t>
            </w: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20" w:type="dxa"/>
            <w:vAlign w:val="bottom"/>
            <w:gridSpan w:val="5"/>
          </w:tcPr>
          <w:p>
            <w:pPr>
              <w:ind w:left="280"/>
              <w:spacing w:after="0"/>
              <w:rPr>
                <w:sz w:val="20"/>
                <w:szCs w:val="20"/>
                <w:color w:val="auto"/>
              </w:rPr>
            </w:pPr>
            <w:r>
              <w:rPr>
                <w:rFonts w:ascii="Arial" w:cs="Arial" w:eastAsia="Arial" w:hAnsi="Arial"/>
                <w:sz w:val="14"/>
                <w:szCs w:val="14"/>
                <w:b w:val="1"/>
                <w:bCs w:val="1"/>
                <w:color w:val="auto"/>
                <w:w w:val="93"/>
              </w:rPr>
              <w:t>Dec. 31, 2003</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2"/>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2,833</w:t>
            </w:r>
          </w:p>
        </w:tc>
        <w:tc>
          <w:tcPr>
            <w:tcW w:w="360" w:type="dxa"/>
            <w:vAlign w:val="bottom"/>
            <w:shd w:val="clear" w:color="auto" w:fill="CCEEFF"/>
          </w:tcPr>
          <w:p>
            <w:pPr>
              <w:spacing w:after="0"/>
              <w:rPr>
                <w:sz w:val="18"/>
                <w:szCs w:val="18"/>
                <w:color w:val="auto"/>
              </w:rPr>
            </w:pPr>
          </w:p>
        </w:tc>
        <w:tc>
          <w:tcPr>
            <w:tcW w:w="7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3,109</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Fixed income investments, held to maturity</w:t>
            </w: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223</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70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(4,222)</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8"/>
                <w:szCs w:val="18"/>
                <w:color w:val="auto"/>
              </w:rPr>
              <w:t>(6,097)</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0" w:type="dxa"/>
            <w:vAlign w:val="bottom"/>
            <w:gridSpan w:val="3"/>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38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36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(2,960)</w:t>
            </w:r>
          </w:p>
        </w:tc>
        <w:tc>
          <w:tcPr>
            <w:tcW w:w="700" w:type="dxa"/>
            <w:vAlign w:val="bottom"/>
            <w:gridSpan w:val="4"/>
            <w:shd w:val="clear" w:color="auto" w:fill="CCEEFF"/>
          </w:tcPr>
          <w:p>
            <w:pPr>
              <w:ind w:left="600"/>
              <w:spacing w:after="0"/>
              <w:rPr>
                <w:sz w:val="20"/>
                <w:szCs w:val="20"/>
                <w:color w:val="auto"/>
              </w:rPr>
            </w:pPr>
            <w:r>
              <w:rPr>
                <w:rFonts w:ascii="Arial" w:cs="Arial" w:eastAsia="Arial" w:hAnsi="Arial"/>
                <w:sz w:val="18"/>
                <w:szCs w:val="18"/>
                <w:color w:val="auto"/>
                <w:w w:val="79"/>
              </w:rPr>
              <w:t>$</w:t>
            </w: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(4,176)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8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5808980</wp:posOffset>
            </wp:positionH>
            <wp:positionV relativeFrom="paragraph">
              <wp:posOffset>-1598295</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5963285</wp:posOffset>
            </wp:positionH>
            <wp:positionV relativeFrom="paragraph">
              <wp:posOffset>-1598295</wp:posOffset>
            </wp:positionV>
            <wp:extent cx="2159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-1598295</wp:posOffset>
            </wp:positionV>
            <wp:extent cx="3873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2159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3873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6109335</wp:posOffset>
            </wp:positionH>
            <wp:positionV relativeFrom="paragraph">
              <wp:posOffset>-29210</wp:posOffset>
            </wp:positionV>
            <wp:extent cx="2159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6469380</wp:posOffset>
            </wp:positionH>
            <wp:positionV relativeFrom="paragraph">
              <wp:posOffset>-29210</wp:posOffset>
            </wp:positionV>
            <wp:extent cx="3873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0280"/>
          </w:cols>
          <w:pgMar w:left="240" w:top="274" w:right="1379" w:bottom="1440" w:gutter="0" w:footer="0" w:header="0"/>
        </w:sectPr>
      </w:pPr>
    </w:p>
    <w:bookmarkStart w:id="10" w:name="page11"/>
    <w:bookmarkEnd w:id="10"/>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220" w:type="dxa"/>
            <w:vAlign w:val="bottom"/>
            <w:gridSpan w:val="8"/>
            <w:vMerge w:val="restart"/>
          </w:tcPr>
          <w:p>
            <w:pPr>
              <w:ind w:left="1140"/>
              <w:spacing w:after="0"/>
              <w:rPr>
                <w:sz w:val="20"/>
                <w:szCs w:val="20"/>
                <w:color w:val="auto"/>
              </w:rPr>
            </w:pPr>
            <w:r>
              <w:rPr>
                <w:rFonts w:ascii="Arial" w:cs="Arial" w:eastAsia="Arial" w:hAnsi="Arial"/>
                <w:sz w:val="14"/>
                <w:szCs w:val="14"/>
                <w:b w:val="1"/>
                <w:bCs w:val="1"/>
                <w:i w:val="1"/>
                <w:iCs w:val="1"/>
                <w:color w:val="auto"/>
              </w:rPr>
              <w:t>(Stated in millions)</w:t>
            </w: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60" w:type="dxa"/>
            <w:vAlign w:val="bottom"/>
            <w:gridSpan w:val="4"/>
          </w:tcPr>
          <w:p>
            <w:pPr>
              <w:ind w:left="400"/>
              <w:spacing w:after="0"/>
              <w:rPr>
                <w:sz w:val="20"/>
                <w:szCs w:val="20"/>
                <w:color w:val="auto"/>
              </w:rPr>
            </w:pPr>
            <w:r>
              <w:rPr>
                <w:rFonts w:ascii="Arial" w:cs="Arial" w:eastAsia="Arial" w:hAnsi="Arial"/>
                <w:sz w:val="14"/>
                <w:szCs w:val="14"/>
                <w:b w:val="1"/>
                <w:bCs w:val="1"/>
                <w:color w:val="auto"/>
              </w:rPr>
              <w:t>First Quarter</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220" w:type="dxa"/>
            <w:vAlign w:val="bottom"/>
            <w:gridSpan w:val="8"/>
            <w:vMerge w:val="continue"/>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82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2004 </w:t>
            </w:r>
            <w:r>
              <w:rPr>
                <w:rFonts w:ascii="Arial" w:cs="Arial" w:eastAsia="Arial" w:hAnsi="Arial"/>
                <w:sz w:val="22"/>
                <w:szCs w:val="22"/>
                <w:b w:val="1"/>
                <w:bCs w:val="1"/>
                <w:color w:val="auto"/>
                <w:vertAlign w:val="superscript"/>
              </w:rPr>
              <w:t>(1)</w:t>
            </w: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jc w:val="right"/>
              <w:ind w:right="55"/>
              <w:spacing w:after="0"/>
              <w:rPr>
                <w:sz w:val="20"/>
                <w:szCs w:val="20"/>
                <w:color w:val="auto"/>
              </w:rPr>
            </w:pPr>
            <w:r>
              <w:rPr>
                <w:rFonts w:ascii="Arial" w:cs="Arial" w:eastAsia="Arial" w:hAnsi="Arial"/>
                <w:sz w:val="14"/>
                <w:szCs w:val="14"/>
                <w:b w:val="1"/>
                <w:bCs w:val="1"/>
                <w:color w:val="auto"/>
                <w:w w:val="83"/>
              </w:rPr>
              <w:t>2003</w:t>
            </w:r>
          </w:p>
        </w:tc>
        <w:tc>
          <w:tcPr>
            <w:tcW w:w="340" w:type="dxa"/>
            <w:vAlign w:val="bottom"/>
          </w:tcPr>
          <w:p>
            <w:pPr>
              <w:spacing w:after="0"/>
              <w:rPr>
                <w:sz w:val="24"/>
                <w:szCs w:val="2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chg</w:t>
            </w:r>
          </w:p>
        </w:tc>
        <w:tc>
          <w:tcPr>
            <w:tcW w:w="0" w:type="dxa"/>
            <w:vAlign w:val="bottom"/>
          </w:tcPr>
          <w:p>
            <w:pPr>
              <w:spacing w:after="0"/>
              <w:rPr>
                <w:sz w:val="1"/>
                <w:szCs w:val="1"/>
                <w:color w:val="auto"/>
              </w:rPr>
            </w:pPr>
          </w:p>
        </w:tc>
      </w:tr>
      <w:tr>
        <w:trPr>
          <w:trHeight w:val="105"/>
        </w:trPr>
        <w:tc>
          <w:tcPr>
            <w:tcW w:w="1140" w:type="dxa"/>
            <w:vAlign w:val="bottom"/>
            <w:vMerge w:val="restart"/>
          </w:tcPr>
          <w:p>
            <w:pPr>
              <w:spacing w:after="0"/>
              <w:rPr>
                <w:sz w:val="9"/>
                <w:szCs w:val="9"/>
                <w:color w:val="auto"/>
              </w:rPr>
            </w:pPr>
          </w:p>
        </w:tc>
        <w:tc>
          <w:tcPr>
            <w:tcW w:w="20" w:type="dxa"/>
            <w:vAlign w:val="bottom"/>
            <w:vMerge w:val="restart"/>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114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auto"/>
            </w:tcBorders>
            <w:gridSpan w:val="5"/>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2880" w:type="dxa"/>
            <w:vAlign w:val="bottom"/>
            <w:tcBorders>
              <w:bottom w:val="single" w:sz="8" w:color="CCEEFF"/>
            </w:tcBorders>
            <w:shd w:val="clear" w:color="auto" w:fill="CCEEFF"/>
          </w:tcPr>
          <w:p>
            <w:pPr>
              <w:spacing w:after="0"/>
              <w:rPr>
                <w:sz w:val="17"/>
                <w:szCs w:val="17"/>
                <w:color w:val="auto"/>
              </w:rPr>
            </w:pPr>
          </w:p>
        </w:tc>
        <w:tc>
          <w:tcPr>
            <w:tcW w:w="2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Operating Revenue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2,359</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2,051</w:t>
            </w:r>
          </w:p>
        </w:tc>
        <w:tc>
          <w:tcPr>
            <w:tcW w:w="3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84"/>
        </w:trPr>
        <w:tc>
          <w:tcPr>
            <w:tcW w:w="5220" w:type="dxa"/>
            <w:vAlign w:val="bottom"/>
            <w:gridSpan w:val="8"/>
          </w:tcPr>
          <w:p>
            <w:pPr>
              <w:ind w:left="1140"/>
              <w:spacing w:after="0"/>
              <w:rPr>
                <w:sz w:val="20"/>
                <w:szCs w:val="20"/>
                <w:color w:val="auto"/>
              </w:rPr>
            </w:pPr>
            <w:r>
              <w:rPr>
                <w:rFonts w:ascii="Arial" w:cs="Arial" w:eastAsia="Arial" w:hAnsi="Arial"/>
                <w:sz w:val="18"/>
                <w:szCs w:val="18"/>
                <w:b w:val="1"/>
                <w:bCs w:val="1"/>
                <w:i w:val="1"/>
                <w:iCs w:val="1"/>
                <w:color w:val="auto"/>
              </w:rPr>
              <w:t>WesternGeco</w:t>
            </w:r>
          </w:p>
        </w:tc>
        <w:tc>
          <w:tcPr>
            <w:tcW w:w="2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1140" w:type="dxa"/>
            <w:vAlign w:val="bottom"/>
            <w:vMerge w:val="restart"/>
          </w:tcPr>
          <w:p>
            <w:pPr>
              <w:spacing w:after="0" w:line="20" w:lineRule="exact"/>
              <w:rPr>
                <w:sz w:val="1"/>
                <w:szCs w:val="1"/>
                <w:color w:val="auto"/>
              </w:rPr>
            </w:pPr>
          </w:p>
        </w:tc>
        <w:tc>
          <w:tcPr>
            <w:tcW w:w="20" w:type="dxa"/>
            <w:vAlign w:val="bottom"/>
            <w:tcBorders>
              <w:top w:val="single" w:sz="8" w:color="auto"/>
            </w:tcBorders>
            <w:vMerge w:val="restart"/>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4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60" w:type="dxa"/>
            <w:vAlign w:val="bottom"/>
            <w:gridSpan w:val="6"/>
          </w:tcPr>
          <w:p>
            <w:pPr>
              <w:spacing w:after="0"/>
              <w:rPr>
                <w:sz w:val="20"/>
                <w:szCs w:val="20"/>
                <w:color w:val="auto"/>
              </w:rPr>
            </w:pPr>
            <w:r>
              <w:rPr>
                <w:rFonts w:ascii="Arial" w:cs="Arial" w:eastAsia="Arial" w:hAnsi="Arial"/>
                <w:sz w:val="18"/>
                <w:szCs w:val="18"/>
                <w:color w:val="auto"/>
              </w:rPr>
              <w:t>Pretax Operating Income</w:t>
            </w:r>
          </w:p>
        </w:tc>
        <w:tc>
          <w:tcPr>
            <w:tcW w:w="2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34</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1140" w:type="dxa"/>
            <w:vAlign w:val="bottom"/>
            <w:vMerge w:val="restart"/>
          </w:tcPr>
          <w:p>
            <w:pPr>
              <w:spacing w:after="0"/>
              <w:rPr>
                <w:sz w:val="8"/>
                <w:szCs w:val="8"/>
                <w:color w:val="auto"/>
              </w:rPr>
            </w:pPr>
          </w:p>
        </w:tc>
        <w:tc>
          <w:tcPr>
            <w:tcW w:w="20" w:type="dxa"/>
            <w:vAlign w:val="bottom"/>
            <w:vMerge w:val="restart"/>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114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0" w:type="dxa"/>
            <w:vAlign w:val="bottom"/>
            <w:tcBorders>
              <w:bottom w:val="single" w:sz="8" w:color="CCEEFF"/>
            </w:tcBorders>
            <w:gridSpan w:val="2"/>
            <w:vMerge w:val="restart"/>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79"/>
              </w:rPr>
              <w:t>Other</w:t>
            </w:r>
          </w:p>
        </w:tc>
        <w:tc>
          <w:tcPr>
            <w:tcW w:w="140" w:type="dxa"/>
            <w:vAlign w:val="bottom"/>
            <w:tcBorders>
              <w:bottom w:val="single" w:sz="8" w:color="auto"/>
            </w:tcBorders>
            <w:shd w:val="clear" w:color="auto" w:fill="CCEEFF"/>
          </w:tcPr>
          <w:p>
            <w:pPr>
              <w:jc w:val="right"/>
              <w:spacing w:after="0" w:line="102" w:lineRule="exact"/>
              <w:rPr>
                <w:sz w:val="20"/>
                <w:szCs w:val="20"/>
                <w:color w:val="auto"/>
              </w:rPr>
            </w:pPr>
            <w:r>
              <w:rPr>
                <w:rFonts w:ascii="Arial" w:cs="Arial" w:eastAsia="Arial" w:hAnsi="Arial"/>
                <w:sz w:val="11"/>
                <w:szCs w:val="11"/>
                <w:b w:val="1"/>
                <w:bCs w:val="1"/>
                <w:i w:val="1"/>
                <w:iCs w:val="1"/>
                <w:color w:val="auto"/>
                <w:w w:val="88"/>
              </w:rPr>
              <w:t>(2)</w:t>
            </w:r>
          </w:p>
        </w:tc>
        <w:tc>
          <w:tcPr>
            <w:tcW w:w="3520" w:type="dxa"/>
            <w:vAlign w:val="bottom"/>
            <w:tcBorders>
              <w:bottom w:val="single" w:sz="8" w:color="CCEEFF"/>
            </w:tcBorders>
            <w:gridSpan w:val="3"/>
            <w:vMerge w:val="restart"/>
            <w:shd w:val="clear" w:color="auto" w:fill="CCEEFF"/>
          </w:tcPr>
          <w:p>
            <w:pPr>
              <w:spacing w:after="0"/>
              <w:rPr>
                <w:sz w:val="10"/>
                <w:szCs w:val="10"/>
                <w:color w:val="auto"/>
              </w:rPr>
            </w:pPr>
          </w:p>
        </w:tc>
        <w:tc>
          <w:tcPr>
            <w:tcW w:w="2320" w:type="dxa"/>
            <w:vAlign w:val="bottom"/>
            <w:tcBorders>
              <w:bottom w:val="single" w:sz="8" w:color="CCEEFF"/>
            </w:tcBorders>
            <w:shd w:val="clear" w:color="auto" w:fill="CCEEFF"/>
          </w:tcPr>
          <w:p>
            <w:pPr>
              <w:spacing w:after="0"/>
              <w:rPr>
                <w:sz w:val="10"/>
                <w:szCs w:val="10"/>
                <w:color w:val="auto"/>
              </w:rPr>
            </w:pPr>
          </w:p>
        </w:tc>
        <w:tc>
          <w:tcPr>
            <w:tcW w:w="10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6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20" w:type="dxa"/>
            <w:vAlign w:val="bottom"/>
            <w:tcBorders>
              <w:bottom w:val="single" w:sz="8" w:color="CCEEFF"/>
            </w:tcBorders>
            <w:shd w:val="clear" w:color="auto" w:fill="CCEEFF"/>
          </w:tcPr>
          <w:p>
            <w:pPr>
              <w:spacing w:after="0"/>
              <w:rPr>
                <w:sz w:val="10"/>
                <w:szCs w:val="10"/>
                <w:color w:val="auto"/>
              </w:rPr>
            </w:pPr>
          </w:p>
        </w:tc>
        <w:tc>
          <w:tcPr>
            <w:tcW w:w="340" w:type="dxa"/>
            <w:vAlign w:val="bottom"/>
            <w:tcBorders>
              <w:bottom w:val="single" w:sz="8" w:color="CCEEFF"/>
            </w:tcBorders>
            <w:shd w:val="clear" w:color="auto" w:fill="CCEEFF"/>
          </w:tcPr>
          <w:p>
            <w:pPr>
              <w:spacing w:after="0"/>
              <w:rPr>
                <w:sz w:val="10"/>
                <w:szCs w:val="10"/>
                <w:color w:val="auto"/>
              </w:rPr>
            </w:pPr>
          </w:p>
        </w:tc>
        <w:tc>
          <w:tcPr>
            <w:tcW w:w="260" w:type="dxa"/>
            <w:vAlign w:val="bottom"/>
            <w:tcBorders>
              <w:bottom w:val="single" w:sz="8" w:color="CCEEFF"/>
            </w:tcBorders>
            <w:shd w:val="clear" w:color="auto" w:fill="CCEEFF"/>
          </w:tcPr>
          <w:p>
            <w:pPr>
              <w:spacing w:after="0"/>
              <w:rPr>
                <w:sz w:val="10"/>
                <w:szCs w:val="10"/>
                <w:color w:val="auto"/>
              </w:rPr>
            </w:pPr>
          </w:p>
        </w:tc>
        <w:tc>
          <w:tcPr>
            <w:tcW w:w="380" w:type="dxa"/>
            <w:vAlign w:val="bottom"/>
            <w:tcBorders>
              <w:bottom w:val="single" w:sz="8" w:color="CCEEFF"/>
            </w:tcBorders>
            <w:shd w:val="clear" w:color="auto" w:fill="CCEEFF"/>
          </w:tcPr>
          <w:p>
            <w:pPr>
              <w:spacing w:after="0"/>
              <w:rPr>
                <w:sz w:val="10"/>
                <w:szCs w:val="10"/>
                <w:color w:val="auto"/>
              </w:rPr>
            </w:pPr>
          </w:p>
        </w:tc>
        <w:tc>
          <w:tcPr>
            <w:tcW w:w="14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114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gridSpan w:val="2"/>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3520" w:type="dxa"/>
            <w:vAlign w:val="bottom"/>
            <w:tcBorders>
              <w:bottom w:val="single" w:sz="8" w:color="CCEEFF"/>
            </w:tcBorders>
            <w:gridSpan w:val="3"/>
            <w:vMerge w:val="continue"/>
            <w:shd w:val="clear" w:color="auto" w:fill="CCEEFF"/>
          </w:tcPr>
          <w:p>
            <w:pPr>
              <w:spacing w:after="0"/>
              <w:rPr>
                <w:sz w:val="4"/>
                <w:szCs w:val="4"/>
                <w:color w:val="auto"/>
              </w:rPr>
            </w:pPr>
          </w:p>
        </w:tc>
        <w:tc>
          <w:tcPr>
            <w:tcW w:w="2320" w:type="dxa"/>
            <w:vAlign w:val="bottom"/>
            <w:tcBorders>
              <w:bottom w:val="single" w:sz="8" w:color="CCEEFF"/>
            </w:tcBorders>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400" w:type="dxa"/>
            <w:vAlign w:val="bottom"/>
            <w:tcBorders>
              <w:bottom w:val="single" w:sz="8" w:color="CCEEFF"/>
            </w:tcBorders>
            <w:shd w:val="clear" w:color="auto" w:fill="CCEEFF"/>
          </w:tcPr>
          <w:p>
            <w:pPr>
              <w:spacing w:after="0"/>
              <w:rPr>
                <w:sz w:val="4"/>
                <w:szCs w:val="4"/>
                <w:color w:val="auto"/>
              </w:rPr>
            </w:pPr>
          </w:p>
        </w:tc>
        <w:tc>
          <w:tcPr>
            <w:tcW w:w="620" w:type="dxa"/>
            <w:vAlign w:val="bottom"/>
            <w:tcBorders>
              <w:bottom w:val="single" w:sz="8" w:color="CCEEFF"/>
            </w:tcBorders>
            <w:shd w:val="clear" w:color="auto" w:fill="CCEEFF"/>
          </w:tcPr>
          <w:p>
            <w:pPr>
              <w:spacing w:after="0"/>
              <w:rPr>
                <w:sz w:val="4"/>
                <w:szCs w:val="4"/>
                <w:color w:val="auto"/>
              </w:rPr>
            </w:pPr>
          </w:p>
        </w:tc>
        <w:tc>
          <w:tcPr>
            <w:tcW w:w="80" w:type="dxa"/>
            <w:vAlign w:val="bottom"/>
            <w:tcBorders>
              <w:bottom w:val="single" w:sz="8" w:color="CCEEFF"/>
            </w:tcBorders>
            <w:shd w:val="clear" w:color="auto" w:fill="CCEEFF"/>
          </w:tcPr>
          <w:p>
            <w:pPr>
              <w:spacing w:after="0"/>
              <w:rPr>
                <w:sz w:val="4"/>
                <w:szCs w:val="4"/>
                <w:color w:val="auto"/>
              </w:rPr>
            </w:pPr>
          </w:p>
        </w:tc>
        <w:tc>
          <w:tcPr>
            <w:tcW w:w="420" w:type="dxa"/>
            <w:vAlign w:val="bottom"/>
            <w:tcBorders>
              <w:bottom w:val="single" w:sz="8" w:color="CCEEFF"/>
            </w:tcBorders>
            <w:shd w:val="clear" w:color="auto" w:fill="CCEEFF"/>
          </w:tcPr>
          <w:p>
            <w:pPr>
              <w:spacing w:after="0"/>
              <w:rPr>
                <w:sz w:val="4"/>
                <w:szCs w:val="4"/>
                <w:color w:val="auto"/>
              </w:rPr>
            </w:pPr>
          </w:p>
        </w:tc>
        <w:tc>
          <w:tcPr>
            <w:tcW w:w="340" w:type="dxa"/>
            <w:vAlign w:val="bottom"/>
            <w:tcBorders>
              <w:bottom w:val="single" w:sz="8" w:color="CCEEFF"/>
            </w:tcBorders>
            <w:shd w:val="clear" w:color="auto" w:fill="CCEEFF"/>
          </w:tcPr>
          <w:p>
            <w:pPr>
              <w:spacing w:after="0"/>
              <w:rPr>
                <w:sz w:val="4"/>
                <w:szCs w:val="4"/>
                <w:color w:val="auto"/>
              </w:rPr>
            </w:pPr>
          </w:p>
        </w:tc>
        <w:tc>
          <w:tcPr>
            <w:tcW w:w="260" w:type="dxa"/>
            <w:vAlign w:val="bottom"/>
            <w:tcBorders>
              <w:bottom w:val="single" w:sz="8" w:color="CCEEFF"/>
            </w:tcBorders>
            <w:shd w:val="clear" w:color="auto" w:fill="CCEEFF"/>
          </w:tcPr>
          <w:p>
            <w:pPr>
              <w:spacing w:after="0"/>
              <w:rPr>
                <w:sz w:val="4"/>
                <w:szCs w:val="4"/>
                <w:color w:val="auto"/>
              </w:rPr>
            </w:pPr>
          </w:p>
        </w:tc>
        <w:tc>
          <w:tcPr>
            <w:tcW w:w="38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tcBorders>
              <w:top w:val="single" w:sz="8" w:color="CCEEFF"/>
            </w:tcBorders>
            <w:gridSpan w:val="6"/>
          </w:tcPr>
          <w:p>
            <w:pPr>
              <w:spacing w:after="0"/>
              <w:rPr>
                <w:sz w:val="20"/>
                <w:szCs w:val="20"/>
                <w:color w:val="auto"/>
              </w:rPr>
            </w:pPr>
            <w:r>
              <w:rPr>
                <w:rFonts w:ascii="Arial" w:cs="Arial" w:eastAsia="Arial" w:hAnsi="Arial"/>
                <w:sz w:val="18"/>
                <w:szCs w:val="18"/>
                <w:color w:val="auto"/>
              </w:rPr>
              <w:t>Operating Revenue</w:t>
            </w:r>
          </w:p>
        </w:tc>
        <w:tc>
          <w:tcPr>
            <w:tcW w:w="24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CCEEFF"/>
            </w:tcBorders>
          </w:tcPr>
          <w:p>
            <w:pPr>
              <w:jc w:val="right"/>
              <w:spacing w:after="0"/>
              <w:rPr>
                <w:sz w:val="20"/>
                <w:szCs w:val="20"/>
                <w:color w:val="auto"/>
              </w:rPr>
            </w:pPr>
            <w:r>
              <w:rPr>
                <w:rFonts w:ascii="Arial" w:cs="Arial" w:eastAsia="Arial" w:hAnsi="Arial"/>
                <w:sz w:val="18"/>
                <w:szCs w:val="18"/>
                <w:b w:val="1"/>
                <w:bCs w:val="1"/>
                <w:color w:val="auto"/>
              </w:rPr>
              <w:t>349</w:t>
            </w:r>
          </w:p>
        </w:tc>
        <w:tc>
          <w:tcPr>
            <w:tcW w:w="70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297</w:t>
            </w:r>
          </w:p>
        </w:tc>
        <w:tc>
          <w:tcPr>
            <w:tcW w:w="34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6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08"/>
        </w:trPr>
        <w:tc>
          <w:tcPr>
            <w:tcW w:w="11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80" w:type="dxa"/>
            <w:vAlign w:val="bottom"/>
          </w:tcPr>
          <w:p>
            <w:pPr>
              <w:spacing w:after="0"/>
              <w:rPr>
                <w:sz w:val="9"/>
                <w:szCs w:val="9"/>
                <w:color w:val="auto"/>
              </w:rPr>
            </w:pPr>
          </w:p>
        </w:tc>
        <w:tc>
          <w:tcPr>
            <w:tcW w:w="2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5"/>
          <w:szCs w:val="15"/>
          <w:color w:val="auto"/>
        </w:rPr>
      </w:pPr>
      <w:r>
        <w:rPr>
          <w:rFonts w:ascii="Arial" w:cs="Arial" w:eastAsia="Arial" w:hAnsi="Arial"/>
          <w:sz w:val="15"/>
          <w:szCs w:val="15"/>
          <w:color w:val="auto"/>
        </w:rPr>
        <w:t>Pretax operating income represents income before taxes and minority interest, excluding interest income, interest expense and amortization of intangibles.</w:t>
      </w:r>
    </w:p>
    <w:p>
      <w:pPr>
        <w:spacing w:after="0" w:line="111" w:lineRule="exact"/>
        <w:rPr>
          <w:rFonts w:ascii="Arial" w:cs="Arial" w:eastAsia="Arial" w:hAnsi="Arial"/>
          <w:sz w:val="15"/>
          <w:szCs w:val="15"/>
          <w:color w:val="auto"/>
        </w:rPr>
      </w:pPr>
    </w:p>
    <w:p>
      <w:pPr>
        <w:jc w:val="both"/>
        <w:ind w:left="460" w:right="140"/>
        <w:spacing w:after="0" w:line="259" w:lineRule="auto"/>
        <w:rPr>
          <w:rFonts w:ascii="Arial" w:cs="Arial" w:eastAsia="Arial" w:hAnsi="Arial"/>
          <w:sz w:val="15"/>
          <w:szCs w:val="15"/>
          <w:color w:val="auto"/>
        </w:rPr>
      </w:pPr>
      <w:r>
        <w:rPr>
          <w:rFonts w:ascii="Arial" w:cs="Arial" w:eastAsia="Arial" w:hAnsi="Arial"/>
          <w:sz w:val="18"/>
          <w:szCs w:val="18"/>
          <w:color w:val="auto"/>
        </w:rPr>
        <w:t>The first quarter of 2004 excludes a pretax charge of $73 million for the US Interest Rate Swap write off, a pretax loss of $14 on the sale of Atos Origin shares, a pretax charge of $77 million of debt extinguishment costs and a pretax charge of $20 million related to the restructuring program in the United States.</w:t>
      </w:r>
    </w:p>
    <w:p>
      <w:pPr>
        <w:spacing w:after="0" w:line="45" w:lineRule="exact"/>
        <w:rPr>
          <w:rFonts w:ascii="Arial" w:cs="Arial" w:eastAsia="Arial" w:hAnsi="Arial"/>
          <w:sz w:val="15"/>
          <w:szCs w:val="15"/>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Principally comprises the Cards, Business Continuity and Meters North America activities.</w:t>
      </w:r>
    </w:p>
    <w:p>
      <w:pPr>
        <w:sectPr>
          <w:pgSz w:w="11900" w:h="16838" w:orient="portrait"/>
          <w:cols w:equalWidth="0" w:num="1">
            <w:col w:w="11280"/>
          </w:cols>
          <w:pgMar w:left="240" w:top="274" w:right="37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First quarter revenue of $2.36 billion was 2% higher sequentially and increased 15% year-on-year. Pretax operating income of $423 million increased 1% sequentially and rose 31% year-on-year.</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Sequential growth was strongest in the Canada, US Land, West Africa and India GeoMarkets. Demand was particularly strong for Integrated Project Management services while Drilling &amp; Measurements, Well Services and Wireline technologies grew sequentially. Demand for the PowerDrive* rotary steerable family continued to increase particularly in the Gulf of Mexico and the Middle East.</w:t>
      </w:r>
    </w:p>
    <w:p>
      <w:pPr>
        <w:spacing w:after="0" w:line="127"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Many regions experienced year-on-year growth, which, due to high operating leverages, generally translated into significant increases in pretax operating income. Canada, US Land, Mexico, Indonesia and the East Mediterranean GeoMarkets posted the highest revenue growth year-on-year, slightly offset by decreased activity in Saudi Arabia and the Gulf Coast GeoMarkets. Demand for all technology segments increased significantly, but particularly for Integrated Project Management, Well Services and Drilling &amp; Measurements.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Revenue of $725 million increased 7% sequentially and 17% year-on-year. Pretax operating income of $123 million increased 16% sequentially and 66% year-on-year due to improved market dynamics such as higher natural gas prices together with optimism in the US economy.</w:t>
      </w:r>
    </w:p>
    <w:p>
      <w:pPr>
        <w:spacing w:after="0" w:line="7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US Land delivered robust revenue growth both sequentially and year-on-year principally fueled by Well Services and Wireline due to the expansion of the unconventional gas market, an improved pricing environment as a result of tighter resource availability and strong overall market demand. Seasonal activity increases, pricing improvements, market share gain and a strengthening Canadian dollar were contributing factors to the strong sequential and year-on-year growth in Canada, along with increased Well Services and Wireline activity. Reduced rig activity on the shelf resulted in a year-on-year revenue decline in the Gulf of Mexico, partially mitigated by growth in Integrated Project Management. Sequentially, strong Drilling &amp; Measurement activity was fueled by high demand for PowerDrive* and PowerDrive Xceed* which continue to increase drilling performance and reduce total well construction costs for the E&amp;P industry.</w:t>
      </w:r>
    </w:p>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Schlumberger conducted two of the largest borehole seismic surveys ever using the new 40 VSI* shuttle Versatile Seismic Imager tool for sub-salt imaging in the Gulf of Mexico. Both surveys used the new Enhanced Digital Telemetry System (EDTS), allowing for a record-breaking time while providing rapid acquisition rates without sacrificing data quality.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Revenue of $395 million declined 3% sequentially but was 32% higher year-on-year. Pretax operating income of $61 million was 8% lower sequentially but increased 81% year-on-year.</w:t>
      </w:r>
    </w:p>
    <w:p>
      <w:pPr>
        <w:sectPr>
          <w:pgSz w:w="11900" w:h="16838" w:orient="portrait"/>
          <w:cols w:equalWidth="0" w:num="1">
            <w:col w:w="11400"/>
          </w:cols>
          <w:pgMar w:left="240" w:top="274" w:right="259" w:bottom="1440" w:gutter="0" w:footer="0" w:header="0"/>
        </w:sectPr>
      </w:pPr>
    </w:p>
    <w:bookmarkStart w:id="12" w:name="page13"/>
    <w:bookmarkEnd w:id="12"/>
    <w:p>
      <w:pPr>
        <w:ind w:right="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Year-on-year growth was reflected in all GeoMarkets, with large integrated projects continuing to drive revenue by utilizing services from most technology segments. In Latin America South the completion of the first dozen wells of the Repsol-YPF D-150 contract fueled sequential and year-on-year growth. An increase in Wireline activity associated with the Peruvian jungle operations produced strong year-on-year growth while drilling times were reduced by more than half of the first well using the Data &amp; Consulting Services and Drilling &amp; Measurements No Drilling Surprises process.</w:t>
      </w:r>
    </w:p>
    <w:p>
      <w:pPr>
        <w:spacing w:after="0" w:line="9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Sequentially, revenue in Venezuela decreased substantially with both PDVSA and international operators reducing their activity. Activity is expected to further decline in the near term due to political uncertainty and on-going contractual issues.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Europe/CIS/West Africa</w:t>
      </w:r>
    </w:p>
    <w:p>
      <w:pPr>
        <w:spacing w:after="0" w:line="83"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Revenue of $648 million decreased 3% sequentially but increased 5% year-on-year. Pretax operating income of $106 million declined 8% sequentially but increased 4% year-on-year.</w:t>
      </w:r>
    </w:p>
    <w:p>
      <w:pPr>
        <w:spacing w:after="0" w:line="11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Sequential declines were due to reduced Caspian activity following strong Well Completions &amp; Productivity sales of artificial lift pumps and PhaseWatcher* equipment in the previous quarter, less Integrated Project Management work and delayed stimulation activity in Russia, continued weak market conditions in the North Sea, and overall decreased seasonal activity for Schlumberger Information Solutions. This was partially offset by strong sequential revenue growth in West and South Africa led by Wireline and Well Completions &amp; Productivity.</w:t>
      </w:r>
    </w:p>
    <w:p>
      <w:pPr>
        <w:spacing w:after="0" w:line="130"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Year-on-year increases were notable in the Caspian, Continental Europe and West &amp; South Africa GeoMarkets. Pretax operating income was negatively impacted by $6 million sequentially and $11 million year-on-year, through the appreciation of a number of local currencies against the US dollar.</w:t>
      </w:r>
    </w:p>
    <w:p>
      <w:pPr>
        <w:spacing w:after="0" w:line="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Integrated Project Management was selected by the Russian oil and gas company OAO RITEK as the main contractor for a drilling project of ten horizontal wells in the Sredne-Khulymskoye field to enhance oil production. This is the first time in Russia that a service company will act as project manager to execute a horizontal well field development.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Revenue of $559 million rose 4% sequentially and 11% year-on-year. Pretax operating income of $139 million was up 6% sequentially and 20% year-on-year.</w:t>
      </w:r>
    </w:p>
    <w:p>
      <w:pPr>
        <w:spacing w:after="0" w:line="18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India recorded significant sequential and year-on-year revenue increases with the ramp-up in deepwater activity for ONGC and deepwater exploration activity for Reliance Industries Ltd. Sequential revenue growth was driven by strong LWD activity in Japan as well as increased completion and artificial lift sales in China. The Arabian GeoMarket also exhibited robust sequential growth mainly due to an offshore Coil Tubing campaign as well as increased Drilling &amp; Measurements and Wireline activity. Market share gains and expansion in hydraulic fracturing in the East Africa and East Mediterranean GeoMarket also contributed to the sequential and year-on-year revenue growth. Indonesia contributed strong demand for Wireline, Drilling &amp; Measurements, Integrated Project Management and Well Services technologies. Overall, the sequential improvement was partially offset by lower activity in the Gulf States and Malaysia/Brunei/Philippines GeoMarkets.</w:t>
      </w:r>
    </w:p>
    <w:p>
      <w:pPr>
        <w:sectPr>
          <w:pgSz w:w="11900" w:h="16838" w:orient="portrait"/>
          <w:cols w:equalWidth="0" w:num="1">
            <w:col w:w="11380"/>
          </w:cols>
          <w:pgMar w:left="240" w:top="280" w:right="279" w:bottom="1440" w:gutter="0" w:footer="0" w:header="0"/>
        </w:sectPr>
      </w:pPr>
    </w:p>
    <w:bookmarkStart w:id="13" w:name="page14"/>
    <w:bookmarkEnd w:id="13"/>
    <w:p>
      <w:pPr>
        <w:jc w:val="both"/>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exceptional success of the first year of Coiled Tubing Drilling (CTD) operations on the Sharjah project in UAE for BP led to a two-year contract extension. Operations were run with no accidents or spills and production increased significantly. Elsewhere a CTD record was broken with the deepest exit ever at 16,049 feet measured depth to drill a 1,976 feet lateral section.</w:t>
      </w:r>
    </w:p>
    <w:p>
      <w:pPr>
        <w:spacing w:after="0" w:line="12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PhaseWatcher Vx multiphase fluid monitoring system is being implemented on a large scale after a two-year validation phase. The largest order ever was placed for a single field bringing the total number of meters to 33. Some of the meters include real-time data delivery via InterAct* real-time monitoring and data delivery service in order to improve production monitoring and production allocation accuracy.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jc w:val="both"/>
        <w:ind w:left="800" w:hanging="346"/>
        <w:spacing w:after="0" w:line="259"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Integrated Q borehole seismic systems continue to be in strong demand, particularly the VSI* Vertical Seismic Imager tool that can address the rapidly growing 3D borehole seismic survey market even in the deep and hot wells. The VSI tool offers sharper, more accurate images of the subsurface while improving operating efficiency and is being rapidly deployed worldwide.</w:t>
      </w:r>
    </w:p>
    <w:p>
      <w:pPr>
        <w:spacing w:after="0" w:line="45" w:lineRule="exact"/>
        <w:rPr>
          <w:rFonts w:ascii="Arial" w:cs="Arial" w:eastAsia="Arial" w:hAnsi="Arial"/>
          <w:sz w:val="18"/>
          <w:szCs w:val="18"/>
          <w:color w:val="auto"/>
        </w:rPr>
      </w:pPr>
    </w:p>
    <w:p>
      <w:pPr>
        <w:ind w:left="800" w:right="240" w:hanging="346"/>
        <w:spacing w:after="0" w:line="256"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new members of the PowerDrive* rotary steerable family were launched both in the North Sea and Gulf of Mexico this quarter thereby continuously improving reliability while increasing the variety of applications of this industry leading offering. PowerDrive X5 is designed for hot, tough environments while PowerDrive VorteX converts mud hydraulic power to additional mechanical power in order to drill faster in hard rock formations.</w:t>
      </w:r>
    </w:p>
    <w:p>
      <w:pPr>
        <w:spacing w:after="0" w:line="48" w:lineRule="exact"/>
        <w:rPr>
          <w:rFonts w:ascii="Arial" w:cs="Arial" w:eastAsia="Arial" w:hAnsi="Arial"/>
          <w:sz w:val="18"/>
          <w:szCs w:val="18"/>
          <w:color w:val="auto"/>
        </w:rPr>
      </w:pPr>
    </w:p>
    <w:p>
      <w:pPr>
        <w:ind w:left="800" w:right="400" w:hanging="346"/>
        <w:spacing w:after="0" w:line="347" w:lineRule="auto"/>
        <w:tabs>
          <w:tab w:leader="none" w:pos="800" w:val="left"/>
        </w:tabs>
        <w:numPr>
          <w:ilvl w:val="0"/>
          <w:numId w:val="9"/>
        </w:numPr>
        <w:rPr>
          <w:rFonts w:ascii="Arial" w:cs="Arial" w:eastAsia="Arial" w:hAnsi="Arial"/>
          <w:sz w:val="15"/>
          <w:szCs w:val="15"/>
          <w:color w:val="auto"/>
        </w:rPr>
      </w:pPr>
      <w:r>
        <w:rPr>
          <w:rFonts w:ascii="Arial" w:cs="Arial" w:eastAsia="Arial" w:hAnsi="Arial"/>
          <w:sz w:val="15"/>
          <w:szCs w:val="15"/>
          <w:color w:val="auto"/>
        </w:rPr>
        <w:t>SenTREE subsea well intervention system deployment accelerated with operational delivery preparations for more than 130 wells ongoing in the frontier areas of the Mediterranean, East Coast Canada, India, Malaysia and the key deepwater markets of the Gulf of Mexico and West Africa.</w:t>
      </w:r>
    </w:p>
    <w:p>
      <w:pPr>
        <w:ind w:left="800" w:right="40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InterAct* and geoVISION* downhole MWD/LWD imaging services were key in positioning multilaterals in real-time on the southern North Sea Minerva Hub development wells for BG Group.</w:t>
      </w:r>
    </w:p>
    <w:p>
      <w:pPr>
        <w:spacing w:after="0" w:line="37" w:lineRule="exact"/>
        <w:rPr>
          <w:rFonts w:ascii="Arial" w:cs="Arial" w:eastAsia="Arial" w:hAnsi="Arial"/>
          <w:sz w:val="18"/>
          <w:szCs w:val="18"/>
          <w:color w:val="auto"/>
        </w:rPr>
      </w:pPr>
    </w:p>
    <w:p>
      <w:pPr>
        <w:ind w:left="800" w:right="12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ChevronTexaco in the Gulf of Mexico mobilized real-time drilling support for their operations. The drilling focused iCenter in their offices leverages real-time drilling information and consulting expertise for drilling optimization and well placement.</w:t>
      </w:r>
    </w:p>
    <w:p>
      <w:pPr>
        <w:spacing w:after="0" w:line="37" w:lineRule="exact"/>
        <w:rPr>
          <w:rFonts w:ascii="Arial" w:cs="Arial" w:eastAsia="Arial" w:hAnsi="Arial"/>
          <w:sz w:val="18"/>
          <w:szCs w:val="18"/>
          <w:color w:val="auto"/>
        </w:rPr>
      </w:pPr>
    </w:p>
    <w:p>
      <w:pPr>
        <w:ind w:left="800" w:right="80" w:hanging="346"/>
        <w:spacing w:after="0" w:line="268" w:lineRule="auto"/>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Amerada Hess selected a Schlumberger global connectivity solution to provide highly reliable and secure two-way communications between selected offshore and onshore facilities.</w:t>
      </w:r>
    </w:p>
    <w:p>
      <w:pPr>
        <w:sectPr>
          <w:pgSz w:w="11900" w:h="16838" w:orient="portrait"/>
          <w:cols w:equalWidth="0" w:num="1">
            <w:col w:w="11380"/>
          </w:cols>
          <w:pgMar w:left="240" w:top="280" w:right="27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First quarter revenue of $313 million was 2% higher both sequentially and year-on-year. Pretax operating income of $34 million, including a $7 million release of employee related provisions, improved $1 million sequentially and $34 million year-on-year.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Sequentially, Multiclient sales grew 22% driven by the Central Gulf of Mexico lease sale partially offset by lower sales in the North Sea and West Africa. Land seismic was higher mainly in the Middle East on the start up of projects in Chad, Egypt, Saudi Arabia, and the Petronas Land project in Malaysia. Marine seismic activity decreased 21% mainly in the Gulf of Mexico and the Caspian for seasonal reasons.</w:t>
      </w:r>
    </w:p>
    <w:p>
      <w:pPr>
        <w:spacing w:after="0" w:line="127"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Year-on-year revenue growth was mainly due to a 25% increase in Multiclient sales driven by the Central Gulf of Mexico lease sale and by execution of a long-term Multiclient volume agreement signed in December 2003. This result was offset by lower Land seismic activity after the shutdown of crews in Alaska and in the Middle East.</w:t>
      </w:r>
    </w:p>
    <w:p>
      <w:pPr>
        <w:spacing w:after="0" w:line="127" w:lineRule="exact"/>
        <w:rPr>
          <w:sz w:val="20"/>
          <w:szCs w:val="20"/>
          <w:color w:val="auto"/>
        </w:rPr>
      </w:pPr>
    </w:p>
    <w:p>
      <w:pPr>
        <w:jc w:val="both"/>
        <w:ind w:right="60"/>
        <w:spacing w:after="0" w:line="332" w:lineRule="auto"/>
        <w:rPr>
          <w:sz w:val="20"/>
          <w:szCs w:val="20"/>
          <w:color w:val="auto"/>
        </w:rPr>
      </w:pPr>
      <w:r>
        <w:rPr>
          <w:rFonts w:ascii="Arial" w:cs="Arial" w:eastAsia="Arial" w:hAnsi="Arial"/>
          <w:sz w:val="16"/>
          <w:szCs w:val="16"/>
          <w:color w:val="auto"/>
        </w:rPr>
        <w:t>Year-on-year increase in pretax operating income was mainly attributable to higher Multiclient sales coupled with savings related to restructuring measures taken in 2003. Multiclient drove sequential improvement in pretax operating income due to increased sales partially offset by sluggish Marine seismic activity.</w:t>
      </w:r>
    </w:p>
    <w:p>
      <w:pPr>
        <w:spacing w:after="0" w:line="72" w:lineRule="exact"/>
        <w:rPr>
          <w:sz w:val="20"/>
          <w:szCs w:val="20"/>
          <w:color w:val="auto"/>
        </w:rPr>
      </w:pPr>
    </w:p>
    <w:p>
      <w:pPr>
        <w:ind w:right="1140"/>
        <w:spacing w:after="0" w:line="375" w:lineRule="auto"/>
        <w:rPr>
          <w:sz w:val="20"/>
          <w:szCs w:val="20"/>
          <w:color w:val="auto"/>
        </w:rPr>
      </w:pPr>
      <w:r>
        <w:rPr>
          <w:rFonts w:ascii="Arial" w:cs="Arial" w:eastAsia="Arial" w:hAnsi="Arial"/>
          <w:sz w:val="18"/>
          <w:szCs w:val="18"/>
          <w:color w:val="auto"/>
        </w:rPr>
        <w:t xml:space="preserve">Including Multiclient pre-commitments, the backlog at the end of the first quarter reached $479 million, a 17% increase over the previous quarter. </w:t>
      </w:r>
      <w:r>
        <w:rPr>
          <w:rFonts w:ascii="Arial" w:cs="Arial" w:eastAsia="Arial" w:hAnsi="Arial"/>
          <w:sz w:val="18"/>
          <w:szCs w:val="18"/>
          <w:b w:val="1"/>
          <w:bCs w:val="1"/>
          <w:color w:val="auto"/>
        </w:rPr>
        <w:t>Highlights</w:t>
      </w:r>
    </w:p>
    <w:p>
      <w:pPr>
        <w:spacing w:after="0" w:line="1" w:lineRule="exact"/>
        <w:rPr>
          <w:sz w:val="20"/>
          <w:szCs w:val="20"/>
          <w:color w:val="auto"/>
        </w:rPr>
      </w:pPr>
    </w:p>
    <w:p>
      <w:pPr>
        <w:ind w:left="800" w:hanging="346"/>
        <w:spacing w:after="0"/>
        <w:tabs>
          <w:tab w:leader="none" w:pos="8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Q* acceptance increased during the first quarter with a multiple survey contract awarded by Statoil in the Norwegian Continental Shelf.</w:t>
      </w:r>
    </w:p>
    <w:p>
      <w:pPr>
        <w:spacing w:after="0" w:line="99" w:lineRule="exact"/>
        <w:rPr>
          <w:rFonts w:ascii="Arial" w:cs="Arial" w:eastAsia="Arial" w:hAnsi="Arial"/>
          <w:sz w:val="16"/>
          <w:szCs w:val="16"/>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total of five land crews were awarded new contracts in the quarter, with work expected to begin in the second quarter.</w:t>
      </w:r>
    </w:p>
    <w:p>
      <w:pPr>
        <w:spacing w:after="0" w:line="76" w:lineRule="exact"/>
        <w:rPr>
          <w:rFonts w:ascii="Arial" w:cs="Arial" w:eastAsia="Arial" w:hAnsi="Arial"/>
          <w:sz w:val="18"/>
          <w:szCs w:val="18"/>
          <w:color w:val="auto"/>
        </w:rPr>
      </w:pPr>
    </w:p>
    <w:p>
      <w:pPr>
        <w:ind w:left="800" w:hanging="346"/>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first Q-Land job was completed in Kuwait for KOC.</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w:t>
      </w:r>
    </w:p>
    <w:p>
      <w:pPr>
        <w:spacing w:after="0" w:line="16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historical exchange rates, Axalto revenue of $203 million increased by 26% year-on-year. At constant exchange rates, revenue increased by 16%. All segments of the smart cards business contributed to the growth. Axalto recorded a significant year-on-year increase in SIM (Subscriber Identity Module) cards volumes, up 26% to 49 million units in the quarter, in all geographic regions, while average sales prices decreased by 9%. Volume of microprocessor financial cards grew year-on-year 49% to 21 million units.</w:t>
      </w:r>
    </w:p>
    <w:p>
      <w:pPr>
        <w:sectPr>
          <w:pgSz w:w="11900" w:h="16838" w:orient="portrait"/>
          <w:cols w:equalWidth="0" w:num="1">
            <w:col w:w="11400"/>
          </w:cols>
          <w:pgMar w:left="240" w:top="274" w:right="259" w:bottom="1440" w:gutter="0" w:footer="0" w:header="0"/>
        </w:sectPr>
      </w:pPr>
    </w:p>
    <w:bookmarkStart w:id="15" w:name="page16"/>
    <w:bookmarkEnd w:id="15"/>
    <w:p>
      <w:pPr>
        <w:ind w:right="1320"/>
        <w:spacing w:after="0" w:line="3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Electricity Meters North America revenue of $76 million grew 18% year-on-year mainly as the product mix shifted towards solid-state meters. </w:t>
      </w:r>
      <w:r>
        <w:rPr>
          <w:rFonts w:ascii="Arial" w:cs="Arial" w:eastAsia="Arial" w:hAnsi="Arial"/>
          <w:sz w:val="18"/>
          <w:szCs w:val="18"/>
          <w:b w:val="1"/>
          <w:bCs w:val="1"/>
          <w:color w:val="auto"/>
        </w:rPr>
        <w:t>About Schlumberger</w:t>
      </w:r>
    </w:p>
    <w:p>
      <w:pPr>
        <w:spacing w:after="0" w:line="1" w:lineRule="exact"/>
        <w:rPr>
          <w:sz w:val="20"/>
          <w:szCs w:val="20"/>
          <w:color w:val="auto"/>
        </w:rPr>
      </w:pPr>
    </w:p>
    <w:p>
      <w:pPr>
        <w:ind w:right="160"/>
        <w:spacing w:after="0" w:line="314" w:lineRule="auto"/>
        <w:rPr>
          <w:sz w:val="20"/>
          <w:szCs w:val="20"/>
          <w:color w:val="auto"/>
        </w:rPr>
      </w:pPr>
      <w:r>
        <w:rPr>
          <w:rFonts w:ascii="Arial" w:cs="Arial" w:eastAsia="Arial" w:hAnsi="Arial"/>
          <w:sz w:val="15"/>
          <w:szCs w:val="15"/>
          <w:color w:val="auto"/>
        </w:rPr>
        <w:t>Schlumberger is the world’s leading oilfield services company supplying technology, project management and information solutions that optimize performance for customers working in the oil and gas industry. The company employs more than 50,000 people of over 140 nationalities working in 100 countries, and comprises two primary business segments. Schlumberger Oilfield Services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BakerHughes, is the world’s largest seismic company and provides advanced acquisition and data processing services. In 2003, Schlumberger operating revenue was $11.4 billion. For more information, visit www.slb.com</w:t>
      </w:r>
    </w:p>
    <w:p>
      <w:pPr>
        <w:spacing w:after="0" w:line="9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46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color w:val="auto"/>
        </w:rPr>
        <w:t>*  Mark of Schlumberger</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Notes:</w:t>
      </w:r>
    </w:p>
    <w:p>
      <w:pPr>
        <w:spacing w:after="0" w:line="77" w:lineRule="exact"/>
        <w:rPr>
          <w:sz w:val="20"/>
          <w:szCs w:val="20"/>
          <w:color w:val="auto"/>
        </w:rPr>
      </w:pPr>
    </w:p>
    <w:p>
      <w:pPr>
        <w:ind w:left="800" w:hanging="346"/>
        <w:spacing w:after="0" w:line="290" w:lineRule="auto"/>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April 23, 2004, at 9:00 am New York time (2:00 pm London time/3:00 pm Paris time). To access the call, which is open to the public, please contact the conference call operator at +1-888-428-4474 (toll-free) for North America, or +1-651-291-0278 from outside North America, approximately 15 minutes prior to the scheduled start time, and ask for the “Schlumberger Earnings Conference Call’. A replay will be available through May 7, 2004 by dialing +1-800-475-6701 in North America, or +1-320-365-3844 outside North America, and providing the access code 726731. The conference call will also be simultaneously webcast at www.slb.com/irwebcast on a listen-only basis. Please log in 15 minutes ahead of time to test your browser and register for the call. A replay of the webcast will also be available through May 7, 2004.</w:t>
      </w:r>
    </w:p>
    <w:p>
      <w:pPr>
        <w:spacing w:after="0" w:line="23" w:lineRule="exact"/>
        <w:rPr>
          <w:rFonts w:ascii="Arial" w:cs="Arial" w:eastAsia="Arial" w:hAnsi="Arial"/>
          <w:sz w:val="16"/>
          <w:szCs w:val="16"/>
          <w:color w:val="auto"/>
        </w:rPr>
      </w:pPr>
    </w:p>
    <w:p>
      <w:pPr>
        <w:ind w:left="800" w:right="1140" w:hanging="346"/>
        <w:spacing w:after="0" w:line="268" w:lineRule="auto"/>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Supplemental information in the form of a question and answer document on this press release and financial schedules are available at </w:t>
      </w:r>
      <w:r>
        <w:rPr>
          <w:rFonts w:ascii="Arial" w:cs="Arial" w:eastAsia="Arial" w:hAnsi="Arial"/>
          <w:sz w:val="18"/>
          <w:szCs w:val="18"/>
          <w:u w:val="single" w:color="auto"/>
          <w:color w:val="auto"/>
        </w:rPr>
        <w:t>www.slb.com/ir</w:t>
      </w:r>
      <w:r>
        <w:rPr>
          <w:rFonts w:ascii="Arial" w:cs="Arial" w:eastAsia="Arial" w:hAnsi="Arial"/>
          <w:sz w:val="18"/>
          <w:szCs w:val="18"/>
          <w:color w:val="auto"/>
        </w:rPr>
        <w: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Paulo Loureiro, Investor Relations Manager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ir-nam@slb.com</w:t>
      </w:r>
    </w:p>
    <w:p>
      <w:pPr>
        <w:sectPr>
          <w:pgSz w:w="11900" w:h="16838" w:orient="portrait"/>
          <w:cols w:equalWidth="0" w:num="1">
            <w:col w:w="11360"/>
          </w:cols>
          <w:pgMar w:left="240" w:top="280" w:right="29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Quarter 2004 Results - Supplemental Information</w:t>
      </w:r>
    </w:p>
    <w:p>
      <w:pPr>
        <w:spacing w:after="0" w:line="158"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Q1)</w:t>
      </w:r>
      <w:r>
        <w:rPr>
          <w:sz w:val="20"/>
          <w:szCs w:val="20"/>
          <w:color w:val="auto"/>
        </w:rPr>
        <w:tab/>
      </w:r>
      <w:r>
        <w:rPr>
          <w:rFonts w:ascii="Arial" w:cs="Arial" w:eastAsia="Arial" w:hAnsi="Arial"/>
          <w:sz w:val="16"/>
          <w:szCs w:val="16"/>
          <w:b w:val="1"/>
          <w:bCs w:val="1"/>
          <w:color w:val="auto"/>
        </w:rPr>
        <w:t>What was Oilfield Services after-tax Return on Sales (ROS) for the quarter?</w:t>
      </w:r>
    </w:p>
    <w:p>
      <w:pPr>
        <w:spacing w:after="0" w:line="83"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Oilfield Services after-tax ROS in the first quarter 2004 was 13.8% versus 14.2% in the fourth quarter 2003. The deterioration in ROS was principally due to a negative currency effect in ECA, lower margins in Nigeria, the Norwegian sector of the North Sea and in South East Asia, and lower activity in Venezuela.</w:t>
      </w:r>
    </w:p>
    <w:p>
      <w:pPr>
        <w:spacing w:after="0" w:line="121"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Q2)</w:t>
      </w:r>
      <w:r>
        <w:rPr>
          <w:sz w:val="20"/>
          <w:szCs w:val="20"/>
          <w:color w:val="auto"/>
        </w:rPr>
        <w:tab/>
      </w:r>
      <w:r>
        <w:rPr>
          <w:rFonts w:ascii="Arial" w:cs="Arial" w:eastAsia="Arial" w:hAnsi="Arial"/>
          <w:sz w:val="15"/>
          <w:szCs w:val="15"/>
          <w:b w:val="1"/>
          <w:bCs w:val="1"/>
          <w:color w:val="auto"/>
        </w:rPr>
        <w:t>What are the current and future levels of activity in Venezuela?</w:t>
      </w:r>
    </w:p>
    <w:p>
      <w:pPr>
        <w:spacing w:after="0" w:line="83" w:lineRule="exact"/>
        <w:rPr>
          <w:sz w:val="20"/>
          <w:szCs w:val="20"/>
          <w:color w:val="auto"/>
        </w:rPr>
      </w:pPr>
    </w:p>
    <w:p>
      <w:pPr>
        <w:ind w:left="460" w:right="540"/>
        <w:spacing w:after="0" w:line="332" w:lineRule="auto"/>
        <w:rPr>
          <w:sz w:val="20"/>
          <w:szCs w:val="20"/>
          <w:color w:val="auto"/>
        </w:rPr>
      </w:pPr>
      <w:r>
        <w:rPr>
          <w:rFonts w:ascii="Arial" w:cs="Arial" w:eastAsia="Arial" w:hAnsi="Arial"/>
          <w:sz w:val="16"/>
          <w:szCs w:val="16"/>
          <w:color w:val="auto"/>
        </w:rPr>
        <w:t>Sequentially, activity levels in Venezuela decreased substantially mainly due to operational efficiency issues at PDVSA and ongoing pressure on the Independent Oil Companies to reduce their level of activity. Additionally the company is facing ongoing contractual issues.</w:t>
      </w:r>
    </w:p>
    <w:p>
      <w:pPr>
        <w:spacing w:after="0" w:line="6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Q3)</w:t>
      </w:r>
      <w:r>
        <w:rPr>
          <w:sz w:val="20"/>
          <w:szCs w:val="20"/>
          <w:color w:val="auto"/>
        </w:rPr>
        <w:tab/>
      </w:r>
      <w:r>
        <w:rPr>
          <w:rFonts w:ascii="Arial" w:cs="Arial" w:eastAsia="Arial" w:hAnsi="Arial"/>
          <w:sz w:val="15"/>
          <w:szCs w:val="15"/>
          <w:b w:val="1"/>
          <w:bCs w:val="1"/>
          <w:color w:val="auto"/>
        </w:rPr>
        <w:t>What were the multiclient surveys capitalized in the first quarter?</w:t>
      </w:r>
    </w:p>
    <w:p>
      <w:pPr>
        <w:spacing w:after="0" w:line="83" w:lineRule="exact"/>
        <w:rPr>
          <w:sz w:val="20"/>
          <w:szCs w:val="20"/>
          <w:color w:val="auto"/>
        </w:rPr>
      </w:pPr>
    </w:p>
    <w:p>
      <w:pPr>
        <w:ind w:left="460" w:right="740"/>
        <w:spacing w:after="0" w:line="268" w:lineRule="auto"/>
        <w:rPr>
          <w:sz w:val="20"/>
          <w:szCs w:val="20"/>
          <w:color w:val="auto"/>
        </w:rPr>
      </w:pPr>
      <w:r>
        <w:rPr>
          <w:rFonts w:ascii="Arial" w:cs="Arial" w:eastAsia="Arial" w:hAnsi="Arial"/>
          <w:sz w:val="18"/>
          <w:szCs w:val="18"/>
          <w:color w:val="auto"/>
        </w:rPr>
        <w:t>WesternGeco did not acquire any new multiclient surveys in the first quarter 2004 and does not expect to acquire any new surveys in 2004 unless significantly pre-funded.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Schlumberger capitalized $12 million related to processing of surveys previously acquired.</w:t>
      </w:r>
    </w:p>
    <w:p>
      <w:pPr>
        <w:spacing w:after="0" w:line="152"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Q4)</w:t>
      </w:r>
      <w:r>
        <w:rPr>
          <w:sz w:val="20"/>
          <w:szCs w:val="20"/>
          <w:color w:val="auto"/>
        </w:rPr>
        <w:tab/>
      </w:r>
      <w:r>
        <w:rPr>
          <w:rFonts w:ascii="Arial" w:cs="Arial" w:eastAsia="Arial" w:hAnsi="Arial"/>
          <w:sz w:val="15"/>
          <w:szCs w:val="15"/>
          <w:b w:val="1"/>
          <w:bCs w:val="1"/>
          <w:color w:val="auto"/>
        </w:rPr>
        <w:t>What were multiclient sales in the quarter and what was the cost of sales?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Multiclient sales in the quarter were $135 million. The corresponding cost of sales was $55 million. About 50% of the surveys sold had no NBV.</w:t>
      </w:r>
    </w:p>
    <w:p>
      <w:pPr>
        <w:spacing w:after="0" w:line="175"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Other</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Q5)</w:t>
      </w:r>
      <w:r>
        <w:rPr>
          <w:sz w:val="20"/>
          <w:szCs w:val="20"/>
          <w:color w:val="auto"/>
        </w:rPr>
        <w:tab/>
      </w:r>
      <w:r>
        <w:rPr>
          <w:rFonts w:ascii="Arial" w:cs="Arial" w:eastAsia="Arial" w:hAnsi="Arial"/>
          <w:sz w:val="15"/>
          <w:szCs w:val="15"/>
          <w:b w:val="1"/>
          <w:bCs w:val="1"/>
          <w:color w:val="auto"/>
        </w:rPr>
        <w:t>Which businesses were reported in the “Other” segment in the first quarter?</w:t>
      </w:r>
    </w:p>
    <w:p>
      <w:pPr>
        <w:spacing w:after="0" w:line="83" w:lineRule="exact"/>
        <w:rPr>
          <w:sz w:val="20"/>
          <w:szCs w:val="20"/>
          <w:color w:val="auto"/>
        </w:rPr>
      </w:pPr>
    </w:p>
    <w:p>
      <w:pPr>
        <w:ind w:left="460" w:right="700"/>
        <w:spacing w:after="0" w:line="268" w:lineRule="auto"/>
        <w:rPr>
          <w:sz w:val="20"/>
          <w:szCs w:val="20"/>
          <w:color w:val="auto"/>
        </w:rPr>
      </w:pPr>
      <w:r>
        <w:rPr>
          <w:rFonts w:ascii="Arial" w:cs="Arial" w:eastAsia="Arial" w:hAnsi="Arial"/>
          <w:sz w:val="18"/>
          <w:szCs w:val="18"/>
          <w:color w:val="auto"/>
        </w:rPr>
        <w:t>The main businesses that are reported under “Other” are Axalto, Electricity Meters North America, Payphones, Business Continuity, and Telecom Messaging Software.</w:t>
      </w:r>
    </w:p>
    <w:p>
      <w:pPr>
        <w:spacing w:after="0" w:line="37" w:lineRule="exact"/>
        <w:rPr>
          <w:sz w:val="20"/>
          <w:szCs w:val="20"/>
          <w:color w:val="auto"/>
        </w:rPr>
      </w:pPr>
    </w:p>
    <w:p>
      <w:pPr>
        <w:ind w:left="460" w:right="120"/>
        <w:spacing w:after="0" w:line="325" w:lineRule="auto"/>
        <w:rPr>
          <w:sz w:val="20"/>
          <w:szCs w:val="20"/>
          <w:color w:val="auto"/>
        </w:rPr>
      </w:pPr>
      <w:r>
        <w:rPr>
          <w:rFonts w:ascii="Arial" w:cs="Arial" w:eastAsia="Arial" w:hAnsi="Arial"/>
          <w:sz w:val="16"/>
          <w:szCs w:val="16"/>
          <w:color w:val="auto"/>
        </w:rPr>
        <w:t>Schlumberger already announced the expected IPO of Axalto and the sale of Business Continuity. The closing of the sale of Electricity Meters is expected to be completed in the second quarter depending upon the successful completion of the Hart-Scott-Rodino review process.</w:t>
      </w:r>
    </w:p>
    <w:p>
      <w:pPr>
        <w:spacing w:after="0" w:line="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remaining Telecom Messaging Software and Payphones activities are under active sale negotiations.</w:t>
      </w:r>
    </w:p>
    <w:p>
      <w:pPr>
        <w:sectPr>
          <w:pgSz w:w="11900" w:h="16838" w:orient="portrait"/>
          <w:cols w:equalWidth="0" w:num="1">
            <w:col w:w="11420"/>
          </w:cols>
          <w:pgMar w:left="240" w:top="125" w:right="239" w:bottom="1440" w:gutter="0" w:footer="0" w:header="0"/>
        </w:sectPr>
      </w:pPr>
    </w:p>
    <w:bookmarkStart w:id="17" w:name="page18"/>
    <w:bookmarkEnd w:id="17"/>
    <w:p>
      <w:pPr>
        <w:spacing w:after="0"/>
        <w:tabs>
          <w:tab w:leader="none" w:pos="4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Q6)</w:t>
      </w:r>
      <w:r>
        <w:rPr>
          <w:sz w:val="20"/>
          <w:szCs w:val="20"/>
          <w:color w:val="auto"/>
        </w:rPr>
        <w:tab/>
      </w:r>
      <w:r>
        <w:rPr>
          <w:rFonts w:ascii="Arial" w:cs="Arial" w:eastAsia="Arial" w:hAnsi="Arial"/>
          <w:sz w:val="15"/>
          <w:szCs w:val="15"/>
          <w:b w:val="1"/>
          <w:bCs w:val="1"/>
          <w:color w:val="auto"/>
        </w:rPr>
        <w:t>What is the expected market value of Axalto and the timing of the IPO?</w:t>
      </w:r>
    </w:p>
    <w:p>
      <w:pPr>
        <w:spacing w:after="0" w:line="83" w:lineRule="exact"/>
        <w:rPr>
          <w:sz w:val="20"/>
          <w:szCs w:val="20"/>
          <w:color w:val="auto"/>
        </w:rPr>
      </w:pPr>
    </w:p>
    <w:p>
      <w:pPr>
        <w:ind w:left="460" w:right="380"/>
        <w:spacing w:after="0" w:line="268" w:lineRule="auto"/>
        <w:rPr>
          <w:sz w:val="20"/>
          <w:szCs w:val="20"/>
          <w:color w:val="auto"/>
        </w:rPr>
      </w:pPr>
      <w:r>
        <w:rPr>
          <w:rFonts w:ascii="Arial" w:cs="Arial" w:eastAsia="Arial" w:hAnsi="Arial"/>
          <w:sz w:val="18"/>
          <w:szCs w:val="18"/>
          <w:color w:val="auto"/>
        </w:rPr>
        <w:t>The valuation of Axalto and the timing of the IPO are subject to market conditions. The company expects to proceed with an offer of a majority of the shares of Axalto.</w:t>
      </w:r>
    </w:p>
    <w:p>
      <w:pPr>
        <w:spacing w:after="0" w:line="112"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Schlumberger Limited</w:t>
      </w:r>
    </w:p>
    <w:p>
      <w:pPr>
        <w:spacing w:after="0" w:line="77"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Q7)</w:t>
      </w:r>
      <w:r>
        <w:rPr>
          <w:sz w:val="20"/>
          <w:szCs w:val="20"/>
          <w:color w:val="auto"/>
        </w:rPr>
        <w:tab/>
      </w:r>
      <w:r>
        <w:rPr>
          <w:rFonts w:ascii="Arial" w:cs="Arial" w:eastAsia="Arial" w:hAnsi="Arial"/>
          <w:sz w:val="16"/>
          <w:szCs w:val="16"/>
          <w:b w:val="1"/>
          <w:bCs w:val="1"/>
          <w:color w:val="auto"/>
        </w:rPr>
        <w:t>What was the first quarter Effective Tax Rate (ETR) and what is the ETR guidance for the next quarters?</w:t>
      </w:r>
    </w:p>
    <w:p>
      <w:pPr>
        <w:spacing w:after="0" w:line="83" w:lineRule="exact"/>
        <w:rPr>
          <w:sz w:val="20"/>
          <w:szCs w:val="20"/>
          <w:color w:val="auto"/>
        </w:rPr>
      </w:pPr>
    </w:p>
    <w:p>
      <w:pPr>
        <w:jc w:val="both"/>
        <w:ind w:left="460" w:right="120"/>
        <w:spacing w:after="0" w:line="332" w:lineRule="auto"/>
        <w:rPr>
          <w:sz w:val="20"/>
          <w:szCs w:val="20"/>
          <w:color w:val="auto"/>
        </w:rPr>
      </w:pPr>
      <w:r>
        <w:rPr>
          <w:rFonts w:ascii="Arial" w:cs="Arial" w:eastAsia="Arial" w:hAnsi="Arial"/>
          <w:sz w:val="16"/>
          <w:szCs w:val="16"/>
          <w:color w:val="auto"/>
        </w:rPr>
        <w:t>The first quarter ETR from continuing operations before charges was 24%. We expect the full year 2004 ETR from continuing operations, before charges, to be in the mid twenties range. The ETR is particularly sensitive to the geographic business mix in WesternGeco.</w:t>
      </w:r>
    </w:p>
    <w:p>
      <w:pPr>
        <w:spacing w:after="0" w:line="6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Q8)</w:t>
      </w:r>
      <w:r>
        <w:rPr>
          <w:sz w:val="20"/>
          <w:szCs w:val="20"/>
          <w:color w:val="auto"/>
        </w:rPr>
        <w:tab/>
      </w:r>
      <w:r>
        <w:rPr>
          <w:rFonts w:ascii="Arial" w:cs="Arial" w:eastAsia="Arial" w:hAnsi="Arial"/>
          <w:sz w:val="15"/>
          <w:szCs w:val="15"/>
          <w:b w:val="1"/>
          <w:bCs w:val="1"/>
          <w:color w:val="auto"/>
        </w:rPr>
        <w:t>Why did Nebt Debt</w:t>
      </w:r>
      <w:r>
        <w:rPr>
          <w:rFonts w:ascii="Arial" w:cs="Arial" w:eastAsia="Arial" w:hAnsi="Arial"/>
          <w:sz w:val="19"/>
          <w:szCs w:val="19"/>
          <w:b w:val="1"/>
          <w:bCs w:val="1"/>
          <w:color w:val="auto"/>
          <w:vertAlign w:val="superscript"/>
        </w:rPr>
        <w:t>†</w:t>
      </w:r>
      <w:r>
        <w:rPr>
          <w:rFonts w:ascii="Arial" w:cs="Arial" w:eastAsia="Arial" w:hAnsi="Arial"/>
          <w:sz w:val="15"/>
          <w:szCs w:val="15"/>
          <w:b w:val="1"/>
          <w:bCs w:val="1"/>
          <w:color w:val="auto"/>
        </w:rPr>
        <w:t xml:space="preserve"> decrease during the quarter?</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Net debt of $2.96 billion at March 31, 2004, decreased $1.22 billion in the quarter, after the quarterly dividend payment of $110 million, due to cash flow</w:t>
      </w:r>
    </w:p>
    <w:p>
      <w:pPr>
        <w:spacing w:after="0" w:line="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continuing operations, $1.2 billion from the sale of the SchlumbergerSema activity and the subsequent sale of Atos Origin shares, and $141 million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from the sale of the Infodata and Telecom Billing Software activities, partially offset by $76 million related to the extinguishment of some European debt.</w:t>
      </w:r>
    </w:p>
    <w:p>
      <w:pPr>
        <w:spacing w:after="0" w:line="168"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pacing w:after="0" w:line="15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Q9)</w:t>
      </w:r>
      <w:r>
        <w:rPr>
          <w:sz w:val="20"/>
          <w:szCs w:val="20"/>
          <w:color w:val="auto"/>
        </w:rPr>
        <w:tab/>
      </w:r>
      <w:r>
        <w:rPr>
          <w:rFonts w:ascii="Arial" w:cs="Arial" w:eastAsia="Arial" w:hAnsi="Arial"/>
          <w:sz w:val="15"/>
          <w:szCs w:val="15"/>
          <w:b w:val="1"/>
          <w:bCs w:val="1"/>
          <w:color w:val="auto"/>
        </w:rPr>
        <w:t>What is the Net Debt objective for the company?</w:t>
      </w:r>
    </w:p>
    <w:p>
      <w:pPr>
        <w:spacing w:after="0" w:line="83"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color w:val="auto"/>
        </w:rPr>
        <w:t>The company believes that strong credit metrics are an integral component of its business model, due to the cyclical nature of its activities. Management expects to reach a net debt level of $2 billion by year end.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Q10) Interest income and interest expense changes?</w:t>
      </w:r>
    </w:p>
    <w:p>
      <w:pPr>
        <w:spacing w:after="0" w:line="83" w:lineRule="exact"/>
        <w:rPr>
          <w:sz w:val="20"/>
          <w:szCs w:val="20"/>
          <w:color w:val="auto"/>
        </w:rPr>
      </w:pPr>
    </w:p>
    <w:p>
      <w:pPr>
        <w:ind w:left="460" w:right="80"/>
        <w:spacing w:after="0" w:line="325" w:lineRule="auto"/>
        <w:rPr>
          <w:sz w:val="20"/>
          <w:szCs w:val="20"/>
          <w:color w:val="auto"/>
        </w:rPr>
      </w:pPr>
      <w:r>
        <w:rPr>
          <w:rFonts w:ascii="Arial" w:cs="Arial" w:eastAsia="Arial" w:hAnsi="Arial"/>
          <w:sz w:val="16"/>
          <w:szCs w:val="16"/>
          <w:color w:val="auto"/>
        </w:rPr>
        <w:t>Interest income of $14 million increased $0.4 million sequentially. Average return of 1.8% decreased by 0.3% sequentially. Average investment balance of $3.1 billion was up $630 million sequentially due mainly to liquidity generated by operations and divestiture proceeds.</w:t>
      </w:r>
    </w:p>
    <w:p>
      <w:pPr>
        <w:spacing w:after="0" w:line="1"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Including the $73 million pretax charge related to the interest rate swap, interest expense of $143 million increased $70 million sequentially. Excluding the charge, interest expense decreased $4 million sequentially. Average borrowing rates of 4.0% increased from 3.9% last quarter. Average debt balance of $6.9 billion decreased $429 million sequentially.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Schlumberger expects the net interest expense for the full year to be in the range of $160-170 million.</w:t>
      </w:r>
    </w:p>
    <w:p>
      <w:pPr>
        <w:spacing w:after="0" w:line="158"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74" w:right="259" w:bottom="1440" w:gutter="0" w:footer="0" w:header="0"/>
        </w:sectPr>
      </w:pPr>
    </w:p>
    <w:bookmarkStart w:id="18" w:name="page19"/>
    <w:bookmarkEnd w:id="18"/>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Q11)</w:t>
        <w:tab/>
        <w:t>What is the difference between OFS pretax income and the sum of the business Areas?</w:t>
      </w:r>
    </w:p>
    <w:p>
      <w:pPr>
        <w:spacing w:after="0" w:line="83" w:lineRule="exact"/>
        <w:rPr>
          <w:sz w:val="20"/>
          <w:szCs w:val="20"/>
          <w:color w:val="auto"/>
        </w:rPr>
      </w:pPr>
    </w:p>
    <w:p>
      <w:pPr>
        <w:ind w:left="580" w:right="900"/>
        <w:spacing w:after="0" w:line="268" w:lineRule="auto"/>
        <w:rPr>
          <w:sz w:val="20"/>
          <w:szCs w:val="20"/>
          <w:color w:val="auto"/>
        </w:rPr>
      </w:pPr>
      <w:r>
        <w:rPr>
          <w:rFonts w:ascii="Arial" w:cs="Arial" w:eastAsia="Arial" w:hAnsi="Arial"/>
          <w:sz w:val="18"/>
          <w:szCs w:val="18"/>
          <w:color w:val="auto"/>
        </w:rPr>
        <w:t>The difference of $6.6 million in the quarter came from Oilfield Services headquarters projects and costs plus Oilfield Services consolidation eliminations.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6"/>
          <w:szCs w:val="16"/>
          <w:b w:val="1"/>
          <w:bCs w:val="1"/>
          <w:color w:val="auto"/>
        </w:rPr>
        <w:t>Q12)</w:t>
        <w:tab/>
        <w:t>What is the difference between Schlumberger pretax income before charges and the pretax income of the three business segments?</w:t>
      </w:r>
    </w:p>
    <w:p>
      <w:pPr>
        <w:spacing w:after="0" w:line="106" w:lineRule="exact"/>
        <w:rPr>
          <w:sz w:val="20"/>
          <w:szCs w:val="20"/>
          <w:color w:val="auto"/>
        </w:rPr>
      </w:pPr>
    </w:p>
    <w:p>
      <w:pPr>
        <w:ind w:left="580" w:right="320"/>
        <w:spacing w:after="0" w:line="332" w:lineRule="auto"/>
        <w:rPr>
          <w:sz w:val="20"/>
          <w:szCs w:val="20"/>
          <w:color w:val="auto"/>
        </w:rPr>
      </w:pPr>
      <w:r>
        <w:rPr>
          <w:rFonts w:ascii="Arial" w:cs="Arial" w:eastAsia="Arial" w:hAnsi="Arial"/>
          <w:sz w:val="16"/>
          <w:szCs w:val="16"/>
          <w:color w:val="auto"/>
        </w:rPr>
        <w:t>The $57.5 million pretax eliminations during the quarter included items such as corporate headquarters expenses, interest on post-retirement benefits, amortization of identifiable intangibles, currency exchange losses and gains and employee stock purchase and stock option costs.</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Q13)</w:t>
        <w:tab/>
        <w:t>What is the status of the previously announced restructuring program?</w:t>
      </w:r>
    </w:p>
    <w:p>
      <w:pPr>
        <w:spacing w:after="0" w:line="83" w:lineRule="exact"/>
        <w:rPr>
          <w:sz w:val="20"/>
          <w:szCs w:val="20"/>
          <w:color w:val="auto"/>
        </w:rPr>
      </w:pPr>
    </w:p>
    <w:p>
      <w:pPr>
        <w:ind w:left="580" w:right="180"/>
        <w:spacing w:after="0" w:line="268" w:lineRule="auto"/>
        <w:rPr>
          <w:sz w:val="20"/>
          <w:szCs w:val="20"/>
          <w:color w:val="auto"/>
        </w:rPr>
      </w:pPr>
      <w:r>
        <w:rPr>
          <w:rFonts w:ascii="Arial" w:cs="Arial" w:eastAsia="Arial" w:hAnsi="Arial"/>
          <w:sz w:val="18"/>
          <w:szCs w:val="18"/>
          <w:color w:val="auto"/>
        </w:rPr>
        <w:t>Schlumberger started a restructuring exercise to lower the annual run rate of overhead by $35 million from 2005 onwards. Consequently, we recorded a $14 million after-tax charge during the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Q14)</w:t>
        <w:tab/>
        <w:t>How does Schlumberger compute basic and fully diluted EPS?</w:t>
      </w:r>
    </w:p>
    <w:p>
      <w:pPr>
        <w:spacing w:after="0" w:line="83" w:lineRule="exact"/>
        <w:rPr>
          <w:sz w:val="20"/>
          <w:szCs w:val="20"/>
          <w:color w:val="auto"/>
        </w:rPr>
      </w:pPr>
    </w:p>
    <w:p>
      <w:pPr>
        <w:ind w:left="580" w:right="120"/>
        <w:spacing w:after="0" w:line="294" w:lineRule="auto"/>
        <w:rPr>
          <w:sz w:val="20"/>
          <w:szCs w:val="20"/>
          <w:color w:val="auto"/>
        </w:rPr>
      </w:pPr>
      <w:r>
        <w:rPr>
          <w:rFonts w:ascii="Arial" w:cs="Arial" w:eastAsia="Arial" w:hAnsi="Arial"/>
          <w:sz w:val="16"/>
          <w:szCs w:val="16"/>
          <w:color w:val="auto"/>
        </w:rPr>
        <w:t>Basic earnings per share is calculated by dividing net income by the weighted average number of common shares outstanding during the period. Diluted earnings per share is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the proceeds used, by Schlumberger, to purchase shares at the average market price for the period.</w:t>
      </w:r>
    </w:p>
    <w:p>
      <w:pPr>
        <w:spacing w:after="0" w:line="21" w:lineRule="exact"/>
        <w:rPr>
          <w:sz w:val="20"/>
          <w:szCs w:val="20"/>
          <w:color w:val="auto"/>
        </w:rPr>
      </w:pPr>
    </w:p>
    <w:p>
      <w:pPr>
        <w:ind w:left="580" w:right="4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19 million shares and the interest expense on the convertible bonds was $7.2 million in the first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Q15)</w:t>
        <w:tab/>
        <w:t>What is the current position on funding the company pension plans?</w:t>
      </w:r>
    </w:p>
    <w:p>
      <w:pPr>
        <w:spacing w:after="0" w:line="83" w:lineRule="exact"/>
        <w:rPr>
          <w:sz w:val="20"/>
          <w:szCs w:val="20"/>
          <w:color w:val="auto"/>
        </w:rPr>
      </w:pPr>
    </w:p>
    <w:p>
      <w:pPr>
        <w:jc w:val="both"/>
        <w:ind w:left="580"/>
        <w:spacing w:after="0" w:line="259" w:lineRule="auto"/>
        <w:rPr>
          <w:sz w:val="20"/>
          <w:szCs w:val="20"/>
          <w:color w:val="auto"/>
        </w:rPr>
      </w:pPr>
      <w:r>
        <w:rPr>
          <w:rFonts w:ascii="Arial" w:cs="Arial" w:eastAsia="Arial" w:hAnsi="Arial"/>
          <w:sz w:val="18"/>
          <w:szCs w:val="18"/>
          <w:color w:val="auto"/>
        </w:rPr>
        <w:t>The material defined benefit plans include plans in the USA and the United Kingdom. Each of these plans is under-funded on an actuarial basis as a result of lower interest rates and poor financial market performance. The company will increase its funding of the plans over the next few years unless there is a meaningful recovery in the markets and/or interest rates rise.</w:t>
      </w:r>
    </w:p>
    <w:p>
      <w:pPr>
        <w:spacing w:after="0" w:line="46" w:lineRule="exact"/>
        <w:rPr>
          <w:sz w:val="20"/>
          <w:szCs w:val="20"/>
          <w:color w:val="auto"/>
        </w:rPr>
      </w:pPr>
    </w:p>
    <w:p>
      <w:pPr>
        <w:ind w:left="580" w:right="120"/>
        <w:spacing w:after="0" w:line="255" w:lineRule="auto"/>
        <w:rPr>
          <w:sz w:val="20"/>
          <w:szCs w:val="20"/>
          <w:color w:val="auto"/>
        </w:rPr>
      </w:pPr>
      <w:r>
        <w:rPr>
          <w:rFonts w:ascii="Arial" w:cs="Arial" w:eastAsia="Arial" w:hAnsi="Arial"/>
          <w:sz w:val="18"/>
          <w:szCs w:val="18"/>
          <w:color w:val="auto"/>
        </w:rPr>
        <w:t>In accordance with FASB #87, the company has recorded a cumulative increase in the pension liability of $317 million pretax at March 31, 2004, compared to $428 million at December 31, 2003. Excluding the effect of the SchlumbergerSema divestiture in the quarter, there was virtually no change in the cumulative pension liability. The offset has been recorded in Other Comprehensive Income. The minimum liability represents the difference between the Accumulated Benefit Obligation (present value of benefits earned to date) and the plan assets plus the balance sheet accrual at March 31, 2004.</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74" w:right="259" w:bottom="1440" w:gutter="0" w:footer="0" w:header="0"/>
        </w:sectPr>
      </w:pPr>
    </w:p>
    <w:bookmarkStart w:id="19" w:name="page20"/>
    <w:bookmarkEnd w:id="19"/>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Q16)</w:t>
        <w:tab/>
        <w:t>What was the Schlumberger annualized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run-rate for the quarter?</w:t>
      </w:r>
    </w:p>
    <w:p>
      <w:pPr>
        <w:spacing w:after="0" w:line="51" w:lineRule="exact"/>
        <w:rPr>
          <w:sz w:val="20"/>
          <w:szCs w:val="20"/>
          <w:color w:val="auto"/>
        </w:rPr>
      </w:pPr>
    </w:p>
    <w:p>
      <w:pPr>
        <w:ind w:left="580" w:right="80"/>
        <w:spacing w:after="0" w:line="252" w:lineRule="auto"/>
        <w:rPr>
          <w:sz w:val="20"/>
          <w:szCs w:val="20"/>
          <w:color w:val="auto"/>
        </w:rPr>
      </w:pPr>
      <w:r>
        <w:rPr>
          <w:rFonts w:ascii="Arial" w:cs="Arial" w:eastAsia="Arial" w:hAnsi="Arial"/>
          <w:sz w:val="18"/>
          <w:szCs w:val="18"/>
          <w:color w:val="auto"/>
        </w:rPr>
        <w:t>Annualized ROCE in the first quarter 2004 was 13.3% compared to 12.0% in the fourth quarter 2003. The increase in the quarter reflected a significantly lower capital employed after $1.2 billion reduction in net debt.</w:t>
      </w:r>
    </w:p>
    <w:p>
      <w:pPr>
        <w:spacing w:after="0" w:line="132" w:lineRule="exact"/>
        <w:rPr>
          <w:sz w:val="20"/>
          <w:szCs w:val="20"/>
          <w:color w:val="auto"/>
        </w:rPr>
      </w:pPr>
    </w:p>
    <w:p>
      <w:pPr>
        <w:ind w:left="460" w:right="20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ROCE is computed as [Net Income from continuing operations excluding charges + Minority Interest + Interest Expense–Interest Income–Tax benefit on interest expense] divided by [Shareholders’ Equity + Net Debt + Minority Interest].</w:t>
      </w:r>
    </w:p>
    <w:p>
      <w:pPr>
        <w:spacing w:after="0" w:line="118" w:lineRule="exact"/>
        <w:rPr>
          <w:rFonts w:ascii="Arial" w:cs="Arial" w:eastAsia="Arial" w:hAnsi="Arial"/>
          <w:sz w:val="18"/>
          <w:szCs w:val="18"/>
          <w:color w:val="auto"/>
        </w:rPr>
      </w:pPr>
    </w:p>
    <w:p>
      <w:pPr>
        <w:ind w:left="5680" w:hanging="142"/>
        <w:spacing w:after="0"/>
        <w:tabs>
          <w:tab w:leader="none" w:pos="5680" w:val="left"/>
        </w:tabs>
        <w:numPr>
          <w:ilvl w:val="1"/>
          <w:numId w:val="17"/>
        </w:numPr>
        <w:rPr>
          <w:rFonts w:ascii="Arial" w:cs="Arial" w:eastAsia="Arial" w:hAnsi="Arial"/>
          <w:sz w:val="18"/>
          <w:szCs w:val="18"/>
          <w:color w:val="auto"/>
        </w:rPr>
      </w:pPr>
      <w:r>
        <w:rPr>
          <w:rFonts w:ascii="Arial" w:cs="Arial" w:eastAsia="Arial" w:hAnsi="Arial"/>
          <w:sz w:val="18"/>
          <w:szCs w:val="18"/>
          <w:color w:val="auto"/>
        </w:rPr>
        <w:t># #</w:t>
      </w:r>
    </w:p>
    <w:p>
      <w:pPr>
        <w:spacing w:after="0" w:line="15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question and answer document, the first quarter 2004 earnings release and other statements we make contain forward looking statements, which include any statements that are not historical facts, such as our expectations regarding business outlook, economic recovery, expected capex and depreciation and amortization charges, the acquisition of new multi-client surveys, the funding of pension plans and related pension expense, the likelihood and timing of and the benefits to be derived from divestitures, the likelihood and timing of the Axalto IPO, conditions in the oilfield service business, including activity levels during 2004 and higher E&amp;P investment, the introduction of new technologies and services, oil and natural gas production, benefits from contract awards, our ability to achieve our debt reduction goals, future results of operations, interest expense, reductions in overhead expense, pricing, future effective tax rates, the gain on the sale of SchlumbergerSema and the timing of and proceeds from the sale of Atos Origin shares. These statements involve risks and uncertainties, including, but not limited to, the extent and timing of a rebound in the global economy; changes in exploration and production spending by major oil companies; recovery of activity levels, improved pricing and realization of cost reduction and cost savings targets associated with the seismic business; market acceptance of Q seismic and other technologies; general economic and business conditions in key regions of the world, including Venezuela; political and economic uncertainty in Venezuela and Nigeria and further socio-political unrest in the Persian Gulf and/or Asia; our ability to complete and benefits to be derived from other divestitures; our ability to achieve growth objectives in IT solutions to upstream E&amp;P business; a rebound in the IT environment and an increase in IT spending; the extent and timing of a recovery in the telecommunications industry; our ability to meet our identified liquidity projections, including the generation of sufficient cash flow from oilfield operating results and the successful completion of certain business divestitures; potential contributions to pension plans; and other factors detailed in our first quarter 2004 earnings release, our most recent Form 10-K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lowerLetter"/>
      <w:start w:val="3"/>
    </w:lvl>
  </w:abstractNum>
  <w:abstractNum w:abstractNumId="1">
    <w:nsid w:val="12200854"/>
    <w:multiLevelType w:val="hybridMultilevel"/>
    <w:lvl w:ilvl="0">
      <w:lvlJc w:val="left"/>
      <w:lvlText w:val="•"/>
      <w:numFmt w:val="bullet"/>
      <w:start w:val="1"/>
    </w:lvl>
    <w:lvl w:ilvl="1">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
      <w:numFmt w:val="bullet"/>
      <w:start w:val="1"/>
    </w:lvl>
  </w:abstractNum>
  <w:abstractNum w:abstractNumId="11">
    <w:nsid w:val="7FDCC233"/>
    <w:multiLevelType w:val="hybridMultilevel"/>
    <w:lvl w:ilvl="0">
      <w:lvlJc w:val="left"/>
      <w:lvlText w:val="%1)"/>
      <w:numFmt w:val="upperLetter"/>
      <w:start w:val="1"/>
    </w:lvl>
  </w:abstractNum>
  <w:abstractNum w:abstractNumId="12">
    <w:nsid w:val="1BEFD79F"/>
    <w:multiLevelType w:val="hybridMultilevel"/>
    <w:lvl w:ilvl="0">
      <w:lvlJc w:val="left"/>
      <w:lvlText w:val="%1)"/>
      <w:numFmt w:val="upperLetter"/>
      <w:start w:val="2"/>
    </w:lvl>
  </w:abstractNum>
  <w:abstractNum w:abstractNumId="13">
    <w:nsid w:val="41A7C4C9"/>
    <w:multiLevelType w:val="hybridMultilevel"/>
    <w:lvl w:ilvl="0">
      <w:lvlJc w:val="left"/>
      <w:lvlText w:val="%1)"/>
      <w:numFmt w:val="upperLetter"/>
      <w:start w:val="3"/>
    </w:lvl>
  </w:abstractNum>
  <w:abstractNum w:abstractNumId="14">
    <w:nsid w:val="6B68079A"/>
    <w:multiLevelType w:val="hybridMultilevel"/>
    <w:lvl w:ilvl="0">
      <w:lvlJc w:val="left"/>
      <w:lvlText w:val="%1)"/>
      <w:numFmt w:val="upperLetter"/>
      <w:start w:val="4"/>
    </w:lvl>
  </w:abstractNum>
  <w:abstractNum w:abstractNumId="15">
    <w:nsid w:val="4E6AFB66"/>
    <w:multiLevelType w:val="hybridMultilevel"/>
    <w:lvl w:ilvl="0">
      <w:lvlJc w:val="left"/>
      <w:lvlText w:val="†"/>
      <w:numFmt w:val="bullet"/>
      <w:start w:val="1"/>
    </w:lvl>
  </w:abstractNum>
  <w:abstractNum w:abstractNumId="16">
    <w:nsid w:val="25E45D3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2019-12-12T10:11:12Z</dcterms:created>
  <dcterms:modified xsi:type="dcterms:W3CDTF">2019-12-12T10:11:12Z</dcterms:modified>
</cp:coreProperties>
</file>