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Jaramillo Claudia</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21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03/12/2021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ind w:left="680"/>
              <w:spacing w:after="0"/>
              <w:rPr>
                <w:sz w:val="20"/>
                <w:szCs w:val="20"/>
                <w:color w:val="auto"/>
              </w:rPr>
            </w:pPr>
            <w:r>
              <w:rPr>
                <w:rFonts w:ascii="Arial" w:cs="Arial" w:eastAsia="Arial" w:hAnsi="Arial"/>
                <w:sz w:val="17"/>
                <w:szCs w:val="17"/>
                <w:color w:val="0000FF"/>
                <w:w w:val="88"/>
              </w:rPr>
              <w:t>VP, Treasurer</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862</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23,945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17, 2018. Vesting of the PSUs was based on three-year Company performance relative to select key competitors. Most of these competitors had not reported their 2020 audited financial results when the Company's compensation committee met in January 2021 to certify performance under the PSUs. As a result, the Company's compensation committee approved the issuance of 90% of the shares that the committee determined had been earned according to the information available to the committee at the time. As of March 12, 2021, all such competitors had reported their 2020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24603"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2021-03-16T08:42:24Z</dcterms:created>
  <dcterms:modified xsi:type="dcterms:W3CDTF">2021-03-16T08:42:24Z</dcterms:modified>
</cp:coreProperties>
</file>