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11"/>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ind w:left="12"/>
        <w:spacing w:after="0" w:line="207" w:lineRule="exact"/>
        <w:tabs>
          <w:tab w:leader="none" w:pos="205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492" w:hanging="492"/>
        <w:spacing w:after="0"/>
        <w:tabs>
          <w:tab w:leader="none" w:pos="49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 w:lineRule="exact"/>
        <w:rPr>
          <w:sz w:val="24"/>
          <w:szCs w:val="24"/>
          <w:color w:val="auto"/>
        </w:rPr>
      </w:pPr>
    </w:p>
    <w:p>
      <w:pPr>
        <w:ind w:left="492" w:hanging="492"/>
        <w:spacing w:after="0"/>
        <w:tabs>
          <w:tab w:leader="none" w:pos="49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492" w:hanging="492"/>
        <w:spacing w:after="0"/>
        <w:tabs>
          <w:tab w:leader="none" w:pos="49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492" w:hanging="492"/>
        <w:spacing w:after="0"/>
        <w:tabs>
          <w:tab w:leader="none" w:pos="49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92" w:hanging="492"/>
        <w:spacing w:after="0"/>
        <w:tabs>
          <w:tab w:leader="none" w:pos="49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0" w:lineRule="exact"/>
        <w:rPr>
          <w:sz w:val="24"/>
          <w:szCs w:val="24"/>
          <w:color w:val="auto"/>
        </w:rPr>
      </w:pPr>
    </w:p>
    <w:p>
      <w:pPr>
        <w:jc w:val="center"/>
        <w:ind w:right="-111"/>
        <w:spacing w:after="0"/>
        <w:rPr>
          <w:sz w:val="20"/>
          <w:szCs w:val="20"/>
          <w:color w:val="auto"/>
        </w:rPr>
      </w:pPr>
      <w:r>
        <w:rPr>
          <w:rFonts w:ascii="Arial" w:cs="Arial" w:eastAsia="Arial" w:hAnsi="Arial"/>
          <w:sz w:val="43"/>
          <w:szCs w:val="43"/>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4"/>
          <w:szCs w:val="24"/>
          <w:color w:val="auto"/>
        </w:rPr>
      </w:pPr>
    </w:p>
    <w:p>
      <w:pPr>
        <w:jc w:val="center"/>
        <w:ind w:right="-111"/>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1"/>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12"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52" w:right="600" w:hanging="452"/>
        <w:spacing w:after="0" w:line="325"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-3821430</wp:posOffset>
            </wp:positionV>
            <wp:extent cx="66808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-3401695</wp:posOffset>
            </wp:positionV>
            <wp:extent cx="66808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-2844165</wp:posOffset>
            </wp:positionV>
            <wp:extent cx="6680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-2423795</wp:posOffset>
            </wp:positionV>
            <wp:extent cx="6680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-2003425</wp:posOffset>
            </wp:positionV>
            <wp:extent cx="6680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-1043305</wp:posOffset>
            </wp:positionV>
            <wp:extent cx="6680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-622935</wp:posOffset>
            </wp:positionV>
            <wp:extent cx="66808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-202565</wp:posOffset>
            </wp:positionV>
            <wp:extent cx="66808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0835"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217170</wp:posOffset>
            </wp:positionV>
            <wp:extent cx="66808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0835" cy="8890"/>
                    </a:xfrm>
                    <a:prstGeom prst="rect">
                      <a:avLst/>
                    </a:prstGeom>
                    <a:noFill/>
                  </pic:spPr>
                </pic:pic>
              </a:graphicData>
            </a:graphic>
          </wp:anchor>
        </w:drawing>
      </w:r>
    </w:p>
    <w:p>
      <w:pPr>
        <w:sectPr>
          <w:pgSz w:w="11900" w:h="16838" w:orient="portrait"/>
          <w:cols w:equalWidth="0" w:num="1">
            <w:col w:w="11312"/>
          </w:cols>
          <w:pgMar w:left="248" w:top="206"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ANNUAL GENERAL MEETING OF STOCKHOLDERS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AND</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PROXY STATEMENT</w:t>
      </w:r>
    </w:p>
    <w:p>
      <w:pPr>
        <w:sectPr>
          <w:pgSz w:w="11900" w:h="16838" w:orient="portrait"/>
          <w:cols w:equalWidth="0" w:num="1">
            <w:col w:w="9019"/>
          </w:cols>
          <w:pgMar w:left="1440" w:top="24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-125730</wp:posOffset>
            </wp:positionV>
            <wp:extent cx="1551940" cy="35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35179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color w:val="auto"/>
        </w:rPr>
        <w:t>153 East 53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10022-4624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1061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75007 Paris,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April 11, 2003</w:t>
      </w:r>
    </w:p>
    <w:p>
      <w:pPr>
        <w:spacing w:after="0" w:line="151" w:lineRule="exact"/>
        <w:rPr>
          <w:sz w:val="20"/>
          <w:szCs w:val="20"/>
          <w:color w:val="auto"/>
        </w:rPr>
      </w:pPr>
    </w:p>
    <w:p>
      <w:pPr>
        <w:ind w:left="10400"/>
        <w:spacing w:after="0"/>
        <w:rPr>
          <w:sz w:val="20"/>
          <w:szCs w:val="20"/>
          <w:color w:val="auto"/>
        </w:rPr>
      </w:pPr>
      <w:r>
        <w:rPr>
          <w:rFonts w:ascii="Arial" w:cs="Arial" w:eastAsia="Arial" w:hAnsi="Arial"/>
          <w:sz w:val="15"/>
          <w:szCs w:val="15"/>
          <w:color w:val="auto"/>
        </w:rPr>
        <w:t>March 7, 2003</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General Meeting of Stockholders of Schlumberger Limited (Schlumberger N.V.) will be held at the Avila Beach Hotel, Penstraat 130,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Willemstad, Curaçao, Netherlands Antilles, on Friday, April 11, 2003 at 10:30 in the morning (Curaçao time), for the following purposes:</w:t>
      </w:r>
    </w:p>
    <w:p>
      <w:pPr>
        <w:spacing w:after="0" w:line="15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10 directors.</w:t>
      </w:r>
    </w:p>
    <w:p>
      <w:pPr>
        <w:spacing w:after="0" w:line="157" w:lineRule="exact"/>
        <w:rPr>
          <w:rFonts w:ascii="Arial" w:cs="Arial" w:eastAsia="Arial" w:hAnsi="Arial"/>
          <w:sz w:val="18"/>
          <w:szCs w:val="18"/>
          <w:color w:val="auto"/>
        </w:rPr>
      </w:pPr>
    </w:p>
    <w:p>
      <w:pPr>
        <w:ind w:left="460" w:right="48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2002, to adopt and approve the Company’s Consolidated Balance Sheet as at December 31, 2002, its Consolidated Statement of Income for the year ended December 31, 2002, and the declaration of dividends by the Board of Directors as reflected in the Company’s 2002 Annual Report to Stockholders.</w:t>
      </w:r>
    </w:p>
    <w:p>
      <w:pPr>
        <w:spacing w:after="0" w:line="126" w:lineRule="exact"/>
        <w:rPr>
          <w:rFonts w:ascii="Arial" w:cs="Arial" w:eastAsia="Arial" w:hAnsi="Arial"/>
          <w:sz w:val="18"/>
          <w:szCs w:val="18"/>
          <w:color w:val="auto"/>
        </w:rPr>
      </w:pPr>
    </w:p>
    <w:p>
      <w:pPr>
        <w:ind w:right="860" w:firstLine="8"/>
        <w:spacing w:after="0" w:line="422"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appointment of PricewaterhouseCoopers LLP as independent public accountants to audit the accounts of the Company for 2003. Action will also be taken upon such other matters as may come properly before the meeting.</w:t>
      </w:r>
    </w:p>
    <w:p>
      <w:pPr>
        <w:spacing w:after="0" w:line="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close of business on February 20, 2003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By order of the Board of Directors,</w:t>
      </w:r>
    </w:p>
    <w:p>
      <w:pPr>
        <w:spacing w:after="0" w:line="77"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Please sign your proxy card and return it in the enclosed</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envelope so that you may be represented at the Meeting.</w:t>
      </w:r>
    </w:p>
    <w:p>
      <w:pPr>
        <w:sectPr>
          <w:pgSz w:w="11900" w:h="16838" w:orient="portrait"/>
          <w:cols w:equalWidth="0" w:num="1">
            <w:col w:w="11420"/>
          </w:cols>
          <w:pgMar w:left="240" w:top="2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ind w:left="10400"/>
        <w:spacing w:after="0"/>
        <w:rPr>
          <w:sz w:val="20"/>
          <w:szCs w:val="20"/>
          <w:color w:val="auto"/>
        </w:rPr>
      </w:pPr>
      <w:r>
        <w:rPr>
          <w:rFonts w:ascii="Arial" w:cs="Arial" w:eastAsia="Arial" w:hAnsi="Arial"/>
          <w:sz w:val="15"/>
          <w:szCs w:val="15"/>
          <w:color w:val="auto"/>
        </w:rPr>
        <w:t>March 7, 2003</w:t>
      </w:r>
    </w:p>
    <w:p>
      <w:pPr>
        <w:spacing w:after="0" w:line="19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2003 Annual General Meeting of Stockholders. The approximate mailing date of this proxy statement is March 7, 2003.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2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Schlumberger 2002 Annual Report to Stockholders is presented in the next section of this booklet. The Company’s Consolidated Balance Sheet as at December 31, 2002, its Consolidated Statement of Income for the year ended December 31, 2002 and the supplemental financial information with respect to dividends included in the Annual Report are incorporated by reference as part of this proxy soliciting material.</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will bear the cost of furnishing proxy material to all stockholders and of soliciting proxies by mail and telephone. D. F. King &amp; Co., Inc. has been retained by the Company to assist in the solicitation of proxies for a fee estimated at $10,500 plus reasonable expenses. Directors, officers and employees of the Company may also solicit proxies for no additional compensation. The Company will reimburse brokerage firms, fiduciaries and custodians for their reasonable expenses in forwarding the solicitation material to the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stockholder of record at the close of business on February 20, 2003 is entitled to one vote for each share registered in the stockholder’s name. On that</w:t>
      </w:r>
    </w:p>
    <w:p>
      <w:pPr>
        <w:spacing w:after="0" w:line="50" w:lineRule="exact"/>
        <w:rPr>
          <w:sz w:val="20"/>
          <w:szCs w:val="20"/>
          <w:color w:val="auto"/>
        </w:rPr>
      </w:pPr>
    </w:p>
    <w:p>
      <w:pPr>
        <w:spacing w:after="0"/>
        <w:tabs>
          <w:tab w:leader="none" w:pos="1680" w:val="left"/>
          <w:tab w:leader="none" w:pos="6840" w:val="left"/>
        </w:tabs>
        <w:rPr>
          <w:sz w:val="20"/>
          <w:szCs w:val="20"/>
          <w:color w:val="auto"/>
        </w:rPr>
      </w:pPr>
      <w:r>
        <w:rPr>
          <w:rFonts w:ascii="Arial" w:cs="Arial" w:eastAsia="Arial" w:hAnsi="Arial"/>
          <w:sz w:val="18"/>
          <w:szCs w:val="18"/>
          <w:color w:val="auto"/>
        </w:rPr>
        <w:t>date there were</w:t>
      </w:r>
      <w:r>
        <w:rPr>
          <w:sz w:val="20"/>
          <w:szCs w:val="20"/>
          <w:color w:val="auto"/>
        </w:rPr>
        <w:tab/>
      </w:r>
      <w:r>
        <w:rPr>
          <w:rFonts w:ascii="Arial" w:cs="Arial" w:eastAsia="Arial" w:hAnsi="Arial"/>
          <w:sz w:val="18"/>
          <w:szCs w:val="18"/>
          <w:color w:val="auto"/>
        </w:rPr>
        <w:t>outstanding shares of common stock of Schlumberger, excluding</w:t>
      </w:r>
      <w:r>
        <w:rPr>
          <w:sz w:val="20"/>
          <w:szCs w:val="20"/>
          <w:color w:val="auto"/>
        </w:rPr>
        <w:tab/>
      </w:r>
      <w:r>
        <w:rPr>
          <w:rFonts w:ascii="Arial" w:cs="Arial" w:eastAsia="Arial" w:hAnsi="Arial"/>
          <w:sz w:val="15"/>
          <w:szCs w:val="15"/>
          <w:color w:val="auto"/>
        </w:rPr>
        <w:t>shares held in treasury.</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Schlumberger is incorporated in the Netherlands Antilles and, as required by Netherlands Antilles law, meetings of stockholders must be held in the Netherlands Antilles.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2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 Election of Directors</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It is intended to fix the number of directors at 10 and to elect a Board of Directors of 10 members, each to hold office until the next Annual General Meeting of Stockholders and until a director’s successor is elected and qualified or until a director’s death, resignation or removal. Each of the nominees, except Tony Isaac, is now a director and was previously elected by the stockholders. D. Euan Baird, a director from 1986 until his retirement on February 1, 2003 as Chairman of the Board and Chief Executive Officer, and William T. McCormick, Jr., a director since 1990, are not standing for reelection. Unless instructed otherwise, the proxies will be voted for the election of the 10 nominees named below. If any nominee is unable or unwilling to serve, proxies may be voted for another person designated by the Board of Directors. The Board knows of no reason why any nominee will be unable or unwilling to serve if elected.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majority of the votes cast is required to elect each of the nominees for director.</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7500" w:type="dxa"/>
            <w:vAlign w:val="bottom"/>
            <w:gridSpan w:val="2"/>
          </w:tcPr>
          <w:p>
            <w:pPr>
              <w:ind w:left="480"/>
              <w:spacing w:after="0"/>
              <w:rPr>
                <w:sz w:val="20"/>
                <w:szCs w:val="20"/>
                <w:color w:val="auto"/>
              </w:rPr>
            </w:pPr>
            <w:r>
              <w:rPr>
                <w:rFonts w:ascii="Arial" w:cs="Arial" w:eastAsia="Arial" w:hAnsi="Arial"/>
                <w:sz w:val="14"/>
                <w:szCs w:val="14"/>
                <w:b w:val="1"/>
                <w:bCs w:val="1"/>
                <w:color w:val="auto"/>
              </w:rPr>
              <w:t>Nominee, Age and Five-Year Business Experience</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0"/>
              </w:rPr>
              <w:t>Since</w:t>
            </w:r>
          </w:p>
        </w:tc>
        <w:tc>
          <w:tcPr>
            <w:tcW w:w="0" w:type="dxa"/>
            <w:vAlign w:val="bottom"/>
          </w:tcPr>
          <w:p>
            <w:pPr>
              <w:spacing w:after="0"/>
              <w:rPr>
                <w:sz w:val="1"/>
                <w:szCs w:val="1"/>
                <w:color w:val="auto"/>
              </w:rPr>
            </w:pPr>
          </w:p>
        </w:tc>
      </w:tr>
      <w:tr>
        <w:trPr>
          <w:trHeight w:val="95"/>
        </w:trPr>
        <w:tc>
          <w:tcPr>
            <w:tcW w:w="3340" w:type="dxa"/>
            <w:vAlign w:val="bottom"/>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JOHN DEUTCH, 64; Institute Professor, Massachusetts Institute of Technology, Cambridge, Massachusetts. (1)</w:t>
            </w:r>
          </w:p>
        </w:tc>
        <w:tc>
          <w:tcPr>
            <w:tcW w:w="5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1997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gridSpan w:val="3"/>
          </w:tcPr>
          <w:p>
            <w:pPr>
              <w:ind w:left="20"/>
              <w:spacing w:after="0"/>
              <w:rPr>
                <w:sz w:val="20"/>
                <w:szCs w:val="20"/>
                <w:color w:val="auto"/>
              </w:rPr>
            </w:pPr>
            <w:r>
              <w:rPr>
                <w:rFonts w:ascii="Arial" w:cs="Arial" w:eastAsia="Arial" w:hAnsi="Arial"/>
                <w:sz w:val="18"/>
                <w:szCs w:val="18"/>
                <w:color w:val="auto"/>
              </w:rPr>
              <w:t>JAMIE S. GORELICK, 52; Vice Chair of Fannie Mae, the largest source of financing for U.S. home mortgages, Washington, D.C. (2).</w:t>
            </w:r>
          </w:p>
        </w:tc>
        <w:tc>
          <w:tcPr>
            <w:tcW w:w="580" w:type="dxa"/>
            <w:vAlign w:val="bottom"/>
          </w:tcPr>
          <w:p>
            <w:pPr>
              <w:jc w:val="center"/>
              <w:ind w:left="136"/>
              <w:spacing w:after="0"/>
              <w:rPr>
                <w:sz w:val="20"/>
                <w:szCs w:val="20"/>
                <w:color w:val="auto"/>
              </w:rPr>
            </w:pPr>
            <w:r>
              <w:rPr>
                <w:rFonts w:ascii="Arial" w:cs="Arial" w:eastAsia="Arial" w:hAnsi="Arial"/>
                <w:sz w:val="18"/>
                <w:szCs w:val="18"/>
                <w:color w:val="auto"/>
                <w:w w:val="89"/>
              </w:rPr>
              <w:t>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ANDREW GOULD, 56; Chairman and Chief Executive Officer since February 2003, President and Chief Operating Officer, March 2002 to</w:t>
            </w: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7"/>
              </w:rPr>
              <w:t>February 2003, Executive Vice President Oilfield Services from January 1999 to March 2002, Executive Vice President Oilfield Products,</w:t>
            </w: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February 1998 to January 1999. (3)</w:t>
            </w:r>
          </w:p>
        </w:tc>
        <w:tc>
          <w:tcPr>
            <w:tcW w:w="5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840" w:type="dxa"/>
            <w:vAlign w:val="bottom"/>
            <w:gridSpan w:val="3"/>
          </w:tcPr>
          <w:p>
            <w:pPr>
              <w:ind w:left="20"/>
              <w:spacing w:after="0"/>
              <w:rPr>
                <w:sz w:val="20"/>
                <w:szCs w:val="20"/>
                <w:color w:val="auto"/>
              </w:rPr>
            </w:pPr>
            <w:r>
              <w:rPr>
                <w:rFonts w:ascii="Arial" w:cs="Arial" w:eastAsia="Arial" w:hAnsi="Arial"/>
                <w:sz w:val="18"/>
                <w:szCs w:val="18"/>
                <w:color w:val="auto"/>
                <w:w w:val="93"/>
              </w:rPr>
              <w:t>TONY ISAAC, 61, Chief Executive, The BOC Group plc, an international portfolio of companies with four business segments consisting of Gases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gridSpan w:val="3"/>
          </w:tcPr>
          <w:p>
            <w:pPr>
              <w:ind w:left="220"/>
              <w:spacing w:after="0"/>
              <w:rPr>
                <w:sz w:val="20"/>
                <w:szCs w:val="20"/>
                <w:color w:val="auto"/>
              </w:rPr>
            </w:pPr>
            <w:r>
              <w:rPr>
                <w:rFonts w:ascii="Arial" w:cs="Arial" w:eastAsia="Arial" w:hAnsi="Arial"/>
                <w:sz w:val="18"/>
                <w:szCs w:val="18"/>
                <w:color w:val="auto"/>
                <w:w w:val="92"/>
              </w:rPr>
              <w:t>and Related Products, Vacuum, Supply Chain Solutions and Health Care since September 1999, Group Finance Director of the BOC Group plc</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40" w:type="dxa"/>
            <w:vAlign w:val="bottom"/>
            <w:gridSpan w:val="3"/>
          </w:tcPr>
          <w:p>
            <w:pPr>
              <w:ind w:left="220"/>
              <w:spacing w:after="0"/>
              <w:rPr>
                <w:sz w:val="20"/>
                <w:szCs w:val="20"/>
                <w:color w:val="auto"/>
              </w:rPr>
            </w:pPr>
            <w:r>
              <w:rPr>
                <w:rFonts w:ascii="Arial" w:cs="Arial" w:eastAsia="Arial" w:hAnsi="Arial"/>
                <w:sz w:val="18"/>
                <w:szCs w:val="18"/>
                <w:color w:val="auto"/>
              </w:rPr>
              <w:t>from October 1994 to September 1999. (4)</w:t>
            </w:r>
          </w:p>
        </w:tc>
        <w:tc>
          <w:tcPr>
            <w:tcW w:w="600" w:type="dxa"/>
            <w:vAlign w:val="bottom"/>
            <w:gridSpan w:val="2"/>
          </w:tcPr>
          <w:p>
            <w:pPr>
              <w:jc w:val="center"/>
              <w:ind w:left="1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10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ADRIAN LAJOUS, 59; Senior Energy Advisor, McKinsey &amp; Company, Houston, Texas, since January 2001; Special Advisor to the President of</w:t>
            </w: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5"/>
              </w:rPr>
              <w:t>Mexico (international oil matters), January 2000 to November 2000; Director and CEO, Pemex, Mexico’s national oil company from 1990 to</w:t>
            </w: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1999. (5)</w:t>
            </w:r>
          </w:p>
        </w:tc>
        <w:tc>
          <w:tcPr>
            <w:tcW w:w="384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5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840" w:type="dxa"/>
            <w:vAlign w:val="bottom"/>
            <w:gridSpan w:val="3"/>
          </w:tcPr>
          <w:p>
            <w:pPr>
              <w:ind w:left="20"/>
              <w:spacing w:after="0"/>
              <w:rPr>
                <w:sz w:val="20"/>
                <w:szCs w:val="20"/>
                <w:color w:val="auto"/>
              </w:rPr>
            </w:pPr>
            <w:r>
              <w:rPr>
                <w:rFonts w:ascii="Arial" w:cs="Arial" w:eastAsia="Arial" w:hAnsi="Arial"/>
                <w:sz w:val="18"/>
                <w:szCs w:val="18"/>
                <w:color w:val="auto"/>
                <w:w w:val="96"/>
              </w:rPr>
              <w:t>ANDRE LEVY-LANG, 65; Independent Investor since November 1999; Chairman of the Executive Board of Paribas, an international banking</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gridSpan w:val="3"/>
          </w:tcPr>
          <w:p>
            <w:pPr>
              <w:ind w:left="220"/>
              <w:spacing w:after="0"/>
              <w:rPr>
                <w:sz w:val="20"/>
                <w:szCs w:val="20"/>
                <w:color w:val="auto"/>
              </w:rPr>
            </w:pPr>
            <w:r>
              <w:rPr>
                <w:rFonts w:ascii="Arial" w:cs="Arial" w:eastAsia="Arial" w:hAnsi="Arial"/>
                <w:sz w:val="18"/>
                <w:szCs w:val="18"/>
                <w:color w:val="auto"/>
                <w:w w:val="93"/>
              </w:rPr>
              <w:t>group, May 1998 to August 1999; Chairman of the Board of Management of Compagnie Financière de Paribas from June 1990 until May 1998,</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40" w:type="dxa"/>
            <w:vAlign w:val="bottom"/>
            <w:gridSpan w:val="3"/>
          </w:tcPr>
          <w:p>
            <w:pPr>
              <w:ind w:left="220"/>
              <w:spacing w:after="0"/>
              <w:rPr>
                <w:sz w:val="20"/>
                <w:szCs w:val="20"/>
                <w:color w:val="auto"/>
              </w:rPr>
            </w:pPr>
            <w:r>
              <w:rPr>
                <w:rFonts w:ascii="Arial" w:cs="Arial" w:eastAsia="Arial" w:hAnsi="Arial"/>
                <w:sz w:val="18"/>
                <w:szCs w:val="18"/>
                <w:color w:val="auto"/>
              </w:rPr>
              <w:t>Paris. (6)</w:t>
            </w:r>
          </w:p>
        </w:tc>
        <w:tc>
          <w:tcPr>
            <w:tcW w:w="600" w:type="dxa"/>
            <w:vAlign w:val="bottom"/>
            <w:gridSpan w:val="2"/>
          </w:tcPr>
          <w:p>
            <w:pPr>
              <w:jc w:val="center"/>
              <w:ind w:left="116"/>
              <w:spacing w:after="0"/>
              <w:rPr>
                <w:sz w:val="20"/>
                <w:szCs w:val="20"/>
                <w:color w:val="auto"/>
              </w:rPr>
            </w:pPr>
            <w:r>
              <w:rPr>
                <w:rFonts w:ascii="Arial" w:cs="Arial" w:eastAsia="Arial" w:hAnsi="Arial"/>
                <w:sz w:val="18"/>
                <w:szCs w:val="18"/>
                <w:color w:val="auto"/>
                <w:w w:val="89"/>
              </w:rPr>
              <w:t>1992</w:t>
            </w:r>
          </w:p>
        </w:tc>
        <w:tc>
          <w:tcPr>
            <w:tcW w:w="0" w:type="dxa"/>
            <w:vAlign w:val="bottom"/>
          </w:tcPr>
          <w:p>
            <w:pPr>
              <w:spacing w:after="0"/>
              <w:rPr>
                <w:sz w:val="1"/>
                <w:szCs w:val="1"/>
                <w:color w:val="auto"/>
              </w:rPr>
            </w:pPr>
          </w:p>
        </w:tc>
      </w:tr>
      <w:tr>
        <w:trPr>
          <w:trHeight w:val="218"/>
        </w:trPr>
        <w:tc>
          <w:tcPr>
            <w:tcW w:w="10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DIDIER PRIMAT, 58; President, Primwest Holding N.V., an investment management company, Curaçao, N.A. (7)</w:t>
            </w:r>
          </w:p>
        </w:tc>
        <w:tc>
          <w:tcPr>
            <w:tcW w:w="5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1988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gridSpan w:val="3"/>
          </w:tcPr>
          <w:p>
            <w:pPr>
              <w:ind w:left="20"/>
              <w:spacing w:after="0"/>
              <w:rPr>
                <w:sz w:val="20"/>
                <w:szCs w:val="20"/>
                <w:color w:val="auto"/>
              </w:rPr>
            </w:pPr>
            <w:r>
              <w:rPr>
                <w:rFonts w:ascii="Arial" w:cs="Arial" w:eastAsia="Arial" w:hAnsi="Arial"/>
                <w:sz w:val="18"/>
                <w:szCs w:val="18"/>
                <w:color w:val="auto"/>
              </w:rPr>
              <w:t>NICOLAS SEYDOUX, 63; Chairman and Chief Executive Officer, Gaumont, a French filmmaking enterprise, Paris. (7)</w:t>
            </w:r>
          </w:p>
        </w:tc>
        <w:tc>
          <w:tcPr>
            <w:tcW w:w="580" w:type="dxa"/>
            <w:vAlign w:val="bottom"/>
          </w:tcPr>
          <w:p>
            <w:pPr>
              <w:jc w:val="center"/>
              <w:ind w:left="136"/>
              <w:spacing w:after="0"/>
              <w:rPr>
                <w:sz w:val="20"/>
                <w:szCs w:val="20"/>
                <w:color w:val="auto"/>
              </w:rPr>
            </w:pPr>
            <w:r>
              <w:rPr>
                <w:rFonts w:ascii="Arial" w:cs="Arial" w:eastAsia="Arial" w:hAnsi="Arial"/>
                <w:sz w:val="18"/>
                <w:szCs w:val="18"/>
                <w:color w:val="auto"/>
                <w:w w:val="89"/>
              </w:rPr>
              <w:t>1982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LINDA GILLESPIE STUNTZ, 48; Partner, law firm of Stuntz, Davis &amp; Staffier P.C., Washington, D. C. (8)</w:t>
            </w:r>
          </w:p>
        </w:tc>
        <w:tc>
          <w:tcPr>
            <w:tcW w:w="58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89"/>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840" w:type="dxa"/>
            <w:vAlign w:val="bottom"/>
            <w:gridSpan w:val="3"/>
          </w:tcPr>
          <w:p>
            <w:pPr>
              <w:ind w:left="20"/>
              <w:spacing w:after="0"/>
              <w:rPr>
                <w:sz w:val="20"/>
                <w:szCs w:val="20"/>
                <w:color w:val="auto"/>
              </w:rPr>
            </w:pPr>
            <w:r>
              <w:rPr>
                <w:rFonts w:ascii="Arial" w:cs="Arial" w:eastAsia="Arial" w:hAnsi="Arial"/>
                <w:sz w:val="18"/>
                <w:szCs w:val="18"/>
                <w:color w:val="auto"/>
                <w:w w:val="92"/>
              </w:rPr>
              <w:t>SVEN ULLRING, 67; Independent Adviser since June 2000; President and Chief Executive Officer, Det Norske Veritas, a provider of safety, quality</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40" w:type="dxa"/>
            <w:vAlign w:val="bottom"/>
            <w:gridSpan w:val="3"/>
          </w:tcPr>
          <w:p>
            <w:pPr>
              <w:ind w:left="220"/>
              <w:spacing w:after="0"/>
              <w:rPr>
                <w:sz w:val="20"/>
                <w:szCs w:val="20"/>
                <w:color w:val="auto"/>
              </w:rPr>
            </w:pPr>
            <w:r>
              <w:rPr>
                <w:rFonts w:ascii="Arial" w:cs="Arial" w:eastAsia="Arial" w:hAnsi="Arial"/>
                <w:sz w:val="18"/>
                <w:szCs w:val="18"/>
                <w:color w:val="auto"/>
              </w:rPr>
              <w:t>and reliability services to maritime, offshore and other industries, from July 1985 to May 2000, Hovik, Norway. (9)</w:t>
            </w:r>
          </w:p>
        </w:tc>
        <w:tc>
          <w:tcPr>
            <w:tcW w:w="600" w:type="dxa"/>
            <w:vAlign w:val="bottom"/>
            <w:gridSpan w:val="2"/>
          </w:tcPr>
          <w:p>
            <w:pPr>
              <w:jc w:val="center"/>
              <w:ind w:left="116"/>
              <w:spacing w:after="0"/>
              <w:rPr>
                <w:sz w:val="20"/>
                <w:szCs w:val="20"/>
                <w:color w:val="auto"/>
              </w:rPr>
            </w:pPr>
            <w:r>
              <w:rPr>
                <w:rFonts w:ascii="Arial" w:cs="Arial" w:eastAsia="Arial" w:hAnsi="Arial"/>
                <w:sz w:val="18"/>
                <w:szCs w:val="18"/>
                <w:color w:val="auto"/>
                <w:w w:val="89"/>
              </w:rPr>
              <w:t>1990</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20" w:firstLine="8"/>
        <w:spacing w:after="0" w:line="306"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Deutch is a director of Citigroup, a banking and insurance organization; CMS Energy Corp., a diversified energy company; Cummins Inc., a manufacturer of diesel engines and components; and Raytheon Corporation, an electronics manufacturer. Mr. Deutch’s adult son, Paul Deutch, is employed by a unit of Schlumberger. The employment of Mr. Deutch’s son was not influenced by John Deutch’s position as a director of the Company.</w:t>
      </w:r>
    </w:p>
    <w:p>
      <w:pPr>
        <w:spacing w:after="0" w:line="12" w:lineRule="exact"/>
        <w:rPr>
          <w:rFonts w:ascii="Arial" w:cs="Arial" w:eastAsia="Arial" w:hAnsi="Arial"/>
          <w:sz w:val="16"/>
          <w:szCs w:val="16"/>
          <w:color w:val="auto"/>
        </w:rPr>
      </w:pPr>
    </w:p>
    <w:p>
      <w:pPr>
        <w:ind w:right="80" w:firstLine="8"/>
        <w:spacing w:after="0" w:line="298"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Ms. Gorelick is a director of United Technologies Corporation, a provider of high technology products and services to the aerospace industry, where she serves on its Audit, Finance and Public Issues Review Committees and serves on the Harvard Board of Overseers, and the boards of the John D. and Catherine T. MacArthur Foundation, America’s Promise and the Carnegie Endowment for International Peace. She is a member of the National Commission on Terrorism Attacks Upon the United States. Ms. Gorelick will retire from Fannie Mae on July 1, 2003, to devote more time to the Commission.</w:t>
      </w:r>
    </w:p>
    <w:p>
      <w:pPr>
        <w:spacing w:after="0" w:line="18" w:lineRule="exact"/>
        <w:rPr>
          <w:rFonts w:ascii="Arial" w:cs="Arial" w:eastAsia="Arial" w:hAnsi="Arial"/>
          <w:sz w:val="16"/>
          <w:szCs w:val="16"/>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Gould is a director of Rio Tinto plc and Rio Tinto Limited, a mineral resources group.</w:t>
      </w:r>
    </w:p>
    <w:p>
      <w:pPr>
        <w:spacing w:after="0" w:line="76" w:lineRule="exact"/>
        <w:rPr>
          <w:rFonts w:ascii="Arial" w:cs="Arial" w:eastAsia="Arial" w:hAnsi="Arial"/>
          <w:sz w:val="18"/>
          <w:szCs w:val="18"/>
          <w:color w:val="auto"/>
        </w:rPr>
      </w:pPr>
    </w:p>
    <w:p>
      <w:pPr>
        <w:ind w:right="120" w:firstLine="8"/>
        <w:spacing w:after="0" w:line="268"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Isaac is a director of International Power plc and is Chairman of its Audit Committee and serves on its Remuneration and Appointments Committees and is a director of the Exel Group, plc and is Chairman of its Audit Committee.</w:t>
      </w:r>
    </w:p>
    <w:p>
      <w:pPr>
        <w:spacing w:after="0" w:line="37" w:lineRule="exact"/>
        <w:rPr>
          <w:rFonts w:ascii="Arial" w:cs="Arial" w:eastAsia="Arial" w:hAnsi="Arial"/>
          <w:sz w:val="18"/>
          <w:szCs w:val="18"/>
          <w:color w:val="auto"/>
        </w:rPr>
      </w:pPr>
    </w:p>
    <w:p>
      <w:pPr>
        <w:ind w:right="380" w:firstLine="8"/>
        <w:spacing w:after="0" w:line="268"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Lajous is President of Petrométrica, an energy consulting company, Mexico City; President of Oxford Institute for Energy Studies, Oxford, U.K.; and Senior Energy Advisor at Morgan Stanley, London.</w:t>
      </w:r>
    </w:p>
    <w:p>
      <w:pPr>
        <w:spacing w:after="0" w:line="37" w:lineRule="exact"/>
        <w:rPr>
          <w:rFonts w:ascii="Arial" w:cs="Arial" w:eastAsia="Arial" w:hAnsi="Arial"/>
          <w:sz w:val="18"/>
          <w:szCs w:val="18"/>
          <w:color w:val="auto"/>
        </w:rPr>
      </w:pPr>
    </w:p>
    <w:p>
      <w:pPr>
        <w:ind w:right="180" w:firstLine="8"/>
        <w:spacing w:after="0" w:line="268"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Lévy-Lang is a director and member of the Compensation Committee of AGF, a French insurance company, and a director of Dexia, a Belgian financial services company.</w:t>
      </w:r>
    </w:p>
    <w:p>
      <w:pPr>
        <w:spacing w:after="0" w:line="37"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Primat and Mr. Seydoux are cousins.</w:t>
      </w:r>
    </w:p>
    <w:p>
      <w:pPr>
        <w:spacing w:after="0" w:line="76" w:lineRule="exact"/>
        <w:rPr>
          <w:rFonts w:ascii="Arial" w:cs="Arial" w:eastAsia="Arial" w:hAnsi="Arial"/>
          <w:sz w:val="18"/>
          <w:szCs w:val="18"/>
          <w:color w:val="auto"/>
        </w:rPr>
      </w:pPr>
    </w:p>
    <w:p>
      <w:pPr>
        <w:ind w:right="20" w:firstLine="8"/>
        <w:spacing w:after="0" w:line="306"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Mrs. Stuntz is a director of American Electric Power Company, Inc., an electric and power holding company, where she is Chairman of its Finance Committee and is a member of its Executive, Public Policy, and Corporate Governance Committees; and a director of the Electricity Innovation Institute, a nonprofit public benefit corporation engaged in research and technologies related to electricity production, transmission, distribution and utilization.</w:t>
      </w:r>
    </w:p>
    <w:p>
      <w:pPr>
        <w:spacing w:after="0" w:line="12" w:lineRule="exact"/>
        <w:rPr>
          <w:rFonts w:ascii="Arial" w:cs="Arial" w:eastAsia="Arial" w:hAnsi="Arial"/>
          <w:sz w:val="16"/>
          <w:szCs w:val="16"/>
          <w:color w:val="auto"/>
        </w:rPr>
      </w:pPr>
    </w:p>
    <w:p>
      <w:pPr>
        <w:jc w:val="both"/>
        <w:ind w:right="700" w:firstLine="8"/>
        <w:spacing w:after="0" w:line="306"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Ullring is Chairman of the Supervisory Board of Norsk Hydro, an energy, fertilizer and metals company; Chairman of the Supervisory Board of Storebrand, an insurance company; and Chairman of the Board of the Environmental Forum, all in Oslo, Norway; and a member of the Board of Keppel Corporation, a real estate development, shipbuilding and telecommunications company in Singapore.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with respect to persons known by the Company to be the beneficial owner of 5% or more of the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2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Beneficial Ownership of Common</w:t>
            </w:r>
          </w:p>
        </w:tc>
      </w:tr>
      <w:tr>
        <w:trPr>
          <w:trHeight w:val="174"/>
        </w:trPr>
        <w:tc>
          <w:tcPr>
            <w:tcW w:w="150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1460" w:type="dxa"/>
            <w:vAlign w:val="bottom"/>
            <w:gridSpan w:val="2"/>
          </w:tcPr>
          <w:p>
            <w:pPr>
              <w:jc w:val="center"/>
              <w:ind w:left="567"/>
              <w:spacing w:after="0"/>
              <w:rPr>
                <w:sz w:val="20"/>
                <w:szCs w:val="20"/>
                <w:color w:val="auto"/>
              </w:rPr>
            </w:pPr>
            <w:r>
              <w:rPr>
                <w:rFonts w:ascii="Arial" w:cs="Arial" w:eastAsia="Arial" w:hAnsi="Arial"/>
                <w:sz w:val="14"/>
                <w:szCs w:val="14"/>
                <w:b w:val="1"/>
                <w:bCs w:val="1"/>
                <w:color w:val="auto"/>
                <w:w w:val="89"/>
              </w:rPr>
              <w:t>Stock</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1500" w:type="dxa"/>
            <w:vAlign w:val="bottom"/>
          </w:tcPr>
          <w:p>
            <w:pPr>
              <w:spacing w:after="0"/>
              <w:rPr>
                <w:sz w:val="8"/>
                <w:szCs w:val="8"/>
                <w:color w:val="auto"/>
              </w:rPr>
            </w:pPr>
          </w:p>
        </w:tc>
        <w:tc>
          <w:tcPr>
            <w:tcW w:w="76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37"/>
        </w:trPr>
        <w:tc>
          <w:tcPr>
            <w:tcW w:w="150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Percentage</w:t>
            </w:r>
          </w:p>
        </w:tc>
      </w:tr>
      <w:tr>
        <w:trPr>
          <w:trHeight w:val="174"/>
        </w:trPr>
        <w:tc>
          <w:tcPr>
            <w:tcW w:w="91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Number of Shares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of Class</w:t>
            </w:r>
          </w:p>
        </w:tc>
      </w:tr>
      <w:tr>
        <w:trPr>
          <w:trHeight w:val="95"/>
        </w:trPr>
        <w:tc>
          <w:tcPr>
            <w:tcW w:w="150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09"/>
        </w:trPr>
        <w:tc>
          <w:tcPr>
            <w:tcW w:w="9160" w:type="dxa"/>
            <w:vAlign w:val="bottom"/>
            <w:gridSpan w:val="2"/>
          </w:tcPr>
          <w:p>
            <w:pPr>
              <w:ind w:left="20"/>
              <w:spacing w:after="0"/>
              <w:rPr>
                <w:sz w:val="20"/>
                <w:szCs w:val="20"/>
                <w:color w:val="auto"/>
              </w:rPr>
            </w:pPr>
            <w:r>
              <w:rPr>
                <w:rFonts w:ascii="Arial" w:cs="Arial" w:eastAsia="Arial" w:hAnsi="Arial"/>
                <w:sz w:val="18"/>
                <w:szCs w:val="18"/>
                <w:color w:val="auto"/>
              </w:rPr>
              <w:t>FMR Corp. (1)</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50,431,204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8.685%</w:t>
            </w: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85 Devonshire Street</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Boston, Massachusetts 02109</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ind w:left="460" w:right="8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 Statement on Schedule 13G dated February 14, 2003. Such filing indicates that FMR Corp. has sole voting power with respect to 2,687,533 shares and sole dispositive power with respect to 50,431,204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lists the shares of Schlumberger Common Stock beneficially owned as of January 31, 2003 by all directors and nominees, by each of the named executive officers, and by the directors and officers as a group. Except as footnoted, each individual has sole voting and investment power over the shares listed by that individual’s name. As of January 31, 2003, no nominee for director owned more than 1% of the outstanding shares of the Company’s Common Stock, except Mr. Primat who owned 3.03%. All 23 directors and executive officers as a group owned 3.82% of the outstanding shares of the Company at January 31, 2003.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3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r>
      <w:tr>
        <w:trPr>
          <w:trHeight w:val="95"/>
        </w:trPr>
        <w:tc>
          <w:tcPr>
            <w:tcW w:w="460" w:type="dxa"/>
            <w:vAlign w:val="bottom"/>
            <w:tcBorders>
              <w:bottom w:val="single" w:sz="8" w:color="auto"/>
            </w:tcBorders>
          </w:tcPr>
          <w:p>
            <w:pPr>
              <w:spacing w:after="0"/>
              <w:rPr>
                <w:sz w:val="8"/>
                <w:szCs w:val="8"/>
                <w:color w:val="auto"/>
              </w:rPr>
            </w:pPr>
          </w:p>
        </w:tc>
        <w:tc>
          <w:tcPr>
            <w:tcW w:w="98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r>
      <w:tr>
        <w:trPr>
          <w:trHeight w:val="102"/>
        </w:trPr>
        <w:tc>
          <w:tcPr>
            <w:tcW w:w="460" w:type="dxa"/>
            <w:vAlign w:val="bottom"/>
          </w:tcPr>
          <w:p>
            <w:pPr>
              <w:spacing w:after="0"/>
              <w:rPr>
                <w:sz w:val="8"/>
                <w:szCs w:val="8"/>
                <w:color w:val="auto"/>
              </w:rPr>
            </w:pPr>
          </w:p>
        </w:tc>
        <w:tc>
          <w:tcPr>
            <w:tcW w:w="9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 Euan Baird</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2,323,704(1)</w:t>
            </w:r>
          </w:p>
        </w:tc>
      </w:tr>
      <w:tr>
        <w:trPr>
          <w:trHeight w:val="216"/>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John Deutch</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4,600(2)</w:t>
            </w:r>
          </w:p>
        </w:tc>
      </w:tr>
      <w:tr>
        <w:trPr>
          <w:trHeight w:val="216"/>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Jaime S. Gorelick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Andrew Gould</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422,888(3)</w:t>
            </w:r>
          </w:p>
        </w:tc>
      </w:tr>
      <w:tr>
        <w:trPr>
          <w:trHeight w:val="216"/>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Rene Huck</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152,668(4)</w:t>
            </w:r>
          </w:p>
        </w:tc>
      </w:tr>
      <w:tr>
        <w:trPr>
          <w:trHeight w:val="216"/>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Tony Isaac</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Adrian Lajous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500(5)</w:t>
            </w:r>
          </w:p>
        </w:tc>
      </w:tr>
      <w:tr>
        <w:trPr>
          <w:trHeight w:val="216"/>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André Lévy-Lang</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William T. McCormick, Jr.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30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Jean-Marc Perraud</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106,634(6)</w:t>
            </w:r>
          </w:p>
        </w:tc>
      </w:tr>
      <w:tr>
        <w:trPr>
          <w:trHeight w:val="216"/>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Irwin Pfister</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403,649(7)</w:t>
            </w:r>
          </w:p>
        </w:tc>
      </w:tr>
      <w:tr>
        <w:trPr>
          <w:trHeight w:val="216"/>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Didier Primat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17,658,128(8)</w:t>
            </w:r>
          </w:p>
        </w:tc>
      </w:tr>
      <w:tr>
        <w:trPr>
          <w:trHeight w:val="216"/>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Nicolas Seydoux</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252,524(9)</w:t>
            </w:r>
          </w:p>
        </w:tc>
      </w:tr>
      <w:tr>
        <w:trPr>
          <w:trHeight w:val="216"/>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Linda Gillespie Stuntz</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6,300(10)</w:t>
            </w:r>
          </w:p>
        </w:tc>
      </w:tr>
      <w:tr>
        <w:trPr>
          <w:trHeight w:val="216"/>
        </w:trPr>
        <w:tc>
          <w:tcPr>
            <w:tcW w:w="10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Sven Ullring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300" w:type="dxa"/>
            <w:vAlign w:val="bottom"/>
            <w:shd w:val="clear" w:color="auto" w:fill="CCEEFF"/>
          </w:tcPr>
          <w:p>
            <w:pPr>
              <w:spacing w:after="0"/>
              <w:rPr>
                <w:sz w:val="18"/>
                <w:szCs w:val="18"/>
                <w:color w:val="auto"/>
              </w:rPr>
            </w:pPr>
          </w:p>
        </w:tc>
      </w:tr>
      <w:tr>
        <w:trPr>
          <w:trHeight w:val="222"/>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(23 persons)</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22,231,185(11)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right="300" w:firstLine="8"/>
        <w:spacing w:after="0" w:line="254"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699,955 shares held in a revocable grantor trust and 1,623,749 shares which may be acquired by Mr. Baird within 60 days through the exercise of stock options.</w:t>
      </w: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600 shares owned by Mr. Deutch’s wife, as to which he disclaims beneficial ownership.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387,888 shares which may be acquired by Mr. Gould within 60 days through the exercise of stock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143,445 shares which may be acquired by Mr. Huck within 60 days through the exercise of stock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300 shares held in a family trust as to which Mr. Lajous does not have voting or investment power.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91,435 shares which may be acquired by Mr. Perraud within 60 days through the exercise of stock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400,414 shares which may be acquired by Mr. Pfister within 60 days through the exercise of stock options.</w:t>
      </w:r>
    </w:p>
    <w:p>
      <w:pPr>
        <w:spacing w:after="0" w:line="9" w:lineRule="exact"/>
        <w:rPr>
          <w:rFonts w:ascii="Arial" w:cs="Arial" w:eastAsia="Arial" w:hAnsi="Arial"/>
          <w:sz w:val="18"/>
          <w:szCs w:val="18"/>
          <w:color w:val="auto"/>
        </w:rPr>
      </w:pPr>
    </w:p>
    <w:p>
      <w:pPr>
        <w:ind w:right="440" w:firstLine="8"/>
        <w:spacing w:after="0" w:line="250"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560,000 shares as to which Mr. Primat shares investment power and 4,499,008 shares held for account of the minor children of Mr. Primat as to which he has joint voting and investment power.</w:t>
      </w: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15,364 shares owned by Mr. Seydoux’s wife, as to which he shares voting and investment power.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3,000 shares as to which Mrs. Stuntz shares voting power and 300 shares owned by a minor child in a trust for which Mrs. Stuntz serves as trustee.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3,315,488 shares, which may be acquired by executive officers as a group within 60 days through the exercise of stock options.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and Committees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has an Audit, a Compensation, a Finance, a Nominating and a Technology Committee.</w:t>
      </w:r>
    </w:p>
    <w:p>
      <w:pPr>
        <w:spacing w:after="0" w:line="158" w:lineRule="exact"/>
        <w:rPr>
          <w:sz w:val="20"/>
          <w:szCs w:val="20"/>
          <w:color w:val="auto"/>
        </w:rPr>
      </w:pPr>
    </w:p>
    <w:p>
      <w:pPr>
        <w:jc w:val="both"/>
        <w:ind w:right="120" w:firstLine="456"/>
        <w:spacing w:after="0" w:line="291" w:lineRule="auto"/>
        <w:rPr>
          <w:sz w:val="20"/>
          <w:szCs w:val="20"/>
          <w:color w:val="auto"/>
        </w:rPr>
      </w:pPr>
      <w:r>
        <w:rPr>
          <w:rFonts w:ascii="Arial" w:cs="Arial" w:eastAsia="Arial" w:hAnsi="Arial"/>
          <w:sz w:val="16"/>
          <w:szCs w:val="16"/>
          <w:color w:val="auto"/>
        </w:rPr>
        <w:t>The Audit Committee is comprised of four independent directors as defined by the New York Stock Exchange’s current listing standards. It assists the Board in fulfilling its responsibilities to oversee the Company’s financial reporting process and monitors the integrity of the Company’s financial statements, including the Company’s accounting practices and internal accounting controls, and the independence and performance of the Company’s auditors. The Audit Committee recommends for appointment by the Board of Directors, subject to approval by the stockholders, a firm of independent certified public accountants whose duty is to examine the Schlumberger consolidated financial statements. The independent auditors are accountable to the Audit Committee. Mrs. Stuntz is Chair of the Audit Committee. Ms. Gorelick and Messrs. Lévy-Lang and Primat are the other members.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Compensation Committee is comprised entirely of outside directors who are responsible for reviewing the objectives and performance of the Chief Executive Officer and reviewing and approving the compensation of the Chief Executive Officer and the officers of the Company. The Compensation Committee also advises on general compensation and benefits matters and administers the Company’s stock option plans. Mr. McCormick is Chair of the Compensation Committee. Messrs. Seydoux and Ullring are the other members.</w:t>
      </w:r>
    </w:p>
    <w:p>
      <w:pPr>
        <w:spacing w:after="0" w:line="13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Finance Committee advises on various matters, including dividend and financial policies and the investment and reinvestment of funds. The Finance Committee periodically reviews the administration of the Schlumberger employee benefit plans and those of its subsidiaries. Mr. Lévy-Lang is Chair of the Finance Committee and Messrs. Gould and Lajous are the other members. Mr. Baird was a member until his resignation on February 1, 2003.</w:t>
      </w:r>
    </w:p>
    <w:p>
      <w:pPr>
        <w:spacing w:after="0" w:line="93" w:lineRule="exact"/>
        <w:rPr>
          <w:sz w:val="20"/>
          <w:szCs w:val="20"/>
          <w:color w:val="auto"/>
        </w:rPr>
      </w:pPr>
    </w:p>
    <w:p>
      <w:pPr>
        <w:ind w:firstLine="456"/>
        <w:spacing w:after="0" w:line="275" w:lineRule="auto"/>
        <w:rPr>
          <w:sz w:val="20"/>
          <w:szCs w:val="20"/>
          <w:color w:val="auto"/>
        </w:rPr>
      </w:pPr>
      <w:r>
        <w:rPr>
          <w:rFonts w:ascii="Arial" w:cs="Arial" w:eastAsia="Arial" w:hAnsi="Arial"/>
          <w:sz w:val="17"/>
          <w:szCs w:val="17"/>
          <w:color w:val="auto"/>
        </w:rPr>
        <w:t>The Nominating Committee recommends to the Board the number and names of persons to be proposed by the Board for election as directors at the annual general meetings of stockholders. It may also recommend to the Board persons to be appointed by the Board or to be elected by the stockholders to fill any vacancies which occur on the Board. The Nominating Committee is responsible for monitoring trends in Board membership and other corporate governance matters and for recommending changes, as well as leading the Board’s appraisal process. Mr. Seydoux is Chair of the Nominating Committee, and Mrs. Stuntz, Messrs. Deutch and McCormick are the other members. Mr. Baird was a member until his resignation on February 1, 2003. The Nominating Committee will consider nominees recommended by stockholders who may submit nominations to Chair, Nominating Committee, care of the Secretary, Schlumberger Limited, 153 East 53 Street,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New York, New York 10022-4624.</w:t>
      </w:r>
    </w:p>
    <w:p>
      <w:pPr>
        <w:spacing w:after="0" w:line="4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Mr. Deutch is Chair of the Technology Committee and Mr. Lévy-Lang is also a member.</w:t>
      </w:r>
    </w:p>
    <w:p>
      <w:pPr>
        <w:spacing w:after="0" w:line="12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During 2002 the Board of Directors held six meetings. The Audit Committee met five times; the Compensation Committee met three times; the Finance Committee met once; the Nominating Committee met four times; and the Technology Committee met once. All incumbent director nominees attended at least 80% of the aggregate of the meetings of the Board and of the committees of the Board on which such directors served.</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Directors who are employees of Schlumberger do not receive compensation for serving on the Board or on committees of the Board. Board members who are not employees receive annual fees of $40,000 each, annual stock awards of 500 shares of Schlumberger common stock and additional annual fees of $10,000 as members of each of the committees on which they serve, except that the Chair of each Committee receives an annual fee of $20,000, rather than the $10,000 annual fee for committee service.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 Report</w:t>
      </w:r>
    </w:p>
    <w:p>
      <w:pPr>
        <w:spacing w:after="0" w:line="8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Audit Committee is comprised of four directors and operates under a written charter reviewed annually by the Board of Directors. All members of the Audit Committee are independent as currently defined in Section 303.01(B)(2)(a) and (3) of the New York Stock Exchange’s listing standards. The Audit Committee assists the Board in fulfilling its responsibilities to oversee the Company’s financial reporting process and monitors the integrity of the Company’s financial statements and the independence and performance of the Company’s auditors. During 2002, the Audit Committee periodically reviewed and discussed the Company’s financial statements with Company management and the independent auditors, PricewaterhouseCoopers LLP, including matters raised by the independent auditors pursuant to Statement on Auditing Standards No. 61 (Communication with Audit Committees). The Audit Committee discussed with the Company’s senior management and independent auditors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reviewed and discussed such other matters as it deemed appropriate, including other provisions of the Sarbanes-Oxley Act of 2002 and rules adopted or proposed to be adopted by the Securities and Exchange Commission and the New York Stock Exchange.</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Company’s independent auditors provided the Audit Committee with written disclosures required by Independence Standards Board Standard No. 1 (Independence Discussions with Audit Committees), and we discussed the PricewaterhouseCoopers’ independence with them.</w:t>
      </w:r>
    </w:p>
    <w:p>
      <w:pPr>
        <w:spacing w:after="0" w:line="7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have considered whether the provision of services by PricewaterhouseCoopers LLP not related to the audit of the Company’s financial statements and to the review of the Company’s interim financial statements is compatible with maintaining PricewaterhouseCoopers’ independence.</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the foregoing review and discussion, and relying on the representation of Company management and the independent auditors’ report to the Audit Committee, the Audit Committee recommended that the Board of Directors include the audited financial statements in the Company’s Annual Report on Form 10-K for the year ended December 31, 2002 filed with the Securities and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420"/>
          </w:cols>
          <w:pgMar w:left="240" w:top="274" w:right="239" w:bottom="1440" w:gutter="0" w:footer="0" w:header="0"/>
        </w:sectPr>
      </w:pPr>
    </w:p>
    <w:p>
      <w:pPr>
        <w:spacing w:after="0" w:line="15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Andre Lévy-Lang</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Linda G. Stuntz, Chair</w:t>
      </w:r>
    </w:p>
    <w:p>
      <w:pPr>
        <w:spacing w:after="0" w:line="174" w:lineRule="exact"/>
        <w:rPr>
          <w:sz w:val="20"/>
          <w:szCs w:val="20"/>
          <w:color w:val="auto"/>
        </w:rPr>
      </w:pPr>
    </w:p>
    <w:p>
      <w:pPr>
        <w:sectPr>
          <w:pgSz w:w="11900" w:h="16838" w:orient="portrait"/>
          <w:cols w:equalWidth="0" w:num="2">
            <w:col w:w="6940" w:space="720"/>
            <w:col w:w="37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74"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and Certain Other Compensation</w:t>
      </w:r>
    </w:p>
    <w:p>
      <w:pPr>
        <w:spacing w:after="0" w:line="7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shows the compensation paid by the Company and its subsidiaries to the Chief Executive Officer and to the next four most highly compensated executive officers for the fiscal years ending December 31, 2002, 2001 and 2000.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Long 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Annual 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All</w:t>
            </w:r>
          </w:p>
        </w:tc>
        <w:tc>
          <w:tcPr>
            <w:tcW w:w="0" w:type="dxa"/>
            <w:vAlign w:val="bottom"/>
          </w:tcPr>
          <w:p>
            <w:pPr>
              <w:spacing w:after="0"/>
              <w:rPr>
                <w:sz w:val="1"/>
                <w:szCs w:val="1"/>
                <w:color w:val="auto"/>
              </w:rPr>
            </w:pPr>
          </w:p>
        </w:tc>
      </w:tr>
      <w:tr>
        <w:trPr>
          <w:trHeight w:val="237"/>
        </w:trPr>
        <w:tc>
          <w:tcPr>
            <w:tcW w:w="2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w:t>
            </w: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Salary ($) (6)</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Bonus ($)(6)</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Options (#) (7)</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 (8)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16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1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 E. Baird (1)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1,500,000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and Chief Executive Officer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1,500,000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1,500,000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A. Gould (1) (2)</w:t>
            </w:r>
          </w:p>
        </w:tc>
        <w:tc>
          <w:tcPr>
            <w:tcW w:w="540" w:type="dxa"/>
            <w:vAlign w:val="bottom"/>
          </w:tcPr>
          <w:p>
            <w:pPr>
              <w:jc w:val="right"/>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966,667</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300,000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840" w:type="dxa"/>
            <w:vAlign w:val="bottom"/>
          </w:tcPr>
          <w:p>
            <w:pPr>
              <w:jc w:val="right"/>
              <w:spacing w:after="0"/>
              <w:rPr>
                <w:sz w:val="20"/>
                <w:szCs w:val="20"/>
                <w:color w:val="auto"/>
              </w:rPr>
            </w:pPr>
            <w:r>
              <w:rPr>
                <w:rFonts w:ascii="Arial" w:cs="Arial" w:eastAsia="Arial" w:hAnsi="Arial"/>
                <w:sz w:val="18"/>
                <w:szCs w:val="18"/>
                <w:color w:val="auto"/>
              </w:rPr>
              <w:t>124,700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President and Chief Operating Officer Officer</w:t>
            </w:r>
          </w:p>
        </w:tc>
        <w:tc>
          <w:tcPr>
            <w:tcW w:w="540" w:type="dxa"/>
            <w:vAlign w:val="bottom"/>
          </w:tcPr>
          <w:p>
            <w:pPr>
              <w:jc w:val="right"/>
              <w:spacing w:after="0"/>
              <w:rPr>
                <w:sz w:val="20"/>
                <w:szCs w:val="20"/>
                <w:color w:val="auto"/>
              </w:rPr>
            </w:pPr>
            <w:r>
              <w:rPr>
                <w:rFonts w:ascii="Arial" w:cs="Arial" w:eastAsia="Arial" w:hAnsi="Arial"/>
                <w:sz w:val="18"/>
                <w:szCs w:val="18"/>
                <w:color w:val="auto"/>
              </w:rPr>
              <w:t>2001</w:t>
            </w:r>
          </w:p>
        </w:tc>
        <w:tc>
          <w:tcPr>
            <w:tcW w:w="3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800,000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1,120,000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95,704</w:t>
            </w:r>
          </w:p>
        </w:tc>
        <w:tc>
          <w:tcPr>
            <w:tcW w:w="0" w:type="dxa"/>
            <w:vAlign w:val="bottom"/>
          </w:tcPr>
          <w:p>
            <w:pPr>
              <w:spacing w:after="0"/>
              <w:rPr>
                <w:sz w:val="1"/>
                <w:szCs w:val="1"/>
                <w:color w:val="auto"/>
              </w:rPr>
            </w:pPr>
          </w:p>
        </w:tc>
      </w:tr>
      <w:tr>
        <w:trPr>
          <w:trHeight w:val="222"/>
        </w:trPr>
        <w:tc>
          <w:tcPr>
            <w:tcW w:w="21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507,000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567,200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53,922</w:t>
            </w: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 Pfister (3)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600,000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575,000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6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500,000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J.-M. Perraud (4)</w:t>
            </w:r>
          </w:p>
        </w:tc>
        <w:tc>
          <w:tcPr>
            <w:tcW w:w="540" w:type="dxa"/>
            <w:vAlign w:val="bottom"/>
          </w:tcPr>
          <w:p>
            <w:pPr>
              <w:jc w:val="right"/>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430,395</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84,000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840" w:type="dxa"/>
            <w:vAlign w:val="bottom"/>
          </w:tcPr>
          <w:p>
            <w:pPr>
              <w:jc w:val="right"/>
              <w:spacing w:after="0"/>
              <w:rPr>
                <w:sz w:val="20"/>
                <w:szCs w:val="20"/>
                <w:color w:val="auto"/>
              </w:rPr>
            </w:pPr>
            <w:r>
              <w:rPr>
                <w:rFonts w:ascii="Arial" w:cs="Arial" w:eastAsia="Arial" w:hAnsi="Arial"/>
                <w:sz w:val="18"/>
                <w:szCs w:val="18"/>
                <w:color w:val="auto"/>
              </w:rPr>
              <w:t>30,301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and Chief Financial Officer</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 Huck (5)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388,006</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88,785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Quality, Health,</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Safety, Environment &amp; Industry</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Affairs</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Baird retired on February 1, 2003 and Mr. Gould became Chairman and Chief Executive Officer on that date.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Gould was Executive Vice President Oilfield Services until March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January 1, 2003, Mr. Pfister assumed responsibility for Special Projects.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Perraud was Controller and Chief Accounting Officer until March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Huck was President Reservoir Evaluation and Development until March 2002 and is paid in Euros.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Salary and bonus amounts include cash compensation earned and received and any amounts deferred under the Schlumberger Restoration Savings Plan.</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granted no stock appreciation rights or restricted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2001 amounts disclosed in this column include:</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Company contributions to Schlumberger Profit Sharing Plans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Company contributions to the International Staff Profit Sharing Plan</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Company unfunded credits to the Schlumberger Supplementary Benefit Plan</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Company unfunded matching credits to the Schlumberger Restoration Savings Plan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4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(b)($)</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w:t>
            </w: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(d) ($)</w:t>
            </w:r>
          </w:p>
        </w:tc>
        <w:tc>
          <w:tcPr>
            <w:tcW w:w="0" w:type="dxa"/>
            <w:vAlign w:val="bottom"/>
          </w:tcPr>
          <w:p>
            <w:pPr>
              <w:spacing w:after="0"/>
              <w:rPr>
                <w:sz w:val="1"/>
                <w:szCs w:val="1"/>
                <w:color w:val="auto"/>
              </w:rPr>
            </w:pPr>
          </w:p>
        </w:tc>
      </w:tr>
      <w:tr>
        <w:trPr>
          <w:trHeight w:val="95"/>
        </w:trPr>
        <w:tc>
          <w:tcPr>
            <w:tcW w:w="81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Baird</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11,500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99,000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8"/>
                <w:szCs w:val="18"/>
                <w:color w:val="auto"/>
              </w:rPr>
              <w:t>Mr. Gould</w:t>
            </w:r>
          </w:p>
        </w:tc>
        <w:tc>
          <w:tcPr>
            <w:tcW w:w="680" w:type="dxa"/>
            <w:vAlign w:val="bottom"/>
          </w:tcPr>
          <w:p>
            <w:pPr>
              <w:ind w:left="200"/>
              <w:spacing w:after="0"/>
              <w:rPr>
                <w:sz w:val="20"/>
                <w:szCs w:val="20"/>
                <w:color w:val="auto"/>
              </w:rPr>
            </w:pPr>
            <w:r>
              <w:rPr>
                <w:rFonts w:ascii="Arial" w:cs="Arial" w:eastAsia="Arial" w:hAnsi="Arial"/>
                <w:sz w:val="18"/>
                <w:szCs w:val="18"/>
                <w:color w:val="auto"/>
                <w:w w:val="83"/>
              </w:rPr>
              <w:t>11,500</w:t>
            </w:r>
          </w:p>
        </w:tc>
        <w:tc>
          <w:tcPr>
            <w:tcW w:w="3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56,600</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56,600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Pfister</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11,500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32,250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8"/>
                <w:szCs w:val="18"/>
                <w:color w:val="auto"/>
              </w:rPr>
              <w:t>Mr. Perraud</w:t>
            </w:r>
          </w:p>
        </w:tc>
        <w:tc>
          <w:tcPr>
            <w:tcW w:w="680" w:type="dxa"/>
            <w:vAlign w:val="bottom"/>
          </w:tcPr>
          <w:p>
            <w:pPr>
              <w:ind w:left="200"/>
              <w:spacing w:after="0"/>
              <w:rPr>
                <w:sz w:val="20"/>
                <w:szCs w:val="20"/>
                <w:color w:val="auto"/>
              </w:rPr>
            </w:pPr>
            <w:r>
              <w:rPr>
                <w:rFonts w:ascii="Arial" w:cs="Arial" w:eastAsia="Arial" w:hAnsi="Arial"/>
                <w:sz w:val="18"/>
                <w:szCs w:val="18"/>
                <w:color w:val="auto"/>
                <w:w w:val="83"/>
              </w:rPr>
              <w:t>11,000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15,176</w:t>
            </w:r>
          </w:p>
        </w:tc>
        <w:tc>
          <w:tcPr>
            <w:tcW w:w="3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4,125</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Mr. Huck</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3"/>
              </w:rPr>
              <w:t>11,500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12,399</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Company’s matching credits under the Schlumberger Restoration Savings Plan are vested one-third at three years of service, two-thirds at four years, fully at five years or upon reaching the earliest of age 60, death or change of control. The amounts credited under the Schlumberger Restoration Savings Plan will be paid upon termination or retirement, death, disability, or change in control.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Table</w:t>
      </w:r>
    </w:p>
    <w:p>
      <w:pPr>
        <w:spacing w:after="0" w:line="83"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following table sets forth certain information concerning options granted during 2002 to the named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Individual Grants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Assumed Annual Rates of</w:t>
            </w:r>
          </w:p>
        </w:tc>
        <w:tc>
          <w:tcPr>
            <w:tcW w:w="0" w:type="dxa"/>
            <w:vAlign w:val="bottom"/>
          </w:tcPr>
          <w:p>
            <w:pPr>
              <w:spacing w:after="0"/>
              <w:rPr>
                <w:sz w:val="1"/>
                <w:szCs w:val="1"/>
                <w:color w:val="auto"/>
              </w:rPr>
            </w:pPr>
          </w:p>
        </w:tc>
      </w:tr>
      <w:tr>
        <w:trPr>
          <w:trHeight w:val="107"/>
        </w:trPr>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80" w:type="dxa"/>
            <w:vAlign w:val="bottom"/>
            <w:gridSpan w:val="4"/>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Stock Price Appreciation</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32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 of Total</w:t>
            </w: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for Option Term</w:t>
            </w:r>
          </w:p>
        </w:tc>
        <w:tc>
          <w:tcPr>
            <w:tcW w:w="0" w:type="dxa"/>
            <w:vAlign w:val="bottom"/>
          </w:tcPr>
          <w:p>
            <w:pPr>
              <w:spacing w:after="0"/>
              <w:rPr>
                <w:sz w:val="1"/>
                <w:szCs w:val="1"/>
                <w:color w:val="auto"/>
              </w:rPr>
            </w:pPr>
          </w:p>
        </w:tc>
      </w:tr>
      <w:tr>
        <w:trPr>
          <w:trHeight w:val="42"/>
        </w:trPr>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2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vMerge w:val="restart"/>
          </w:tcPr>
          <w:p>
            <w:pPr>
              <w:spacing w:after="0"/>
              <w:rPr>
                <w:sz w:val="4"/>
                <w:szCs w:val="4"/>
                <w:color w:val="auto"/>
              </w:rPr>
            </w:pPr>
          </w:p>
        </w:tc>
        <w:tc>
          <w:tcPr>
            <w:tcW w:w="13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Options Granted to</w:t>
            </w: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Underlying Options</w:t>
            </w:r>
          </w:p>
        </w:tc>
        <w:tc>
          <w:tcPr>
            <w:tcW w:w="3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Employees in Fiscal</w:t>
            </w: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320" w:type="dxa"/>
            <w:vAlign w:val="bottom"/>
          </w:tcPr>
          <w:p>
            <w:pPr>
              <w:spacing w:after="0"/>
              <w:rPr>
                <w:sz w:val="12"/>
                <w:szCs w:val="12"/>
                <w:color w:val="auto"/>
              </w:rPr>
            </w:pPr>
          </w:p>
        </w:tc>
        <w:tc>
          <w:tcPr>
            <w:tcW w:w="14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Expiration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Granted (#) (1)</w:t>
            </w:r>
          </w:p>
        </w:tc>
        <w:tc>
          <w:tcPr>
            <w:tcW w:w="3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3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($/SH) (2)</w:t>
            </w:r>
          </w:p>
        </w:tc>
        <w:tc>
          <w:tcPr>
            <w:tcW w:w="320" w:type="dxa"/>
            <w:vAlign w:val="bottom"/>
          </w:tcPr>
          <w:p>
            <w:pPr>
              <w:spacing w:after="0"/>
              <w:rPr>
                <w:sz w:val="15"/>
                <w:szCs w:val="15"/>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jc w:val="right"/>
              <w:ind w:right="142"/>
              <w:spacing w:after="0"/>
              <w:rPr>
                <w:sz w:val="20"/>
                <w:szCs w:val="20"/>
                <w:color w:val="auto"/>
              </w:rPr>
            </w:pPr>
            <w:r>
              <w:rPr>
                <w:rFonts w:ascii="Arial" w:cs="Arial" w:eastAsia="Arial" w:hAnsi="Arial"/>
                <w:sz w:val="14"/>
                <w:szCs w:val="14"/>
                <w:b w:val="1"/>
                <w:bCs w:val="1"/>
                <w:color w:val="auto"/>
              </w:rPr>
              <w:t>5%($)</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 E. Baird</w:t>
            </w: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250,000</w:t>
            </w:r>
          </w:p>
        </w:tc>
        <w:tc>
          <w:tcPr>
            <w:tcW w:w="16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5"/>
              </w:rPr>
              <w:t>3.42</w:t>
            </w:r>
          </w:p>
        </w:tc>
        <w:tc>
          <w:tcPr>
            <w:tcW w:w="11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50.505</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02/01/2008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7,940,581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20,122,991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A. Gould</w:t>
            </w:r>
          </w:p>
        </w:tc>
        <w:tc>
          <w:tcPr>
            <w:tcW w:w="1200" w:type="dxa"/>
            <w:vAlign w:val="bottom"/>
          </w:tcPr>
          <w:p>
            <w:pPr>
              <w:jc w:val="right"/>
              <w:ind w:right="241"/>
              <w:spacing w:after="0"/>
              <w:rPr>
                <w:sz w:val="20"/>
                <w:szCs w:val="20"/>
                <w:color w:val="auto"/>
              </w:rPr>
            </w:pPr>
            <w:r>
              <w:rPr>
                <w:rFonts w:ascii="Arial" w:cs="Arial" w:eastAsia="Arial" w:hAnsi="Arial"/>
                <w:sz w:val="18"/>
                <w:szCs w:val="18"/>
                <w:color w:val="auto"/>
              </w:rPr>
              <w:t>300,000</w:t>
            </w:r>
          </w:p>
        </w:tc>
        <w:tc>
          <w:tcPr>
            <w:tcW w:w="1640" w:type="dxa"/>
            <w:vAlign w:val="bottom"/>
            <w:gridSpan w:val="2"/>
          </w:tcPr>
          <w:p>
            <w:pPr>
              <w:jc w:val="center"/>
              <w:ind w:left="252"/>
              <w:spacing w:after="0"/>
              <w:rPr>
                <w:sz w:val="20"/>
                <w:szCs w:val="20"/>
                <w:color w:val="auto"/>
              </w:rPr>
            </w:pPr>
            <w:r>
              <w:rPr>
                <w:rFonts w:ascii="Arial" w:cs="Arial" w:eastAsia="Arial" w:hAnsi="Arial"/>
                <w:sz w:val="18"/>
                <w:szCs w:val="18"/>
                <w:color w:val="auto"/>
                <w:w w:val="85"/>
              </w:rPr>
              <w:t>4.10</w:t>
            </w:r>
          </w:p>
        </w:tc>
        <w:tc>
          <w:tcPr>
            <w:tcW w:w="118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55.745</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04/17/2012</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10,517,319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26,652,952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 Pfister</w:t>
            </w: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150,000</w:t>
            </w:r>
          </w:p>
        </w:tc>
        <w:tc>
          <w:tcPr>
            <w:tcW w:w="16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5"/>
              </w:rPr>
              <w:t>2.05</w:t>
            </w:r>
          </w:p>
        </w:tc>
        <w:tc>
          <w:tcPr>
            <w:tcW w:w="11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55.745</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04/17/2012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5,258,660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13,326,476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J.-M. Perraud</w:t>
            </w:r>
          </w:p>
        </w:tc>
        <w:tc>
          <w:tcPr>
            <w:tcW w:w="1200" w:type="dxa"/>
            <w:vAlign w:val="bottom"/>
          </w:tcPr>
          <w:p>
            <w:pPr>
              <w:jc w:val="right"/>
              <w:ind w:right="241"/>
              <w:spacing w:after="0"/>
              <w:rPr>
                <w:sz w:val="20"/>
                <w:szCs w:val="20"/>
                <w:color w:val="auto"/>
              </w:rPr>
            </w:pPr>
            <w:r>
              <w:rPr>
                <w:rFonts w:ascii="Arial" w:cs="Arial" w:eastAsia="Arial" w:hAnsi="Arial"/>
                <w:sz w:val="18"/>
                <w:szCs w:val="18"/>
                <w:color w:val="auto"/>
              </w:rPr>
              <w:t>50,000</w:t>
            </w:r>
          </w:p>
        </w:tc>
        <w:tc>
          <w:tcPr>
            <w:tcW w:w="1640" w:type="dxa"/>
            <w:vAlign w:val="bottom"/>
            <w:gridSpan w:val="2"/>
          </w:tcPr>
          <w:p>
            <w:pPr>
              <w:jc w:val="center"/>
              <w:ind w:left="252"/>
              <w:spacing w:after="0"/>
              <w:rPr>
                <w:sz w:val="20"/>
                <w:szCs w:val="20"/>
                <w:color w:val="auto"/>
              </w:rPr>
            </w:pPr>
            <w:r>
              <w:rPr>
                <w:rFonts w:ascii="Arial" w:cs="Arial" w:eastAsia="Arial" w:hAnsi="Arial"/>
                <w:sz w:val="18"/>
                <w:szCs w:val="18"/>
                <w:color w:val="auto"/>
                <w:w w:val="85"/>
              </w:rPr>
              <w:t>0.68</w:t>
            </w:r>
          </w:p>
        </w:tc>
        <w:tc>
          <w:tcPr>
            <w:tcW w:w="118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55.745</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04/17/2012</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1,752,887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4,442,159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 Huck</w:t>
            </w:r>
          </w:p>
        </w:tc>
        <w:tc>
          <w:tcPr>
            <w:tcW w:w="120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50,000</w:t>
            </w:r>
          </w:p>
        </w:tc>
        <w:tc>
          <w:tcPr>
            <w:tcW w:w="16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5"/>
              </w:rPr>
              <w:t>0.68</w:t>
            </w:r>
          </w:p>
        </w:tc>
        <w:tc>
          <w:tcPr>
            <w:tcW w:w="118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55.745</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04/17/2012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1,752,887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4,442,159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has not granted any stock appreciation rights. Options listed above become exercisable in installments of 20% each year following the date of grant, except that Mr. Baird’s options are 100% exercisable as of January 16, 2003.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spacing w:after="0" w:line="2" w:lineRule="exact"/>
        <w:rPr>
          <w:rFonts w:ascii="Arial" w:cs="Arial" w:eastAsia="Arial" w:hAnsi="Arial"/>
          <w:sz w:val="16"/>
          <w:szCs w:val="16"/>
          <w:color w:val="auto"/>
        </w:rPr>
      </w:pPr>
    </w:p>
    <w:p>
      <w:pPr>
        <w:ind w:left="460" w:right="24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Exercises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2001 Stock Option Value Table</w:t>
      </w:r>
    </w:p>
    <w:p>
      <w:pPr>
        <w:spacing w:after="0" w:line="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shows certain information concerning options exercised during 2002 by the named officers and the number and value of unexercised options at December 31, 2002. Schlumberger has not granted stock appreciation rights. The values of unexercised in-the-money stock options at December 31, 2002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Money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Options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FY-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Options at FY-End (#)</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End ($) (2)</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3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32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Exercisable /</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Exercisable /</w:t>
            </w:r>
          </w:p>
        </w:tc>
        <w:tc>
          <w:tcPr>
            <w:tcW w:w="0" w:type="dxa"/>
            <w:vAlign w:val="bottom"/>
          </w:tcPr>
          <w:p>
            <w:pPr>
              <w:spacing w:after="0"/>
              <w:rPr>
                <w:sz w:val="1"/>
                <w:szCs w:val="1"/>
                <w:color w:val="auto"/>
              </w:rPr>
            </w:pPr>
          </w:p>
        </w:tc>
      </w:tr>
      <w:tr>
        <w:trPr>
          <w:trHeight w:val="174"/>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on Exercises (#)</w:t>
            </w:r>
          </w:p>
        </w:tc>
        <w:tc>
          <w:tcPr>
            <w:tcW w:w="122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w w:val="94"/>
              </w:rPr>
              <w:t>($) (1)</w:t>
            </w:r>
          </w:p>
        </w:tc>
        <w:tc>
          <w:tcPr>
            <w:tcW w:w="320" w:type="dxa"/>
            <w:vAlign w:val="bottom"/>
          </w:tcPr>
          <w:p>
            <w:pPr>
              <w:spacing w:after="0"/>
              <w:rPr>
                <w:sz w:val="15"/>
                <w:szCs w:val="15"/>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Unexercisable</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2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 E. Baird</w:t>
            </w: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439,600</w:t>
            </w:r>
          </w:p>
        </w:tc>
        <w:tc>
          <w:tcPr>
            <w:tcW w:w="122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85"/>
              </w:rPr>
              <w:t>13,680,792</w:t>
            </w:r>
          </w:p>
        </w:tc>
        <w:tc>
          <w:tcPr>
            <w:tcW w:w="21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1,373,749 / 250,000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12,311,200/ 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3"/>
          </w:tcPr>
          <w:p>
            <w:pPr>
              <w:spacing w:after="0" w:line="149" w:lineRule="exact"/>
              <w:rPr>
                <w:sz w:val="20"/>
                <w:szCs w:val="20"/>
                <w:color w:val="auto"/>
              </w:rPr>
            </w:pPr>
            <w:r>
              <w:rPr>
                <w:rFonts w:ascii="Arial" w:cs="Arial" w:eastAsia="Arial" w:hAnsi="Arial"/>
                <w:sz w:val="14"/>
                <w:szCs w:val="14"/>
                <w:color w:val="auto"/>
              </w:rPr>
              <w:t>A. Gould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89"/>
              </w:rPr>
              <w:t>__</w:t>
            </w:r>
          </w:p>
        </w:tc>
        <w:tc>
          <w:tcPr>
            <w:tcW w:w="21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376,898 / 530,772</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1,918,026/ 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 Pfister</w:t>
            </w: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shd w:val="clear" w:color="auto" w:fill="CCEEFF"/>
          </w:tcPr>
          <w:p>
            <w:pPr>
              <w:jc w:val="center"/>
              <w:ind w:left="252"/>
              <w:spacing w:after="0" w:line="149" w:lineRule="exact"/>
              <w:rPr>
                <w:sz w:val="20"/>
                <w:szCs w:val="20"/>
                <w:color w:val="auto"/>
              </w:rPr>
            </w:pPr>
            <w:r>
              <w:rPr>
                <w:rFonts w:ascii="Arial" w:cs="Arial" w:eastAsia="Arial" w:hAnsi="Arial"/>
                <w:sz w:val="14"/>
                <w:szCs w:val="14"/>
                <w:color w:val="auto"/>
                <w:w w:val="89"/>
              </w:rPr>
              <w:t>__</w:t>
            </w:r>
          </w:p>
        </w:tc>
        <w:tc>
          <w:tcPr>
            <w:tcW w:w="21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389,425 / 311,978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2,019,507/ 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3"/>
          </w:tcPr>
          <w:p>
            <w:pPr>
              <w:spacing w:after="0" w:line="149" w:lineRule="exact"/>
              <w:rPr>
                <w:sz w:val="20"/>
                <w:szCs w:val="20"/>
                <w:color w:val="auto"/>
              </w:rPr>
            </w:pPr>
            <w:r>
              <w:rPr>
                <w:rFonts w:ascii="Arial" w:cs="Arial" w:eastAsia="Arial" w:hAnsi="Arial"/>
                <w:sz w:val="14"/>
                <w:szCs w:val="14"/>
                <w:color w:val="auto"/>
              </w:rPr>
              <w:t>J.-M. Perraud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center"/>
              <w:ind w:left="252"/>
              <w:spacing w:after="0" w:line="149" w:lineRule="exact"/>
              <w:rPr>
                <w:sz w:val="20"/>
                <w:szCs w:val="20"/>
                <w:color w:val="auto"/>
              </w:rPr>
            </w:pPr>
            <w:r>
              <w:rPr>
                <w:rFonts w:ascii="Arial" w:cs="Arial" w:eastAsia="Arial" w:hAnsi="Arial"/>
                <w:sz w:val="14"/>
                <w:szCs w:val="14"/>
                <w:color w:val="auto"/>
                <w:w w:val="89"/>
              </w:rPr>
              <w:t>__</w:t>
            </w:r>
          </w:p>
        </w:tc>
        <w:tc>
          <w:tcPr>
            <w:tcW w:w="210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87,237 / 96,396</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525,278/ 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 Huck</w:t>
            </w:r>
          </w:p>
        </w:tc>
        <w:tc>
          <w:tcPr>
            <w:tcW w:w="10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24,396</w:t>
            </w:r>
          </w:p>
        </w:tc>
        <w:tc>
          <w:tcPr>
            <w:tcW w:w="12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677,713</w:t>
            </w:r>
          </w:p>
        </w:tc>
        <w:tc>
          <w:tcPr>
            <w:tcW w:w="21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143,445 / 94,373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295,197/ 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value of stock on date of exercise less exercise price.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Closing price of stock on December 31, 2002 ($42.09) less exercise price.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Agreement</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Effective January 1, 2003, Irwin Pfister assumed responsibility for Special Projects. Mr. Pfister’s employment agreement with the Company provides for his current annual salary of $600,000 through September 30, 2003, adjusted to $450,000 for the remainder of the agreement which will expire on April 30, 2005, when he will retire. Mr. Pfister will receive certain supplemental pension benefits and will continue to participate in the Company’s employee benefit plans, other than vacation. He will participate in the cash incentive awards program through September 30,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$37,052 for Mr. Baird, $124,237 for Mr. Gould, $12,338 for Mr. Perraud, and $16,207 for Mr. Huck.</w:t>
      </w:r>
    </w:p>
    <w:p>
      <w:pPr>
        <w:spacing w:after="0" w:line="1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$57,193 for Mr. Huck and, assuming admissible compensation continues at the December 31, 2002 levels, estimated annual benefits payable from the U.S. plans and the supplementary benefit plan are: $740,795 for Mr. Baird; $465,812 for Mr. Gould; $296,907 for Mr. Pfister; and $122,188 for Mr. Perraud.</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Performance Graph</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10.</w:t>
      </w:r>
    </w:p>
    <w:p>
      <w:pPr>
        <w:spacing w:after="0" w:line="128" w:lineRule="exact"/>
        <w:rPr>
          <w:sz w:val="20"/>
          <w:szCs w:val="20"/>
          <w:color w:val="auto"/>
        </w:rPr>
      </w:pPr>
    </w:p>
    <w:p>
      <w:pPr>
        <w:jc w:val="center"/>
        <w:ind w:left="320" w:right="2120"/>
        <w:spacing w:after="0" w:line="262" w:lineRule="auto"/>
        <w:rPr>
          <w:sz w:val="20"/>
          <w:szCs w:val="20"/>
          <w:color w:val="auto"/>
        </w:rPr>
      </w:pPr>
      <w:r>
        <w:rPr>
          <w:rFonts w:ascii="Arial" w:cs="Arial" w:eastAsia="Arial" w:hAnsi="Arial"/>
          <w:sz w:val="18"/>
          <w:szCs w:val="18"/>
          <w:b w:val="1"/>
          <w:bCs w:val="1"/>
          <w:color w:val="auto"/>
        </w:rPr>
        <w:t>COMPARISON OF FIVE-YEAR CUMULATIVE TOTAL RETURN AMONG SCHLUMBERGER LIMITED, S&amp;P 500 INDEX 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84455</wp:posOffset>
            </wp:positionV>
            <wp:extent cx="5342890" cy="3070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2890"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Assumes $100 invested on December 31, 1997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22"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 on Executive Compensation</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Compensation Committee of the Board is composed entirely of outside Directors who are responsible for reviewing and approving the compensation, including base salaries and incentive awards, for the Chief Executive Officer and other executive officers. They are also responsible for reviewing and approving general compensation and retirement programs, as well as administering the stock option program for all employees.</w:t>
      </w:r>
    </w:p>
    <w:p>
      <w:pPr>
        <w:spacing w:after="0" w:line="93" w:lineRule="exact"/>
        <w:rPr>
          <w:sz w:val="20"/>
          <w:szCs w:val="20"/>
          <w:color w:val="auto"/>
        </w:rPr>
      </w:pPr>
    </w:p>
    <w:p>
      <w:pPr>
        <w:ind w:right="80" w:firstLine="456"/>
        <w:spacing w:after="0" w:line="301" w:lineRule="auto"/>
        <w:rPr>
          <w:sz w:val="20"/>
          <w:szCs w:val="20"/>
          <w:color w:val="auto"/>
        </w:rPr>
      </w:pPr>
      <w:r>
        <w:rPr>
          <w:rFonts w:ascii="Arial" w:cs="Arial" w:eastAsia="Arial" w:hAnsi="Arial"/>
          <w:sz w:val="15"/>
          <w:szCs w:val="15"/>
          <w:color w:val="auto"/>
        </w:rPr>
        <w:t>Schlumberger’s compensation philosophy is to pay for performance through competitive programs that relate directly to the Company’s short and long-term goals, and to reward executives, managers and professionals who achieve these goals. Schlumberger’s compensation program has three basic components: base salary, annual cash incentive awards and stock option grants. In line with Schlumberger’s philosophy that annual cash compensation varies with Company performance, base salaries are targeted at the average of the competitive market with cash incentive awards based on individual and Company performance. This combination of base salary and cash incentive is targeted between the 60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and the 75</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percentiles of the competitive market in years of strong performance. The addition of stock option awards over a career further enhances compensation commensurate with the Company’s long-term performance.</w:t>
      </w:r>
    </w:p>
    <w:p>
      <w:pPr>
        <w:spacing w:after="0" w:line="83" w:lineRule="exact"/>
        <w:rPr>
          <w:sz w:val="20"/>
          <w:szCs w:val="20"/>
          <w:color w:val="auto"/>
        </w:rPr>
      </w:pPr>
    </w:p>
    <w:p>
      <w:pPr>
        <w:ind w:right="520" w:firstLine="456"/>
        <w:spacing w:after="0" w:line="310" w:lineRule="auto"/>
        <w:rPr>
          <w:sz w:val="20"/>
          <w:szCs w:val="20"/>
          <w:color w:val="auto"/>
        </w:rPr>
      </w:pPr>
      <w:r>
        <w:rPr>
          <w:rFonts w:ascii="Arial" w:cs="Arial" w:eastAsia="Arial" w:hAnsi="Arial"/>
          <w:sz w:val="16"/>
          <w:szCs w:val="16"/>
          <w:b w:val="1"/>
          <w:bCs w:val="1"/>
          <w:color w:val="auto"/>
        </w:rPr>
        <w:t xml:space="preserve">Base salaries </w:t>
      </w:r>
      <w:r>
        <w:rPr>
          <w:rFonts w:ascii="Arial" w:cs="Arial" w:eastAsia="Arial" w:hAnsi="Arial"/>
          <w:sz w:val="16"/>
          <w:szCs w:val="16"/>
          <w:color w:val="auto"/>
        </w:rPr>
        <w:t>are reviewed annually against competitive company information provided by outside compensation consultants. The companies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databases are from industry segments in which Schlumberger competes: Oilfield Services and Information Technology. There are changes in the survey companies each year due to mergers and acquisitions, as well as the normal movement in and out of the surveys at the companies’ volition.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competitive market used for compensation analyses differs from those in the Corporate Performance Graph (the Value Line Oilfield Services Industry Index).</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While executive officer base salaries are reviewed annually, they are adjusted less frequently. Except for significant changes in responsibility, the cycle for base salary change is typically three to five years. This less frequent change of base salary emphasizes the at-risk portion of variable compensation.</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Significant changes in responsibility in 2002 included: Mr. Gould was appointed President and Chief Operating Officer with a base salary of $1,000,000, Mr. Perraud became Executive Vice President and Chief Financial Officer with a base salary of $450,000, and Mr. Huck was appointed Vice President QHSE and Industry Affairs with a base salary of €382,000 ($357,000).</w:t>
      </w:r>
    </w:p>
    <w:p>
      <w:pPr>
        <w:spacing w:after="0" w:line="121"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color w:val="auto"/>
        </w:rPr>
        <w:t xml:space="preserve">Annual cash incentive awards </w:t>
      </w:r>
      <w:r>
        <w:rPr>
          <w:rFonts w:ascii="Arial" w:cs="Arial" w:eastAsia="Arial" w:hAnsi="Arial"/>
          <w:sz w:val="18"/>
          <w:szCs w:val="18"/>
          <w:color w:val="auto"/>
        </w:rPr>
        <w:t>for each executive officer are payable early in the calendar (fiscal) year and reflect performance against targets or</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objectives in the preceding year.</w:t>
      </w:r>
    </w:p>
    <w:p>
      <w:pPr>
        <w:spacing w:after="0" w:line="11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incentive targets of the named executive officers range from 60% to 100%, reflecting the level of responsibility of each position. The incentive awards are calculated as a percentage of base salary and in years of exceptional results may exceed the incentive target.</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One half of the incentive for each executive is based on achievement of financial objectives of the Company or the business sector for which the executive has responsibility. Messrs. Gould, Pfister and Huck assumed new positions during 2002, so their objectives are a combination of Company and business sector financial goals. Mr. Perraud’s incentive is based on the Company’s financial objective.</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second half of the incentive relates to objectives that are specific to the executive. These objectives may be strategic or personal and may relate to one-year goals or be interim measures against longer-term objectives. The evaluation of achievement of these objectives is discretionary and subject to the approval of the Committee.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four named executive officers received a payout on the financial half of their incentive for 2002.</w:t>
      </w:r>
    </w:p>
    <w:p>
      <w:pPr>
        <w:spacing w:after="0" w:line="15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second half of the incentives for Messrs. Gould and Perraud were based on the overall performance of the Company in 2002. The second half of Mr. Pfister’s incentive was based on progress toward the achievement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22" w:right="259" w:bottom="1440" w:gutter="0" w:footer="0" w:header="0"/>
        </w:sectPr>
      </w:pPr>
    </w:p>
    <w:bookmarkStart w:id="13" w:name="page14"/>
    <w:bookmarkEnd w:id="13"/>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 financial and business objectives for SchlumbergerSema. The cash compensation of Messrs. Gould, Perraud and Pfister is below the median of the comparator market. The second half of Mr. Huck’s incentive was based on specific business and functional objectives. His cash compensation places him above the median of the comparator market.</w:t>
      </w:r>
    </w:p>
    <w:p>
      <w:pPr>
        <w:spacing w:after="0" w:line="121"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Stock Options grants </w:t>
      </w:r>
      <w:r>
        <w:rPr>
          <w:rFonts w:ascii="Arial" w:cs="Arial" w:eastAsia="Arial" w:hAnsi="Arial"/>
          <w:sz w:val="16"/>
          <w:szCs w:val="16"/>
          <w:color w:val="auto"/>
        </w:rPr>
        <w:t>are awarded on a discretionary basis to eligible employees who demonstrate superior performance in their current position, as well</w:t>
      </w:r>
      <w:r>
        <w:rPr>
          <w:rFonts w:ascii="Arial" w:cs="Arial" w:eastAsia="Arial" w:hAnsi="Arial"/>
          <w:sz w:val="16"/>
          <w:szCs w:val="16"/>
          <w:b w:val="1"/>
          <w:bCs w:val="1"/>
          <w:color w:val="auto"/>
        </w:rPr>
        <w:t xml:space="preserve"> </w:t>
      </w:r>
      <w:r>
        <w:rPr>
          <w:rFonts w:ascii="Arial" w:cs="Arial" w:eastAsia="Arial" w:hAnsi="Arial"/>
          <w:sz w:val="16"/>
          <w:szCs w:val="16"/>
          <w:color w:val="auto"/>
        </w:rPr>
        <w:t>as the likelihood of continued high-level performance in the future. Stock option grants are generally awarded on an 18-month cycle with additional grants awarded to recognize promotions, substantial changes in responsibility, individual or team achievements and other special circumstances.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stock option grants awarded by the Company are normally uniform in their terms for all employees: 10-year term; vesting of 20% each year following the date of grant; option price equal to fair market value on the date of grant. In particular circumstances the Company grants awards with different vesting schedules.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Gould, Pfister, Perraud and Huck received a stock option grant in April 2002 as part of a general grant.</w:t>
      </w:r>
    </w:p>
    <w:p>
      <w:pPr>
        <w:spacing w:after="0" w:line="15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Section 162(m) of the Internal Revenue Code limits the deductibility of certain compensation expenses in excess of $1,000,000 per individual. The Committee does not believe that the cash compensation payable in excess of this amount for fiscal year 2002 will result in any material loss of tax deduction. Therefore, the Committee has elected not to follow the provisions of Section 162(m) with regard to cash compensation. The Company’s stock option plans are believed to be in compliance with the provisions of Section 162 (m).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Compensation Committee reviews and approves the objectives and the performance of the Chief Executive Officer, and sets his compensation subject to Board review.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Baird participated in the same compensation plans that are provided to other executives, management and professional employees in Schlumberger. Mr.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Baird’s base salary of $1,500,000 was set in 1997 and has not been revised since. The annual incentive range for Mr. Baird was 100% of base salary.</w:t>
      </w:r>
    </w:p>
    <w:p>
      <w:pPr>
        <w:spacing w:after="0" w:line="17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One-half of the 2002 incentive award was based on earnings per share goals, which were not achieved. Mr. Baird did not receive any payout for the financial half of his incentive.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second half of the award reflects the Committee’s evaluation of Mr. Baird’s performance against strategic and business objectives established early in calendar 2002. These specific objectives were a combination of business development, divestitures and financial goals. Disclosure of these objectives could adversely affect the Company’s competitive position.</w:t>
      </w:r>
    </w:p>
    <w:p>
      <w:pPr>
        <w:spacing w:after="0" w:line="12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cash incentive awarded Mr. Baird for 2002 was $450,000. Mr. Baird’s total cash compensation for 2002 places him below the median of the comparator market.</w:t>
      </w:r>
    </w:p>
    <w:p>
      <w:pPr>
        <w:spacing w:after="0" w:line="118"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The Compensation Committee, in recognition of Mr. Baird’s long-term strong contribution to the strategy and performance of the Company during his 16 year term as Chief Executive Officer and his anticipated tenure, awarded him a stock option grant (250,000 shares) in January 2002 that vested fully in one year.</w:t>
      </w:r>
    </w:p>
    <w:p>
      <w:pPr>
        <w:spacing w:after="0" w:line="4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October 2002, the Board of Directors accepted the resignation of Mr. Baird from the Company effective February 1, 2003, as Chief Executive Officer, Chairman of the Board and Director, and determined that he would be succeeded by Mr. Gould. Mr. Baird had no employment agreement with the Company and as of February 1, 2003, has no continuing employment relationship or consulting contract with the Company.</w:t>
      </w:r>
    </w:p>
    <w:p>
      <w:pPr>
        <w:spacing w:after="0" w:line="9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Chief Executive Officer Mr. Gould’s base salary is $1,500,000, which places him in the third quartile of the comparator market for base salaries. His incentive range is 0-100%. On January 15, 2003, the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awarded Mr. Gould a stock option grant of 300,000 shares with a 10-year term, vesting 20% each year following the date of grant.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Gould has no employment agreement with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THE SCHLUMBERGER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80"/>
          </w:cols>
          <w:pgMar w:left="240" w:top="280" w:right="279" w:bottom="1440" w:gutter="0" w:footer="0" w:header="0"/>
        </w:sectPr>
      </w:pPr>
    </w:p>
    <w:p>
      <w:pPr>
        <w:spacing w:after="0" w:line="15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William T. McCormick, Jr., Chair</w:t>
      </w:r>
    </w:p>
    <w:p>
      <w:pPr>
        <w:spacing w:after="0" w:line="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Nicolas Seydoux</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Sven Ullring</w:t>
      </w:r>
    </w:p>
    <w:p>
      <w:pPr>
        <w:spacing w:after="0" w:line="390" w:lineRule="exact"/>
        <w:rPr>
          <w:sz w:val="20"/>
          <w:szCs w:val="20"/>
          <w:color w:val="auto"/>
        </w:rPr>
      </w:pPr>
    </w:p>
    <w:p>
      <w:pPr>
        <w:sectPr>
          <w:pgSz w:w="11900" w:h="16838" w:orient="portrait"/>
          <w:cols w:equalWidth="0" w:num="2">
            <w:col w:w="5100" w:space="720"/>
            <w:col w:w="5560"/>
          </w:cols>
          <w:pgMar w:left="240" w:top="280" w:right="279" w:bottom="1440" w:gutter="0" w:footer="0" w:header="0"/>
          <w:type w:val="continuous"/>
        </w:sectPr>
      </w:pPr>
    </w:p>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Financial Statements</w:t>
      </w:r>
    </w:p>
    <w:p>
      <w:pPr>
        <w:sectPr>
          <w:pgSz w:w="11900" w:h="16838" w:orient="portrait"/>
          <w:cols w:equalWidth="0" w:num="1">
            <w:col w:w="11380"/>
          </w:cols>
          <w:pgMar w:left="240" w:top="280" w:right="279" w:bottom="1440" w:gutter="0" w:footer="0" w:header="0"/>
          <w:type w:val="continuous"/>
        </w:sectPr>
      </w:pP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Consolidated Balance Sheet as at December 31, 2002, its Consolidated Statement of Income for the year ended December 31, 2002, as audited by PricewaterhouseCoopers LLP, and the amount of dividends declared by the Board of Directors during 2002 are submitted to the stockholders pursuant to the Schlumberger Deed of Incorporation.</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majority of the votes cast is required for the adoption and approval of the financial results as set forth in the financial statements and of the declaration of dividends by the Board of Directors as reflected in the 2002 Annual Report to Stockholders.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ind w:left="4620"/>
        <w:spacing w:after="0"/>
        <w:tabs>
          <w:tab w:leader="none" w:pos="49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Appointment of Auditors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PricewaterhouseCoopers LLP have been selected by the Board of Directors as independent public accountants to audit the accounts of the Company for the year 2003. The Schlumberger by-laws provide that the selection of auditors is subject to approval by the stockholders, and a majority of the votes cast is required for such approval. A representative of PricewaterhouseCoopers LLP will attend the 2003 Annual General Meeting and will have the opportunity to make a statement and respond to questions.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Fees Paid to PricewaterhouseCoopers LLP</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2002 and 2001 annual financial statements and reviews of quarterly financial statements and other audit services and (ii) the other services described below that were billed in 2002 and 2001.</w:t>
      </w:r>
    </w:p>
    <w:p>
      <w:pPr>
        <w:spacing w:after="0" w:line="124" w:lineRule="exact"/>
        <w:rPr>
          <w:sz w:val="20"/>
          <w:szCs w:val="20"/>
          <w:color w:val="auto"/>
        </w:rPr>
      </w:pPr>
    </w:p>
    <w:tbl>
      <w:tblPr>
        <w:tblLayout w:type="fixed"/>
        <w:tblInd w:w="172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i w:val="1"/>
                <w:iCs w:val="1"/>
                <w:color w:val="auto"/>
                <w:w w:val="84"/>
              </w:rPr>
              <w:t>Year Ended December 31,</w:t>
            </w:r>
          </w:p>
        </w:tc>
        <w:tc>
          <w:tcPr>
            <w:tcW w:w="0" w:type="dxa"/>
            <w:vAlign w:val="bottom"/>
          </w:tcPr>
          <w:p>
            <w:pPr>
              <w:spacing w:after="0"/>
              <w:rPr>
                <w:sz w:val="1"/>
                <w:szCs w:val="1"/>
                <w:color w:val="auto"/>
              </w:rPr>
            </w:pPr>
          </w:p>
        </w:tc>
      </w:tr>
      <w:tr>
        <w:trPr>
          <w:trHeight w:val="95"/>
        </w:trPr>
        <w:tc>
          <w:tcPr>
            <w:tcW w:w="39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i w:val="1"/>
                <w:iCs w:val="1"/>
                <w:color w:val="auto"/>
              </w:rPr>
              <w:t>2002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i w:val="1"/>
                <w:iCs w:val="1"/>
                <w:color w:val="auto"/>
              </w:rPr>
              <w:t>2001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9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9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5"/>
          </w:tcPr>
          <w:p>
            <w:pPr>
              <w:jc w:val="center"/>
              <w:ind w:right="120"/>
              <w:spacing w:after="0"/>
              <w:rPr>
                <w:sz w:val="20"/>
                <w:szCs w:val="20"/>
                <w:color w:val="auto"/>
              </w:rPr>
            </w:pPr>
            <w:r>
              <w:rPr>
                <w:rFonts w:ascii="Arial" w:cs="Arial" w:eastAsia="Arial" w:hAnsi="Arial"/>
                <w:sz w:val="14"/>
                <w:szCs w:val="14"/>
                <w:i w:val="1"/>
                <w:iCs w:val="1"/>
                <w:color w:val="auto"/>
                <w:w w:val="85"/>
              </w:rPr>
              <w:t>(in thousands)</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Audit-Related Fees (1)</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2,071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All Other Fees (3)</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9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9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00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1" w:lineRule="exact"/>
        <w:rPr>
          <w:sz w:val="20"/>
          <w:szCs w:val="20"/>
          <w:color w:val="auto"/>
        </w:rPr>
      </w:pPr>
    </w:p>
    <w:p>
      <w:pPr>
        <w:ind w:left="460" w:right="18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fees for employee benefit plan audits, due diligence relating to acquisition transactions, non-audit accounting related advice, internal controls reviews and other items.</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primarily of fees for tax compliance and fees for tax advice and other tax services.</w:t>
      </w:r>
    </w:p>
    <w:p>
      <w:pPr>
        <w:spacing w:after="0" w:line="9"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2002, consists primarily of tax certificates and other agreed upon procedures. In 2001, consists primarily of financial information systems design and implementation services and valuation services.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type w:val="continuous"/>
        </w:sectPr>
      </w:pPr>
    </w:p>
    <w:bookmarkStart w:id="15" w:name="page16"/>
    <w:bookmarkEnd w:id="1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Recommends a Vote FOR Item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2004 Annual General Meeting</w:t>
      </w:r>
    </w:p>
    <w:p>
      <w:pPr>
        <w:spacing w:after="0" w:line="83" w:lineRule="exact"/>
        <w:rPr>
          <w:sz w:val="20"/>
          <w:szCs w:val="20"/>
          <w:color w:val="auto"/>
        </w:rPr>
      </w:pPr>
    </w:p>
    <w:p>
      <w:pPr>
        <w:ind w:firstLine="456"/>
        <w:spacing w:after="0" w:line="297" w:lineRule="auto"/>
        <w:rPr>
          <w:sz w:val="20"/>
          <w:szCs w:val="20"/>
          <w:color w:val="auto"/>
        </w:rPr>
      </w:pPr>
      <w:r>
        <w:rPr>
          <w:rFonts w:ascii="Arial" w:cs="Arial" w:eastAsia="Arial" w:hAnsi="Arial"/>
          <w:sz w:val="15"/>
          <w:szCs w:val="15"/>
          <w:color w:val="auto"/>
        </w:rPr>
        <w:t>In order for a stockholder proposal to be considered for inclusion in the proxy statement for the 2004 Annual General Meeting of Stockholders, written proposals must be received by the Secretary of the Company, 153 East 53 Street, 57</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New York, New York 10022-4624, no later than November 8, 2003. Pursuant to the rules under the Securities Exchange Act of 1934, the Company may use discretionary authority to vote with respect to stockholder proposals presented in person at the 2004 Annual General Meeting if the stockholder making the proposal has not given notice to the Company by January 22, 2004.</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3" w:lineRule="exact"/>
        <w:rPr>
          <w:sz w:val="20"/>
          <w:szCs w:val="20"/>
          <w:color w:val="auto"/>
        </w:rPr>
      </w:pPr>
    </w:p>
    <w:p>
      <w:pPr>
        <w:ind w:right="400" w:firstLine="456"/>
        <w:spacing w:after="0" w:line="292"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153 East 53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2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8"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2003</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80"/>
          </w:cols>
          <w:pgMar w:left="240" w:top="422" w:right="3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85"/>
              </w:rPr>
              <w:t>Year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i w:val="1"/>
                <w:iCs w:val="1"/>
                <w:color w:val="auto"/>
              </w:rPr>
              <w:t>2002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13"/>
              <w:spacing w:after="0"/>
              <w:rPr>
                <w:sz w:val="20"/>
                <w:szCs w:val="20"/>
                <w:color w:val="auto"/>
              </w:rPr>
            </w:pPr>
            <w:r>
              <w:rPr>
                <w:rFonts w:ascii="Arial" w:cs="Arial" w:eastAsia="Arial" w:hAnsi="Arial"/>
                <w:sz w:val="14"/>
                <w:szCs w:val="14"/>
                <w:i w:val="1"/>
                <w:iCs w:val="1"/>
                <w:color w:val="auto"/>
                <w:w w:val="83"/>
              </w:rPr>
              <w:t>2001</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i w:val="1"/>
                <w:iCs w:val="1"/>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Revenue</w:t>
            </w:r>
          </w:p>
        </w:tc>
        <w:tc>
          <w:tcPr>
            <w:tcW w:w="100" w:type="dxa"/>
            <w:vAlign w:val="bottom"/>
          </w:tcPr>
          <w:p>
            <w:pPr>
              <w:spacing w:after="0"/>
              <w:rPr>
                <w:sz w:val="22"/>
                <w:szCs w:val="22"/>
                <w:color w:val="auto"/>
              </w:rPr>
            </w:pPr>
          </w:p>
        </w:tc>
        <w:tc>
          <w:tcPr>
            <w:tcW w:w="3480" w:type="dxa"/>
            <w:vAlign w:val="bottom"/>
            <w:gridSpan w:val="10"/>
          </w:tcPr>
          <w:p>
            <w:pPr>
              <w:jc w:val="center"/>
              <w:ind w:right="120"/>
              <w:spacing w:after="0"/>
              <w:rPr>
                <w:sz w:val="20"/>
                <w:szCs w:val="20"/>
                <w:color w:val="auto"/>
              </w:rPr>
            </w:pPr>
            <w:r>
              <w:rPr>
                <w:rFonts w:ascii="Arial" w:cs="Arial" w:eastAsia="Arial" w:hAnsi="Arial"/>
                <w:sz w:val="14"/>
                <w:szCs w:val="14"/>
                <w:i w:val="1"/>
                <w:iCs w:val="1"/>
                <w:color w:val="auto"/>
                <w:w w:val="85"/>
              </w:rPr>
              <w:t>(Stated in thousands except per share amounts)</w:t>
            </w:r>
          </w:p>
        </w:tc>
        <w:tc>
          <w:tcPr>
            <w:tcW w:w="0" w:type="dxa"/>
            <w:vAlign w:val="bottom"/>
          </w:tcPr>
          <w:p>
            <w:pPr>
              <w:spacing w:after="0"/>
              <w:rPr>
                <w:sz w:val="1"/>
                <w:szCs w:val="1"/>
                <w:color w:val="auto"/>
              </w:rPr>
            </w:pPr>
          </w:p>
        </w:tc>
      </w:tr>
      <w:tr>
        <w:trPr>
          <w:trHeight w:val="201"/>
        </w:trPr>
        <w:tc>
          <w:tcPr>
            <w:tcW w:w="7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13,473,662</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14,058,366</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9,831,472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3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139,068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242,258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13,612,730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14,300,624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10,254,727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Expenses</w:t>
            </w: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goods sold and services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13,759,257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11,014,923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7,779,578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Research &amp; engineering</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650,038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700,096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529,107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401,384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446,621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20"/>
              <w:spacing w:after="0"/>
              <w:rPr>
                <w:sz w:val="20"/>
                <w:szCs w:val="20"/>
                <w:color w:val="auto"/>
              </w:rPr>
            </w:pPr>
            <w:r>
              <w:rPr>
                <w:rFonts w:ascii="Arial" w:cs="Arial" w:eastAsia="Arial" w:hAnsi="Arial"/>
                <w:sz w:val="18"/>
                <w:szCs w:val="18"/>
                <w:color w:val="auto"/>
              </w:rPr>
              <w:t>General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664,364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681,021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367,973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15,843,016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13,227,557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9,318,099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Income (Loss) from continuing operations before taxes and minority interest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(2,230,286)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1,073,067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60" w:type="dxa"/>
            <w:vAlign w:val="bottom"/>
          </w:tcPr>
          <w:p>
            <w:pPr>
              <w:ind w:left="3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279,122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553,887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218,337</w:t>
            </w:r>
          </w:p>
        </w:tc>
        <w:tc>
          <w:tcPr>
            <w:tcW w:w="0" w:type="dxa"/>
            <w:vAlign w:val="bottom"/>
          </w:tcPr>
          <w:p>
            <w:pPr>
              <w:spacing w:after="0"/>
              <w:rPr>
                <w:sz w:val="1"/>
                <w:szCs w:val="1"/>
                <w:color w:val="auto"/>
              </w:rPr>
            </w:pPr>
          </w:p>
        </w:tc>
      </w:tr>
      <w:tr>
        <w:trPr>
          <w:trHeight w:val="110"/>
        </w:trPr>
        <w:tc>
          <w:tcPr>
            <w:tcW w:w="7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Income (Loss) from continuing operations before minority interest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(2,509,408)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60" w:type="dxa"/>
            <w:vAlign w:val="bottom"/>
          </w:tcPr>
          <w:p>
            <w:pPr>
              <w:ind w:left="320"/>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91,879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(28,545)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110"/>
        </w:trPr>
        <w:tc>
          <w:tcPr>
            <w:tcW w:w="7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Income (Loss) from Continuing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(2,417,529)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490,635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20"/>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97,534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31,582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(2,319,995)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522,217</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60" w:type="dxa"/>
            <w:vAlign w:val="bottom"/>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320"/>
              <w:spacing w:after="0"/>
              <w:rPr>
                <w:sz w:val="20"/>
                <w:szCs w:val="20"/>
                <w:color w:val="auto"/>
              </w:rPr>
            </w:pPr>
            <w:r>
              <w:rPr>
                <w:rFonts w:ascii="Arial" w:cs="Arial" w:eastAsia="Arial" w:hAnsi="Arial"/>
                <w:sz w:val="18"/>
                <w:szCs w:val="18"/>
                <w:color w:val="auto"/>
              </w:rPr>
              <w:t>Add back amortization of goodwill</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60" w:type="dxa"/>
            <w:vAlign w:val="bottom"/>
            <w:vMerge w:val="restart"/>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7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tcPr>
          <w:p>
            <w:pPr>
              <w:ind w:left="320"/>
              <w:spacing w:after="0"/>
              <w:rPr>
                <w:sz w:val="20"/>
                <w:szCs w:val="20"/>
                <w:color w:val="auto"/>
              </w:rPr>
            </w:pPr>
            <w:r>
              <w:rPr>
                <w:rFonts w:ascii="Arial" w:cs="Arial" w:eastAsia="Arial" w:hAnsi="Arial"/>
                <w:sz w:val="18"/>
                <w:szCs w:val="18"/>
                <w:color w:val="auto"/>
              </w:rPr>
              <w:t>Add back amortization of goodwill</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578,588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574,328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60" w:type="dxa"/>
            <w:vAlign w:val="bottom"/>
          </w:tcPr>
          <w:p>
            <w:pPr>
              <w:ind w:left="20"/>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578,588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580,214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580,076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-3061970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-3061970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-3061970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-3061970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-3061970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-3061970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-3061970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-3061970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-3061970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-1783715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-1783715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-1783715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-1783715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-1783715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-1783715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-1783715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-1783715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-1783715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-506095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-506095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-506095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-506095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-506095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-506095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-506095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-506095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-506095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17" w:name="page18"/>
    <w:bookmarkEnd w:id="17"/>
    <w:p>
      <w:pPr>
        <w:jc w:val="center"/>
        <w:ind w:left="260" w:right="240"/>
        <w:spacing w:after="0" w:line="44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LIMITED (SCHLUMBERGER N.V., INCORPORATED IN THE NETHERLANDS ANTILLES) AND SUBSIDIARY COMPANIES </w:t>
      </w:r>
      <w:r>
        <w:rPr>
          <w:rFonts w:ascii="Arial" w:cs="Arial" w:eastAsia="Arial" w:hAnsi="Arial"/>
          <w:sz w:val="18"/>
          <w:szCs w:val="18"/>
          <w:b w:val="1"/>
          <w:bCs w:val="1"/>
          <w:color w:val="auto"/>
        </w:rPr>
        <w:t>CONSOLIDATED BALANCE SHEET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780"/>
              <w:spacing w:after="0"/>
              <w:rPr>
                <w:sz w:val="20"/>
                <w:szCs w:val="20"/>
                <w:color w:val="auto"/>
              </w:rPr>
            </w:pPr>
            <w:r>
              <w:rPr>
                <w:rFonts w:ascii="Arial" w:cs="Arial" w:eastAsia="Arial" w:hAnsi="Arial"/>
                <w:sz w:val="14"/>
                <w:szCs w:val="14"/>
                <w:i w:val="1"/>
                <w:iCs w:val="1"/>
                <w:color w:val="auto"/>
              </w:rPr>
              <w:t>December 31,</w:t>
            </w: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i w:val="1"/>
                <w:iCs w:val="1"/>
                <w:color w:val="auto"/>
              </w:rPr>
              <w:t>2002</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i w:val="1"/>
                <w:iCs w:val="1"/>
                <w:color w:val="auto"/>
              </w:rPr>
              <w:t>2001</w:t>
            </w:r>
          </w:p>
        </w:tc>
        <w:tc>
          <w:tcPr>
            <w:tcW w:w="6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6"/>
          </w:tcPr>
          <w:p>
            <w:pPr>
              <w:jc w:val="right"/>
              <w:ind w:right="580"/>
              <w:spacing w:after="0"/>
              <w:rPr>
                <w:sz w:val="20"/>
                <w:szCs w:val="20"/>
                <w:color w:val="auto"/>
              </w:rPr>
            </w:pPr>
            <w:r>
              <w:rPr>
                <w:rFonts w:ascii="Arial" w:cs="Arial" w:eastAsia="Arial" w:hAnsi="Arial"/>
                <w:sz w:val="14"/>
                <w:szCs w:val="14"/>
                <w:i w:val="1"/>
                <w:iCs w:val="1"/>
                <w:color w:val="auto"/>
              </w:rPr>
              <w:t>(Stated in thousands)</w:t>
            </w:r>
          </w:p>
        </w:tc>
      </w:tr>
      <w:tr>
        <w:trPr>
          <w:trHeight w:val="176"/>
        </w:trPr>
        <w:tc>
          <w:tcPr>
            <w:tcW w:w="916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160" w:type="dxa"/>
            <w:vAlign w:val="bottom"/>
            <w:gridSpan w:val="4"/>
          </w:tcPr>
          <w:p>
            <w:pPr>
              <w:ind w:left="20"/>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168,110</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1,567,906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1,439,997</w:t>
            </w:r>
          </w:p>
        </w:tc>
        <w:tc>
          <w:tcPr>
            <w:tcW w:w="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Receivables less allowance for doubtful accounts (2002 – $172,871; 2001 – $145,268)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3,489,406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4,028,450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1,043,057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1,204,263</w:t>
            </w:r>
          </w:p>
        </w:tc>
        <w:tc>
          <w:tcPr>
            <w:tcW w:w="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435,887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321,767</w:t>
            </w:r>
          </w:p>
        </w:tc>
        <w:tc>
          <w:tcPr>
            <w:tcW w:w="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9140" w:type="dxa"/>
            <w:vAlign w:val="bottom"/>
            <w:gridSpan w:val="3"/>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481,074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532,709</w:t>
            </w:r>
          </w:p>
        </w:tc>
        <w:tc>
          <w:tcPr>
            <w:tcW w:w="60" w:type="dxa"/>
            <w:vAlign w:val="bottom"/>
          </w:tcPr>
          <w:p>
            <w:pPr>
              <w:spacing w:after="0"/>
              <w:rPr>
                <w:sz w:val="19"/>
                <w:szCs w:val="19"/>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7,185,440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7,704,890</w:t>
            </w:r>
          </w:p>
        </w:tc>
        <w:tc>
          <w:tcPr>
            <w:tcW w:w="60" w:type="dxa"/>
            <w:vAlign w:val="bottom"/>
            <w:shd w:val="clear" w:color="auto" w:fill="CCEEFF"/>
          </w:tcPr>
          <w:p>
            <w:pPr>
              <w:spacing w:after="0"/>
              <w:rPr>
                <w:sz w:val="18"/>
                <w:szCs w:val="18"/>
                <w:color w:val="auto"/>
              </w:rPr>
            </w:pPr>
          </w:p>
        </w:tc>
      </w:tr>
      <w:tr>
        <w:trPr>
          <w:trHeight w:val="216"/>
        </w:trPr>
        <w:tc>
          <w:tcPr>
            <w:tcW w:w="9160" w:type="dxa"/>
            <w:vAlign w:val="bottom"/>
            <w:gridSpan w:val="4"/>
          </w:tcPr>
          <w:p>
            <w:pPr>
              <w:ind w:left="20"/>
              <w:spacing w:after="0"/>
              <w:rPr>
                <w:sz w:val="20"/>
                <w:szCs w:val="20"/>
                <w:color w:val="auto"/>
              </w:rPr>
            </w:pPr>
            <w:r>
              <w:rPr>
                <w:rFonts w:ascii="Arial" w:cs="Arial" w:eastAsia="Arial" w:hAnsi="Arial"/>
                <w:sz w:val="18"/>
                <w:szCs w:val="18"/>
                <w:i w:val="1"/>
                <w:iCs w:val="1"/>
                <w:color w:val="auto"/>
              </w:rPr>
              <w:t>Fixed Income Investments, held to maturity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407,500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576,000</w:t>
            </w:r>
          </w:p>
        </w:tc>
        <w:tc>
          <w:tcPr>
            <w:tcW w:w="60" w:type="dxa"/>
            <w:vAlign w:val="bottom"/>
          </w:tcPr>
          <w:p>
            <w:pPr>
              <w:spacing w:after="0"/>
              <w:rPr>
                <w:sz w:val="18"/>
                <w:szCs w:val="18"/>
                <w:color w:val="auto"/>
              </w:rPr>
            </w:pPr>
          </w:p>
        </w:tc>
      </w:tr>
      <w:tr>
        <w:trPr>
          <w:trHeight w:val="216"/>
        </w:trPr>
        <w:tc>
          <w:tcPr>
            <w:tcW w:w="9160" w:type="dxa"/>
            <w:vAlign w:val="bottom"/>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Investments in Affiliated Companies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687,524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648,183</w:t>
            </w:r>
          </w:p>
        </w:tc>
        <w:tc>
          <w:tcPr>
            <w:tcW w:w="60" w:type="dxa"/>
            <w:vAlign w:val="bottom"/>
            <w:shd w:val="clear" w:color="auto" w:fill="CCEEFF"/>
          </w:tcPr>
          <w:p>
            <w:pPr>
              <w:spacing w:after="0"/>
              <w:rPr>
                <w:sz w:val="18"/>
                <w:szCs w:val="18"/>
                <w:color w:val="auto"/>
              </w:rPr>
            </w:pPr>
          </w:p>
        </w:tc>
      </w:tr>
      <w:tr>
        <w:trPr>
          <w:trHeight w:val="216"/>
        </w:trPr>
        <w:tc>
          <w:tcPr>
            <w:tcW w:w="9160" w:type="dxa"/>
            <w:vAlign w:val="bottom"/>
            <w:gridSpan w:val="4"/>
          </w:tcPr>
          <w:p>
            <w:pPr>
              <w:ind w:left="20"/>
              <w:spacing w:after="0"/>
              <w:rPr>
                <w:sz w:val="20"/>
                <w:szCs w:val="20"/>
                <w:color w:val="auto"/>
              </w:rPr>
            </w:pPr>
            <w:r>
              <w:rPr>
                <w:rFonts w:ascii="Arial" w:cs="Arial" w:eastAsia="Arial" w:hAnsi="Arial"/>
                <w:sz w:val="18"/>
                <w:szCs w:val="18"/>
                <w:i w:val="1"/>
                <w:iCs w:val="1"/>
                <w:color w:val="auto"/>
              </w:rPr>
              <w:t>Fixed Assets less accumulated depreciation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4,663,756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4,827,879</w:t>
            </w:r>
          </w:p>
        </w:tc>
        <w:tc>
          <w:tcPr>
            <w:tcW w:w="60" w:type="dxa"/>
            <w:vAlign w:val="bottom"/>
          </w:tcPr>
          <w:p>
            <w:pPr>
              <w:spacing w:after="0"/>
              <w:rPr>
                <w:sz w:val="18"/>
                <w:szCs w:val="18"/>
                <w:color w:val="auto"/>
              </w:rPr>
            </w:pPr>
          </w:p>
        </w:tc>
      </w:tr>
      <w:tr>
        <w:trPr>
          <w:trHeight w:val="216"/>
        </w:trPr>
        <w:tc>
          <w:tcPr>
            <w:tcW w:w="9160" w:type="dxa"/>
            <w:vAlign w:val="bottom"/>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Multiclient Seismic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1,018,483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1,028,954</w:t>
            </w:r>
          </w:p>
        </w:tc>
        <w:tc>
          <w:tcPr>
            <w:tcW w:w="60" w:type="dxa"/>
            <w:vAlign w:val="bottom"/>
            <w:shd w:val="clear" w:color="auto" w:fill="CCEEFF"/>
          </w:tcPr>
          <w:p>
            <w:pPr>
              <w:spacing w:after="0"/>
              <w:rPr>
                <w:sz w:val="18"/>
                <w:szCs w:val="18"/>
                <w:color w:val="auto"/>
              </w:rPr>
            </w:pPr>
          </w:p>
        </w:tc>
      </w:tr>
      <w:tr>
        <w:trPr>
          <w:trHeight w:val="216"/>
        </w:trPr>
        <w:tc>
          <w:tcPr>
            <w:tcW w:w="9160" w:type="dxa"/>
            <w:vAlign w:val="bottom"/>
            <w:gridSpan w:val="4"/>
          </w:tcPr>
          <w:p>
            <w:pPr>
              <w:ind w:left="20"/>
              <w:spacing w:after="0"/>
              <w:rPr>
                <w:sz w:val="20"/>
                <w:szCs w:val="20"/>
                <w:color w:val="auto"/>
              </w:rPr>
            </w:pPr>
            <w:r>
              <w:rPr>
                <w:rFonts w:ascii="Arial" w:cs="Arial" w:eastAsia="Arial" w:hAnsi="Arial"/>
                <w:sz w:val="18"/>
                <w:szCs w:val="18"/>
                <w:i w:val="1"/>
                <w:iCs w:val="1"/>
                <w:color w:val="auto"/>
              </w:rPr>
              <w:t>Goodwill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4,229,993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6,260,969</w:t>
            </w:r>
          </w:p>
        </w:tc>
        <w:tc>
          <w:tcPr>
            <w:tcW w:w="60" w:type="dxa"/>
            <w:vAlign w:val="bottom"/>
          </w:tcPr>
          <w:p>
            <w:pPr>
              <w:spacing w:after="0"/>
              <w:rPr>
                <w:sz w:val="18"/>
                <w:szCs w:val="18"/>
                <w:color w:val="auto"/>
              </w:rPr>
            </w:pPr>
          </w:p>
        </w:tc>
      </w:tr>
      <w:tr>
        <w:trPr>
          <w:trHeight w:val="216"/>
        </w:trPr>
        <w:tc>
          <w:tcPr>
            <w:tcW w:w="9160" w:type="dxa"/>
            <w:vAlign w:val="bottom"/>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Intangible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558,664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811,349</w:t>
            </w:r>
          </w:p>
        </w:tc>
        <w:tc>
          <w:tcPr>
            <w:tcW w:w="60" w:type="dxa"/>
            <w:vAlign w:val="bottom"/>
            <w:shd w:val="clear" w:color="auto" w:fill="CCEEFF"/>
          </w:tcPr>
          <w:p>
            <w:pPr>
              <w:spacing w:after="0"/>
              <w:rPr>
                <w:sz w:val="18"/>
                <w:szCs w:val="18"/>
                <w:color w:val="auto"/>
              </w:rPr>
            </w:pPr>
          </w:p>
        </w:tc>
      </w:tr>
      <w:tr>
        <w:trPr>
          <w:trHeight w:val="216"/>
        </w:trPr>
        <w:tc>
          <w:tcPr>
            <w:tcW w:w="9160" w:type="dxa"/>
            <w:vAlign w:val="bottom"/>
            <w:gridSpan w:val="4"/>
          </w:tcPr>
          <w:p>
            <w:pPr>
              <w:ind w:left="20"/>
              <w:spacing w:after="0"/>
              <w:rPr>
                <w:sz w:val="20"/>
                <w:szCs w:val="20"/>
                <w:color w:val="auto"/>
              </w:rPr>
            </w:pPr>
            <w:r>
              <w:rPr>
                <w:rFonts w:ascii="Arial" w:cs="Arial" w:eastAsia="Arial" w:hAnsi="Arial"/>
                <w:sz w:val="18"/>
                <w:szCs w:val="18"/>
                <w:i w:val="1"/>
                <w:iCs w:val="1"/>
                <w:color w:val="auto"/>
              </w:rPr>
              <w:t>Deferred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147,013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126,057</w:t>
            </w:r>
          </w:p>
        </w:tc>
        <w:tc>
          <w:tcPr>
            <w:tcW w:w="60" w:type="dxa"/>
            <w:vAlign w:val="bottom"/>
          </w:tcPr>
          <w:p>
            <w:pPr>
              <w:spacing w:after="0"/>
              <w:rPr>
                <w:sz w:val="18"/>
                <w:szCs w:val="18"/>
                <w:color w:val="auto"/>
              </w:rPr>
            </w:pPr>
          </w:p>
        </w:tc>
      </w:tr>
      <w:tr>
        <w:trPr>
          <w:trHeight w:val="216"/>
        </w:trPr>
        <w:tc>
          <w:tcPr>
            <w:tcW w:w="9160" w:type="dxa"/>
            <w:vAlign w:val="bottom"/>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536,822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342,086</w:t>
            </w:r>
          </w:p>
        </w:tc>
        <w:tc>
          <w:tcPr>
            <w:tcW w:w="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19,435,195</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22,326,367</w:t>
            </w:r>
          </w:p>
        </w:tc>
        <w:tc>
          <w:tcPr>
            <w:tcW w:w="6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76"/>
        </w:trPr>
        <w:tc>
          <w:tcPr>
            <w:tcW w:w="9160" w:type="dxa"/>
            <w:vAlign w:val="bottom"/>
            <w:gridSpan w:val="4"/>
            <w:shd w:val="clear" w:color="auto" w:fill="CCEEFF"/>
          </w:tcPr>
          <w:p>
            <w:pPr>
              <w:ind w:left="20"/>
              <w:spacing w:after="0" w:line="176"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980" w:type="dxa"/>
            <w:vAlign w:val="bottom"/>
            <w:tcBorders>
              <w:top w:val="single" w:sz="8" w:color="auto"/>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160" w:type="dxa"/>
            <w:vAlign w:val="bottom"/>
            <w:gridSpan w:val="4"/>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4,580,762</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4,506,634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625,058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587,328</w:t>
            </w:r>
          </w:p>
        </w:tc>
        <w:tc>
          <w:tcPr>
            <w:tcW w:w="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109,565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ind w:left="360"/>
              <w:spacing w:after="0"/>
              <w:rPr>
                <w:sz w:val="20"/>
                <w:szCs w:val="20"/>
                <w:color w:val="auto"/>
              </w:rPr>
            </w:pPr>
            <w:r>
              <w:rPr>
                <w:rFonts w:ascii="Arial" w:cs="Arial" w:eastAsia="Arial" w:hAnsi="Arial"/>
                <w:sz w:val="18"/>
                <w:szCs w:val="18"/>
                <w:color w:val="auto"/>
              </w:rPr>
              <w:t>Long-term debt—current portion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452,577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31,990</w:t>
            </w:r>
          </w:p>
        </w:tc>
        <w:tc>
          <w:tcPr>
            <w:tcW w:w="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Bank &amp; short-term loans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682,956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983,191</w:t>
            </w:r>
          </w:p>
        </w:tc>
        <w:tc>
          <w:tcPr>
            <w:tcW w:w="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6,450,918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6,217,785</w:t>
            </w:r>
          </w:p>
        </w:tc>
        <w:tc>
          <w:tcPr>
            <w:tcW w:w="60" w:type="dxa"/>
            <w:vAlign w:val="bottom"/>
            <w:shd w:val="clear" w:color="auto" w:fill="CCEEFF"/>
          </w:tcPr>
          <w:p>
            <w:pPr>
              <w:spacing w:after="0"/>
              <w:rPr>
                <w:sz w:val="18"/>
                <w:szCs w:val="18"/>
                <w:color w:val="auto"/>
              </w:rPr>
            </w:pPr>
          </w:p>
        </w:tc>
      </w:tr>
      <w:tr>
        <w:trPr>
          <w:trHeight w:val="216"/>
        </w:trPr>
        <w:tc>
          <w:tcPr>
            <w:tcW w:w="9160" w:type="dxa"/>
            <w:vAlign w:val="bottom"/>
            <w:gridSpan w:val="4"/>
          </w:tcPr>
          <w:p>
            <w:pPr>
              <w:ind w:left="20"/>
              <w:spacing w:after="0"/>
              <w:rPr>
                <w:sz w:val="20"/>
                <w:szCs w:val="20"/>
                <w:color w:val="auto"/>
              </w:rPr>
            </w:pPr>
            <w:r>
              <w:rPr>
                <w:rFonts w:ascii="Arial" w:cs="Arial" w:eastAsia="Arial" w:hAnsi="Arial"/>
                <w:sz w:val="18"/>
                <w:szCs w:val="18"/>
                <w:i w:val="1"/>
                <w:iCs w:val="1"/>
                <w:color w:val="auto"/>
              </w:rPr>
              <w:t>Long-term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6,028,549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6,215,709</w:t>
            </w:r>
          </w:p>
        </w:tc>
        <w:tc>
          <w:tcPr>
            <w:tcW w:w="60" w:type="dxa"/>
            <w:vAlign w:val="bottom"/>
          </w:tcPr>
          <w:p>
            <w:pPr>
              <w:spacing w:after="0"/>
              <w:rPr>
                <w:sz w:val="18"/>
                <w:szCs w:val="18"/>
                <w:color w:val="auto"/>
              </w:rPr>
            </w:pPr>
          </w:p>
        </w:tc>
      </w:tr>
      <w:tr>
        <w:trPr>
          <w:trHeight w:val="216"/>
        </w:trPr>
        <w:tc>
          <w:tcPr>
            <w:tcW w:w="9160" w:type="dxa"/>
            <w:vAlign w:val="bottom"/>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Postretirement Benefits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544,456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504,797</w:t>
            </w:r>
          </w:p>
        </w:tc>
        <w:tc>
          <w:tcPr>
            <w:tcW w:w="60" w:type="dxa"/>
            <w:vAlign w:val="bottom"/>
            <w:shd w:val="clear" w:color="auto" w:fill="CCEEFF"/>
          </w:tcPr>
          <w:p>
            <w:pPr>
              <w:spacing w:after="0"/>
              <w:rPr>
                <w:sz w:val="18"/>
                <w:szCs w:val="18"/>
                <w:color w:val="auto"/>
              </w:rPr>
            </w:pPr>
          </w:p>
        </w:tc>
      </w:tr>
      <w:tr>
        <w:trPr>
          <w:trHeight w:val="228"/>
        </w:trPr>
        <w:tc>
          <w:tcPr>
            <w:tcW w:w="9160" w:type="dxa"/>
            <w:vAlign w:val="bottom"/>
            <w:gridSpan w:val="4"/>
          </w:tcPr>
          <w:p>
            <w:pPr>
              <w:ind w:left="20"/>
              <w:spacing w:after="0"/>
              <w:rPr>
                <w:sz w:val="20"/>
                <w:szCs w:val="20"/>
                <w:color w:val="auto"/>
              </w:rPr>
            </w:pPr>
            <w:r>
              <w:rPr>
                <w:rFonts w:ascii="Arial" w:cs="Arial" w:eastAsia="Arial" w:hAnsi="Arial"/>
                <w:sz w:val="18"/>
                <w:szCs w:val="18"/>
                <w:i w:val="1"/>
                <w:iCs w:val="1"/>
                <w:color w:val="auto"/>
              </w:rPr>
              <w:t>Other Liabilities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251,607</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372,696</w:t>
            </w:r>
          </w:p>
        </w:tc>
        <w:tc>
          <w:tcPr>
            <w:tcW w:w="60" w:type="dxa"/>
            <w:vAlign w:val="bottom"/>
          </w:tcPr>
          <w:p>
            <w:pPr>
              <w:spacing w:after="0"/>
              <w:rPr>
                <w:sz w:val="19"/>
                <w:szCs w:val="19"/>
                <w:color w:val="auto"/>
              </w:rPr>
            </w:pPr>
          </w:p>
        </w:tc>
      </w:tr>
      <w:tr>
        <w:trPr>
          <w:trHeight w:val="96"/>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13,275,530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13,310,987</w:t>
            </w:r>
          </w:p>
        </w:tc>
        <w:tc>
          <w:tcPr>
            <w:tcW w:w="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60" w:type="dxa"/>
            <w:vAlign w:val="bottom"/>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Minority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553,527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636,899</w:t>
            </w:r>
          </w:p>
        </w:tc>
        <w:tc>
          <w:tcPr>
            <w:tcW w:w="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160" w:type="dxa"/>
            <w:vAlign w:val="bottom"/>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ind w:left="36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2,170,965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2,045,437</w:t>
            </w:r>
          </w:p>
        </w:tc>
        <w:tc>
          <w:tcPr>
            <w:tcW w:w="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Income retained for use in the business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5,560,712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8,314,766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gridSpan w:val="3"/>
          </w:tcPr>
          <w:p>
            <w:pPr>
              <w:ind w:left="360"/>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(1,578,358)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(1,694,884)</w:t>
            </w:r>
          </w:p>
        </w:tc>
      </w:tr>
      <w:tr>
        <w:trPr>
          <w:trHeight w:val="216"/>
        </w:trPr>
        <w:tc>
          <w:tcPr>
            <w:tcW w:w="2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(547,181)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(286,838)</w:t>
            </w: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5,606,138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8,378,481</w:t>
            </w:r>
          </w:p>
        </w:tc>
        <w:tc>
          <w:tcPr>
            <w:tcW w:w="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19,435,195</w:t>
            </w:r>
          </w:p>
        </w:tc>
        <w:tc>
          <w:tcPr>
            <w:tcW w:w="4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22,326,367</w:t>
            </w:r>
          </w:p>
        </w:tc>
        <w:tc>
          <w:tcPr>
            <w:tcW w:w="60" w:type="dxa"/>
            <w:vAlign w:val="bottom"/>
            <w:shd w:val="clear" w:color="auto" w:fill="CCEEFF"/>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-3811270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-3811270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-3811270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-3811270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-3811270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-3811270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18" w:name="page19"/>
    <w:bookmarkEnd w:id="18"/>
    <w:p>
      <w:pPr>
        <w:jc w:val="center"/>
        <w:ind w:left="260" w:right="240"/>
        <w:spacing w:after="0" w:line="42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LIMITED (SCHLUMBERGER N.V., INCORPORATED IN THE NETHERLANDS ANTILLES) AND SUBSIDIARY COMPANIES </w:t>
      </w:r>
      <w:r>
        <w:rPr>
          <w:rFonts w:ascii="Arial" w:cs="Arial" w:eastAsia="Arial" w:hAnsi="Arial"/>
          <w:sz w:val="18"/>
          <w:szCs w:val="18"/>
          <w:b w:val="1"/>
          <w:bCs w:val="1"/>
          <w:color w:val="auto"/>
        </w:rPr>
        <w:t>CONSOLIDATED STATEMENT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i w:val="1"/>
                <w:iCs w:val="1"/>
                <w:color w:val="auto"/>
                <w:w w:val="85"/>
              </w:rPr>
              <w:t>Year Ended December 31,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95"/>
        </w:trPr>
        <w:tc>
          <w:tcPr>
            <w:tcW w:w="7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7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i w:val="1"/>
                <w:iCs w:val="1"/>
                <w:color w:val="auto"/>
              </w:rPr>
              <w:t>2002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i w:val="1"/>
                <w:iCs w:val="1"/>
                <w:color w:val="auto"/>
                <w:w w:val="83"/>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i w:val="1"/>
                <w:iCs w:val="1"/>
                <w:color w:val="auto"/>
              </w:rPr>
              <w:t>2000</w:t>
            </w:r>
          </w:p>
        </w:tc>
        <w:tc>
          <w:tcPr>
            <w:tcW w:w="60" w:type="dxa"/>
            <w:vAlign w:val="bottom"/>
          </w:tcPr>
          <w:p>
            <w:pPr>
              <w:spacing w:after="0"/>
              <w:rPr>
                <w:sz w:val="22"/>
                <w:szCs w:val="22"/>
                <w:color w:val="auto"/>
              </w:rPr>
            </w:pPr>
          </w:p>
        </w:tc>
      </w:tr>
      <w:tr>
        <w:trPr>
          <w:trHeight w:val="95"/>
        </w:trPr>
        <w:tc>
          <w:tcPr>
            <w:tcW w:w="7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7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4"/>
          </w:tcPr>
          <w:p>
            <w:pPr>
              <w:jc w:val="center"/>
              <w:ind w:right="80"/>
              <w:spacing w:after="0"/>
              <w:rPr>
                <w:sz w:val="20"/>
                <w:szCs w:val="20"/>
                <w:color w:val="auto"/>
              </w:rPr>
            </w:pPr>
            <w:r>
              <w:rPr>
                <w:rFonts w:ascii="Arial" w:cs="Arial" w:eastAsia="Arial" w:hAnsi="Arial"/>
                <w:sz w:val="14"/>
                <w:szCs w:val="14"/>
                <w:i w:val="1"/>
                <w:iCs w:val="1"/>
                <w:color w:val="auto"/>
                <w:w w:val="85"/>
              </w:rPr>
              <w:t>(Stated in thousands)</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(2,417,529)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490,635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720,454</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640"/>
              <w:spacing w:after="0" w:line="217"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1,545,053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1,887,559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1,263,060</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Non-cash charges and gains on sale of businesses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3,196,923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640"/>
              <w:spacing w:after="0"/>
              <w:rPr>
                <w:sz w:val="20"/>
                <w:szCs w:val="20"/>
                <w:color w:val="auto"/>
              </w:rPr>
            </w:pPr>
            <w:r>
              <w:rPr>
                <w:rFonts w:ascii="Arial" w:cs="Arial" w:eastAsia="Arial" w:hAnsi="Arial"/>
                <w:sz w:val="18"/>
                <w:szCs w:val="18"/>
                <w:color w:val="auto"/>
              </w:rPr>
              <w:t>Gain on sale of drilling rigs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(86,858)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Earnings of companies carried at equity, less dividends received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(64,280)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(39,805)</w:t>
            </w:r>
          </w:p>
        </w:tc>
      </w:tr>
      <w:tr>
        <w:trPr>
          <w:trHeight w:val="216"/>
        </w:trPr>
        <w:tc>
          <w:tcPr>
            <w:tcW w:w="7940" w:type="dxa"/>
            <w:vAlign w:val="bottom"/>
          </w:tcPr>
          <w:p>
            <w:pPr>
              <w:ind w:left="64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45,529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5,257</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losses on accounts receivable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32,301</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Decrease (increase) in receivables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542,669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(907,535)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(364,130)</w:t>
            </w:r>
          </w:p>
        </w:tc>
      </w:tr>
      <w:tr>
        <w:trPr>
          <w:trHeight w:val="216"/>
        </w:trPr>
        <w:tc>
          <w:tcPr>
            <w:tcW w:w="7940" w:type="dxa"/>
            <w:vAlign w:val="bottom"/>
          </w:tcPr>
          <w:p>
            <w:pPr>
              <w:ind w:left="640"/>
              <w:spacing w:after="0"/>
              <w:rPr>
                <w:sz w:val="20"/>
                <w:szCs w:val="20"/>
                <w:color w:val="auto"/>
              </w:rPr>
            </w:pPr>
            <w:r>
              <w:rPr>
                <w:rFonts w:ascii="Arial" w:cs="Arial" w:eastAsia="Arial" w:hAnsi="Arial"/>
                <w:sz w:val="18"/>
                <w:szCs w:val="18"/>
                <w:color w:val="auto"/>
              </w:rPr>
              <w:t>Decrease (increase) in inventories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72,383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(259,290)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(194,640)</w:t>
            </w:r>
          </w:p>
        </w:tc>
      </w:tr>
      <w:tr>
        <w:trPr>
          <w:trHeight w:val="216"/>
        </w:trPr>
        <w:tc>
          <w:tcPr>
            <w:tcW w:w="7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Decrease (increase) in other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192,938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(38,656)</w:t>
            </w:r>
          </w:p>
        </w:tc>
      </w:tr>
      <w:tr>
        <w:trPr>
          <w:trHeight w:val="216"/>
        </w:trPr>
        <w:tc>
          <w:tcPr>
            <w:tcW w:w="7940" w:type="dxa"/>
            <w:vAlign w:val="bottom"/>
          </w:tcPr>
          <w:p>
            <w:pPr>
              <w:ind w:left="640"/>
              <w:spacing w:after="0"/>
              <w:rPr>
                <w:sz w:val="20"/>
                <w:szCs w:val="20"/>
                <w:color w:val="auto"/>
              </w:rPr>
            </w:pPr>
            <w:r>
              <w:rPr>
                <w:rFonts w:ascii="Arial" w:cs="Arial" w:eastAsia="Arial" w:hAnsi="Arial"/>
                <w:sz w:val="18"/>
                <w:szCs w:val="18"/>
                <w:color w:val="auto"/>
              </w:rPr>
              <w:t>(Decrease) increase in accounts payable and accrued liabilities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(592,878)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204,751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493,104</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Increase (decrease) in estimated liability for taxes on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(12,069)</w:t>
            </w:r>
          </w:p>
        </w:tc>
      </w:tr>
      <w:tr>
        <w:trPr>
          <w:trHeight w:val="216"/>
        </w:trPr>
        <w:tc>
          <w:tcPr>
            <w:tcW w:w="7940" w:type="dxa"/>
            <w:vAlign w:val="bottom"/>
          </w:tcPr>
          <w:p>
            <w:pPr>
              <w:ind w:left="640"/>
              <w:spacing w:after="0"/>
              <w:rPr>
                <w:sz w:val="20"/>
                <w:szCs w:val="20"/>
                <w:color w:val="auto"/>
              </w:rPr>
            </w:pPr>
            <w:r>
              <w:rPr>
                <w:rFonts w:ascii="Arial" w:cs="Arial" w:eastAsia="Arial" w:hAnsi="Arial"/>
                <w:sz w:val="18"/>
                <w:szCs w:val="18"/>
                <w:color w:val="auto"/>
              </w:rPr>
              <w:t>Increase in postretirement benefits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39,659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24,914</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(618,724)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(192,384)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(249,934)</w:t>
            </w:r>
          </w:p>
        </w:tc>
      </w:tr>
      <w:tr>
        <w:trPr>
          <w:trHeight w:val="108"/>
        </w:trPr>
        <w:tc>
          <w:tcPr>
            <w:tcW w:w="7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1,949,780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1,540,404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1,642,562</w:t>
            </w:r>
          </w:p>
        </w:tc>
        <w:tc>
          <w:tcPr>
            <w:tcW w:w="60" w:type="dxa"/>
            <w:vAlign w:val="bottom"/>
            <w:shd w:val="clear" w:color="auto" w:fill="CCEEFF"/>
          </w:tcPr>
          <w:p>
            <w:pPr>
              <w:spacing w:after="0"/>
              <w:rPr>
                <w:sz w:val="18"/>
                <w:szCs w:val="18"/>
                <w:color w:val="auto"/>
              </w:rPr>
            </w:pPr>
          </w:p>
        </w:tc>
      </w:tr>
      <w:tr>
        <w:trPr>
          <w:trHeight w:val="108"/>
        </w:trPr>
        <w:tc>
          <w:tcPr>
            <w:tcW w:w="7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Purchases of fixed assets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(1,365,996)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(2,044,008)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(1,316,611)</w:t>
            </w: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(344,705)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(416,188)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(222,934)</w:t>
            </w: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Sales/retirements of fixed assets &amp; other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276,022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149,494</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Sema plc</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(132,155)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(4,778,498)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Other business acquisitions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(44,431)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(452,951)</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(1,075,446)</w:t>
            </w: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acquisition related payments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(70,340)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Business divestitures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259,271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902,953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154,843</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 of drilling rigs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Option payment on sale of drilling rigs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24,900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 (purchase) of investments,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2,430,911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551,619</w:t>
            </w:r>
          </w:p>
        </w:tc>
        <w:tc>
          <w:tcPr>
            <w:tcW w:w="60" w:type="dxa"/>
            <w:vAlign w:val="bottom"/>
            <w:shd w:val="clear" w:color="auto" w:fill="CCEEFF"/>
          </w:tcPr>
          <w:p>
            <w:pPr>
              <w:spacing w:after="0"/>
              <w:rPr>
                <w:sz w:val="18"/>
                <w:szCs w:val="18"/>
                <w:color w:val="auto"/>
              </w:rPr>
            </w:pPr>
          </w:p>
        </w:tc>
      </w:tr>
      <w:tr>
        <w:trPr>
          <w:trHeight w:val="108"/>
        </w:trPr>
        <w:tc>
          <w:tcPr>
            <w:tcW w:w="7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(1,251,100)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(4,326,957)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(1,759,035)</w:t>
            </w:r>
          </w:p>
        </w:tc>
      </w:tr>
      <w:tr>
        <w:trPr>
          <w:trHeight w:val="108"/>
        </w:trPr>
        <w:tc>
          <w:tcPr>
            <w:tcW w:w="7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(433,134)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(430,328)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(426,465)</w:t>
            </w: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107,810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69,089</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67,275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42,795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160,281</w:t>
            </w:r>
          </w:p>
        </w:tc>
        <w:tc>
          <w:tcPr>
            <w:tcW w:w="60" w:type="dxa"/>
            <w:vAlign w:val="bottom"/>
          </w:tcPr>
          <w:p>
            <w:pPr>
              <w:spacing w:after="0"/>
              <w:rPr>
                <w:sz w:val="18"/>
                <w:szCs w:val="18"/>
                <w:color w:val="auto"/>
              </w:rPr>
            </w:pP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933,709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4,815,028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956,641</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320"/>
              <w:spacing w:after="0"/>
              <w:rPr>
                <w:sz w:val="20"/>
                <w:szCs w:val="20"/>
                <w:color w:val="auto"/>
              </w:rPr>
            </w:pPr>
            <w:r>
              <w:rPr>
                <w:rFonts w:ascii="Arial" w:cs="Arial" w:eastAsia="Arial" w:hAnsi="Arial"/>
                <w:sz w:val="18"/>
                <w:szCs w:val="18"/>
                <w:color w:val="auto"/>
              </w:rPr>
              <w:t>Payments of principal on long-term debt</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(1,179,321)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(2,092,670)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(724,911)</w:t>
            </w:r>
          </w:p>
        </w:tc>
      </w:tr>
      <w:tr>
        <w:trPr>
          <w:trHeight w:val="216"/>
        </w:trPr>
        <w:tc>
          <w:tcPr>
            <w:tcW w:w="7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 increase in short-term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(308,623)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113,608</w:t>
            </w:r>
          </w:p>
        </w:tc>
        <w:tc>
          <w:tcPr>
            <w:tcW w:w="60" w:type="dxa"/>
            <w:vAlign w:val="bottom"/>
            <w:shd w:val="clear" w:color="auto" w:fill="CCEEFF"/>
          </w:tcPr>
          <w:p>
            <w:pPr>
              <w:spacing w:after="0"/>
              <w:rPr>
                <w:sz w:val="18"/>
                <w:szCs w:val="18"/>
                <w:color w:val="auto"/>
              </w:rPr>
            </w:pPr>
          </w:p>
        </w:tc>
      </w:tr>
      <w:tr>
        <w:trPr>
          <w:trHeight w:val="108"/>
        </w:trPr>
        <w:tc>
          <w:tcPr>
            <w:tcW w:w="7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(812,284)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2,784,398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148,243</w:t>
            </w:r>
          </w:p>
        </w:tc>
        <w:tc>
          <w:tcPr>
            <w:tcW w:w="60" w:type="dxa"/>
            <w:vAlign w:val="bottom"/>
            <w:shd w:val="clear" w:color="auto" w:fill="CCEEFF"/>
          </w:tcPr>
          <w:p>
            <w:pPr>
              <w:spacing w:after="0"/>
              <w:rPr>
                <w:sz w:val="18"/>
                <w:szCs w:val="18"/>
                <w:color w:val="auto"/>
              </w:rPr>
            </w:pPr>
          </w:p>
        </w:tc>
      </w:tr>
      <w:tr>
        <w:trPr>
          <w:trHeight w:val="108"/>
        </w:trPr>
        <w:tc>
          <w:tcPr>
            <w:tcW w:w="7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60" w:type="dxa"/>
            <w:vAlign w:val="bottom"/>
            <w:shd w:val="clear" w:color="auto" w:fill="CCEEFF"/>
          </w:tcPr>
          <w:p>
            <w:pPr>
              <w:spacing w:after="0"/>
              <w:rPr>
                <w:sz w:val="18"/>
                <w:szCs w:val="18"/>
                <w:color w:val="auto"/>
              </w:rPr>
            </w:pPr>
          </w:p>
        </w:tc>
      </w:tr>
      <w:tr>
        <w:trPr>
          <w:trHeight w:val="108"/>
        </w:trPr>
        <w:tc>
          <w:tcPr>
            <w:tcW w:w="7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before translation effect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(16,180)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47,202</w:t>
            </w:r>
          </w:p>
        </w:tc>
        <w:tc>
          <w:tcPr>
            <w:tcW w:w="60" w:type="dxa"/>
            <w:vAlign w:val="bottom"/>
            <w:shd w:val="clear" w:color="auto" w:fill="CCEEFF"/>
          </w:tcPr>
          <w:p>
            <w:pPr>
              <w:spacing w:after="0"/>
              <w:rPr>
                <w:sz w:val="18"/>
                <w:szCs w:val="18"/>
                <w:color w:val="auto"/>
              </w:rPr>
            </w:pPr>
          </w:p>
        </w:tc>
      </w:tr>
      <w:tr>
        <w:trPr>
          <w:trHeight w:val="216"/>
        </w:trPr>
        <w:tc>
          <w:tcPr>
            <w:tcW w:w="7940" w:type="dxa"/>
            <w:vAlign w:val="bottom"/>
          </w:tcPr>
          <w:p>
            <w:pPr>
              <w:ind w:left="20"/>
              <w:spacing w:after="0"/>
              <w:rPr>
                <w:sz w:val="20"/>
                <w:szCs w:val="20"/>
                <w:color w:val="auto"/>
              </w:rPr>
            </w:pPr>
            <w:r>
              <w:rPr>
                <w:rFonts w:ascii="Arial" w:cs="Arial" w:eastAsia="Arial" w:hAnsi="Arial"/>
                <w:sz w:val="18"/>
                <w:szCs w:val="18"/>
                <w:color w:val="auto"/>
              </w:rPr>
              <w:t>Translation effect on cash</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6,586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(12,374)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(19,073)</w:t>
            </w: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177,704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132,589</w:t>
            </w:r>
          </w:p>
        </w:tc>
        <w:tc>
          <w:tcPr>
            <w:tcW w:w="60" w:type="dxa"/>
            <w:vAlign w:val="bottom"/>
            <w:shd w:val="clear" w:color="auto" w:fill="CCEEFF"/>
          </w:tcPr>
          <w:p>
            <w:pPr>
              <w:spacing w:after="0"/>
              <w:rPr>
                <w:sz w:val="18"/>
                <w:szCs w:val="18"/>
                <w:color w:val="auto"/>
              </w:rPr>
            </w:pPr>
          </w:p>
        </w:tc>
      </w:tr>
      <w:tr>
        <w:trPr>
          <w:trHeight w:val="108"/>
        </w:trPr>
        <w:tc>
          <w:tcPr>
            <w:tcW w:w="7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168,110</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160,718</w:t>
            </w:r>
          </w:p>
        </w:tc>
        <w:tc>
          <w:tcPr>
            <w:tcW w:w="60" w:type="dxa"/>
            <w:vAlign w:val="bottom"/>
            <w:shd w:val="clear" w:color="auto" w:fill="CCEEFF"/>
          </w:tcPr>
          <w:p>
            <w:pPr>
              <w:spacing w:after="0"/>
              <w:rPr>
                <w:sz w:val="18"/>
                <w:szCs w:val="18"/>
                <w:color w:val="auto"/>
              </w:rPr>
            </w:pPr>
          </w:p>
        </w:tc>
      </w:tr>
      <w:tr>
        <w:trPr>
          <w:trHeight w:val="132"/>
        </w:trPr>
        <w:tc>
          <w:tcPr>
            <w:tcW w:w="7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6000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200" w:val="left"/>
        </w:tabs>
        <w:rPr>
          <w:sz w:val="20"/>
          <w:szCs w:val="20"/>
          <w:color w:val="auto"/>
        </w:rPr>
      </w:pPr>
      <w:r>
        <w:rPr>
          <w:rFonts w:ascii="Arial" w:cs="Arial" w:eastAsia="Arial" w:hAnsi="Arial"/>
          <w:sz w:val="22"/>
          <w:szCs w:val="22"/>
          <w:color w:val="auto"/>
          <w:vertAlign w:val="superscript"/>
        </w:rPr>
        <w:t>1</w:t>
      </w:r>
      <w:r>
        <w:rPr>
          <w:sz w:val="20"/>
          <w:szCs w:val="20"/>
          <w:color w:val="auto"/>
        </w:rPr>
        <w:tab/>
      </w:r>
      <w:r>
        <w:rPr>
          <w:rFonts w:ascii="Arial" w:cs="Arial" w:eastAsia="Arial" w:hAnsi="Arial"/>
          <w:sz w:val="18"/>
          <w:szCs w:val="18"/>
          <w:color w:val="auto"/>
        </w:rPr>
        <w:t>Includes multiclient seismic data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 INCORPORATED IN THE NETHERLANDS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ANTILLES) AND SUBSIDIARY COMPANIES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11"/>
          </w:tcPr>
          <w:p>
            <w:pPr>
              <w:jc w:val="right"/>
              <w:ind w:right="560"/>
              <w:spacing w:after="0"/>
              <w:rPr>
                <w:sz w:val="20"/>
                <w:szCs w:val="20"/>
                <w:color w:val="auto"/>
              </w:rPr>
            </w:pPr>
            <w:r>
              <w:rPr>
                <w:rFonts w:ascii="Arial" w:cs="Arial" w:eastAsia="Arial" w:hAnsi="Arial"/>
                <w:sz w:val="14"/>
                <w:szCs w:val="14"/>
                <w:b w:val="1"/>
                <w:bCs w:val="1"/>
                <w:color w:val="auto"/>
                <w:w w:val="89"/>
              </w:rPr>
              <w:t>Accumulated Other Comprehensive Income</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4100" w:type="dxa"/>
            <w:vAlign w:val="bottom"/>
          </w:tcPr>
          <w:p>
            <w:pPr>
              <w:spacing w:after="0"/>
              <w:rPr>
                <w:sz w:val="15"/>
                <w:szCs w:val="15"/>
                <w:color w:val="auto"/>
              </w:rPr>
            </w:pPr>
          </w:p>
        </w:tc>
        <w:tc>
          <w:tcPr>
            <w:tcW w:w="20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4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4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20"/>
                <w:szCs w:val="20"/>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Marked to</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0"/>
              </w:rPr>
              <w:t>Pension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4"/>
              </w:rPr>
              <w:t>Translation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89"/>
              </w:rPr>
              <w:t>Comprehensive</w:t>
            </w:r>
          </w:p>
        </w:tc>
      </w:tr>
      <w:tr>
        <w:trPr>
          <w:trHeight w:val="174"/>
        </w:trPr>
        <w:tc>
          <w:tcPr>
            <w:tcW w:w="410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In Treasury</w:t>
            </w:r>
          </w:p>
        </w:tc>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Liability</w:t>
            </w:r>
          </w:p>
        </w:tc>
        <w:tc>
          <w:tcPr>
            <w:tcW w:w="20" w:type="dxa"/>
            <w:vAlign w:val="bottom"/>
          </w:tcPr>
          <w:p>
            <w:pPr>
              <w:spacing w:after="0"/>
              <w:rPr>
                <w:sz w:val="15"/>
                <w:szCs w:val="15"/>
                <w:color w:val="auto"/>
              </w:rPr>
            </w:pPr>
          </w:p>
        </w:tc>
        <w:tc>
          <w:tcPr>
            <w:tcW w:w="11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Adjustment</w:t>
            </w:r>
          </w:p>
        </w:tc>
        <w:tc>
          <w:tcPr>
            <w:tcW w:w="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Income (loss)</w:t>
            </w:r>
          </w:p>
        </w:tc>
      </w:tr>
      <w:tr>
        <w:trPr>
          <w:trHeight w:val="95"/>
        </w:trPr>
        <w:tc>
          <w:tcPr>
            <w:tcW w:w="41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6"/>
          </w:tcPr>
          <w:p>
            <w:pPr>
              <w:jc w:val="right"/>
              <w:ind w:right="20"/>
              <w:spacing w:after="0"/>
              <w:rPr>
                <w:sz w:val="20"/>
                <w:szCs w:val="20"/>
                <w:color w:val="auto"/>
              </w:rPr>
            </w:pPr>
            <w:r>
              <w:rPr>
                <w:rFonts w:ascii="Arial" w:cs="Arial" w:eastAsia="Arial" w:hAnsi="Arial"/>
                <w:sz w:val="14"/>
                <w:szCs w:val="14"/>
                <w:i w:val="1"/>
                <w:iCs w:val="1"/>
                <w:color w:val="auto"/>
                <w:w w:val="96"/>
              </w:rPr>
              <w:t>(Stated in thousands)</w:t>
            </w: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95"/>
        </w:trPr>
        <w:tc>
          <w:tcPr>
            <w:tcW w:w="4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$1,820,186</w:t>
            </w:r>
          </w:p>
        </w:tc>
        <w:tc>
          <w:tcPr>
            <w:tcW w:w="142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(1,878,612)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$ 7,916,612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(137,158)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311,016</w:t>
            </w:r>
          </w:p>
        </w:tc>
        <w:tc>
          <w:tcPr>
            <w:tcW w:w="60" w:type="dxa"/>
            <w:vAlign w:val="bottom"/>
            <w:shd w:val="clear" w:color="auto" w:fill="CCEEFF"/>
          </w:tcPr>
          <w:p>
            <w:pPr>
              <w:spacing w:after="0"/>
              <w:rPr>
                <w:sz w:val="12"/>
                <w:szCs w:val="12"/>
                <w:color w:val="auto"/>
              </w:rPr>
            </w:pPr>
          </w:p>
        </w:tc>
      </w:tr>
      <w:tr>
        <w:trPr>
          <w:trHeight w:val="132"/>
        </w:trPr>
        <w:tc>
          <w:tcPr>
            <w:tcW w:w="4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(28,487)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(28,487)</w:t>
            </w: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Sales of businesses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26,441</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26,441</w:t>
            </w: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61,224</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99,057</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42,495</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26,594</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734,596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734,596</w:t>
            </w: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(427,732)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08"/>
        </w:trPr>
        <w:tc>
          <w:tcPr>
            <w:tcW w:w="4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1,963,905</w:t>
            </w:r>
          </w:p>
        </w:tc>
        <w:tc>
          <w:tcPr>
            <w:tcW w:w="142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(1,752,961)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8,223,476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(139,204)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732,550</w:t>
            </w:r>
          </w:p>
        </w:tc>
        <w:tc>
          <w:tcPr>
            <w:tcW w:w="60" w:type="dxa"/>
            <w:vAlign w:val="bottom"/>
            <w:shd w:val="clear" w:color="auto" w:fill="CCEEFF"/>
          </w:tcPr>
          <w:p>
            <w:pPr>
              <w:spacing w:after="0"/>
              <w:rPr>
                <w:sz w:val="12"/>
                <w:szCs w:val="12"/>
                <w:color w:val="auto"/>
              </w:rPr>
            </w:pPr>
          </w:p>
        </w:tc>
      </w:tr>
      <w:tr>
        <w:trPr>
          <w:trHeight w:val="132"/>
        </w:trPr>
        <w:tc>
          <w:tcPr>
            <w:tcW w:w="4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(171,930)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(171,930)</w:t>
            </w: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RMS disposition</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73,865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73,865</w:t>
            </w: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(49,569)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(49,569)</w:t>
            </w: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17,130</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25,420</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46,397</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32,568</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522,217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522,217</w:t>
            </w: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(430,927)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17,849</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08"/>
        </w:trPr>
        <w:tc>
          <w:tcPr>
            <w:tcW w:w="4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2,045,437</w:t>
            </w:r>
          </w:p>
        </w:tc>
        <w:tc>
          <w:tcPr>
            <w:tcW w:w="142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(1,694,884)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8,314,766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(49,569)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(237,269)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374,583</w:t>
            </w:r>
          </w:p>
        </w:tc>
        <w:tc>
          <w:tcPr>
            <w:tcW w:w="60" w:type="dxa"/>
            <w:vAlign w:val="bottom"/>
            <w:shd w:val="clear" w:color="auto" w:fill="CCEEFF"/>
          </w:tcPr>
          <w:p>
            <w:pPr>
              <w:spacing w:after="0"/>
              <w:rPr>
                <w:sz w:val="12"/>
                <w:szCs w:val="12"/>
                <w:color w:val="auto"/>
              </w:rPr>
            </w:pPr>
          </w:p>
        </w:tc>
      </w:tr>
      <w:tr>
        <w:trPr>
          <w:trHeight w:val="132"/>
        </w:trPr>
        <w:tc>
          <w:tcPr>
            <w:tcW w:w="4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(55,422)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(55,422)</w:t>
            </w: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Reed Hycalog disposition</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22,063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22,063</w:t>
            </w: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(33,291)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(33,291)</w:t>
            </w: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Minimum pension liability (US/UK Plans)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(313,564)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(313,564)</w:t>
            </w: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Investment Grant Prideco stock</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9,871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9,871</w:t>
            </w: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to optionees less shares exchanged</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25,410</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41,671</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58,056</w:t>
            </w: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49,754</w:t>
            </w: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7"/>
              </w:rPr>
              <w:t>(2,319,995)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(2,319,995)</w:t>
            </w: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($0.75 per share)</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(434,059)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Arial" w:cs="Arial" w:eastAsia="Arial" w:hAnsi="Arial"/>
                <w:sz w:val="14"/>
                <w:szCs w:val="14"/>
                <w:color w:val="auto"/>
              </w:rPr>
              <w:t>Technoguide acquisition</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34,496</w:t>
            </w: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25,036</w:t>
            </w: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7,437</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08"/>
        </w:trPr>
        <w:tc>
          <w:tcPr>
            <w:tcW w:w="41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$2,170,965</w:t>
            </w:r>
          </w:p>
        </w:tc>
        <w:tc>
          <w:tcPr>
            <w:tcW w:w="142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 (1,578,358)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$ 5,560,712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(72,989)</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(203,564)</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(270,628)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(2,580,338)</w:t>
            </w:r>
          </w:p>
        </w:tc>
      </w:tr>
      <w:tr>
        <w:trPr>
          <w:trHeight w:val="132"/>
        </w:trPr>
        <w:tc>
          <w:tcPr>
            <w:tcW w:w="41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-3973830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-3973830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-3973830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-2910840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-2910840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-2910840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-1658620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-1658620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-1658620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-29210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20" w:name="page21"/>
    <w:bookmarkEnd w:id="20"/>
    <w:p>
      <w:pPr>
        <w:jc w:val="center"/>
        <w:ind w:left="260" w:right="240"/>
        <w:spacing w:after="0" w:line="42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SCHLUMBERGER LIMITED (SCHLUMBERGER N.V., INCORPORATED IN THE NETHERLANDS ANTILLES) AND SUBSIDIARY COMPANIES </w:t>
      </w:r>
      <w:r>
        <w:rPr>
          <w:rFonts w:ascii="Arial" w:cs="Arial" w:eastAsia="Arial" w:hAnsi="Arial"/>
          <w:sz w:val="18"/>
          <w:szCs w:val="18"/>
          <w:b w:val="1"/>
          <w:bCs w:val="1"/>
          <w:color w:val="auto"/>
        </w:rPr>
        <w:t>SHARES OF COMMON STOCK</w:t>
      </w:r>
    </w:p>
    <w:tbl>
      <w:tblPr>
        <w:tblLayout w:type="fixed"/>
        <w:tblInd w:w="0" w:type="dxa"/>
        <w:tblCellMar>
          <w:top w:w="0" w:type="dxa"/>
          <w:left w:w="0" w:type="dxa"/>
          <w:bottom w:w="0" w:type="dxa"/>
          <w:right w:w="0" w:type="dxa"/>
        </w:tblCellMar>
      </w:tblPr>
      <w:tr>
        <w:trPr>
          <w:trHeight w:val="174"/>
        </w:trPr>
        <w:tc>
          <w:tcPr>
            <w:tcW w:w="7320" w:type="dxa"/>
            <w:vAlign w:val="bottom"/>
          </w:tcPr>
          <w:p>
            <w:pPr>
              <w:spacing w:after="0"/>
              <w:rPr>
                <w:sz w:val="15"/>
                <w:szCs w:val="15"/>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Issued</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 Treasury</w:t>
            </w:r>
          </w:p>
        </w:tc>
        <w:tc>
          <w:tcPr>
            <w:tcW w:w="1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Shares Outstanding</w:t>
            </w:r>
          </w:p>
        </w:tc>
        <w:tc>
          <w:tcPr>
            <w:tcW w:w="0" w:type="dxa"/>
            <w:vAlign w:val="bottom"/>
          </w:tcPr>
          <w:p>
            <w:pPr>
              <w:spacing w:after="0"/>
              <w:rPr>
                <w:sz w:val="1"/>
                <w:szCs w:val="1"/>
                <w:color w:val="auto"/>
              </w:rPr>
            </w:pPr>
          </w:p>
        </w:tc>
      </w:tr>
      <w:tr>
        <w:trPr>
          <w:trHeight w:val="95"/>
        </w:trPr>
        <w:tc>
          <w:tcPr>
            <w:tcW w:w="73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 2000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667,054,806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(101,123,676)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565,931,130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1,431,309</w:t>
            </w:r>
          </w:p>
        </w:tc>
        <w:tc>
          <w:tcPr>
            <w:tcW w:w="3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1,431,309</w:t>
            </w:r>
          </w:p>
        </w:tc>
        <w:tc>
          <w:tcPr>
            <w:tcW w:w="0" w:type="dxa"/>
            <w:vAlign w:val="bottom"/>
          </w:tcPr>
          <w:p>
            <w:pPr>
              <w:spacing w:after="0"/>
              <w:rPr>
                <w:sz w:val="1"/>
                <w:szCs w:val="1"/>
                <w:color w:val="auto"/>
              </w:rPr>
            </w:pPr>
          </w:p>
        </w:tc>
      </w:tr>
      <w:tr>
        <w:trPr>
          <w:trHeight w:val="110"/>
        </w:trPr>
        <w:tc>
          <w:tcPr>
            <w:tcW w:w="7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Sold to optionees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5,331,268</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5,362,255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667,085,793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(94,361,099)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572,724,694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1,752,833</w:t>
            </w:r>
          </w:p>
        </w:tc>
        <w:tc>
          <w:tcPr>
            <w:tcW w:w="3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1,752,833</w:t>
            </w:r>
          </w:p>
        </w:tc>
        <w:tc>
          <w:tcPr>
            <w:tcW w:w="0" w:type="dxa"/>
            <w:vAlign w:val="bottom"/>
          </w:tcPr>
          <w:p>
            <w:pPr>
              <w:spacing w:after="0"/>
              <w:rPr>
                <w:sz w:val="1"/>
                <w:szCs w:val="1"/>
                <w:color w:val="auto"/>
              </w:rPr>
            </w:pPr>
          </w:p>
        </w:tc>
      </w:tr>
      <w:tr>
        <w:trPr>
          <w:trHeight w:val="110"/>
        </w:trPr>
        <w:tc>
          <w:tcPr>
            <w:tcW w:w="7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granted to Directors</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tcPr>
          <w:p>
            <w:pPr>
              <w:ind w:left="20"/>
              <w:spacing w:after="0"/>
              <w:rPr>
                <w:sz w:val="20"/>
                <w:szCs w:val="20"/>
                <w:color w:val="auto"/>
              </w:rPr>
            </w:pPr>
            <w:r>
              <w:rPr>
                <w:rFonts w:ascii="Arial" w:cs="Arial" w:eastAsia="Arial" w:hAnsi="Arial"/>
                <w:sz w:val="18"/>
                <w:szCs w:val="18"/>
                <w:color w:val="auto"/>
              </w:rPr>
              <w:t>Sold to optionees</w:t>
            </w:r>
          </w:p>
        </w:tc>
        <w:tc>
          <w:tcPr>
            <w:tcW w:w="1220" w:type="dxa"/>
            <w:vAlign w:val="bottom"/>
          </w:tcPr>
          <w:p>
            <w:pPr>
              <w:jc w:val="right"/>
              <w:spacing w:after="0"/>
              <w:rPr>
                <w:sz w:val="20"/>
                <w:szCs w:val="20"/>
                <w:color w:val="auto"/>
              </w:rPr>
            </w:pPr>
            <w:r>
              <w:rPr>
                <w:rFonts w:ascii="Arial" w:cs="Arial" w:eastAsia="Arial" w:hAnsi="Arial"/>
                <w:sz w:val="18"/>
                <w:szCs w:val="18"/>
                <w:color w:val="auto"/>
              </w:rPr>
              <w:t>8,385</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1,399,686</w:t>
            </w:r>
          </w:p>
        </w:tc>
        <w:tc>
          <w:tcPr>
            <w:tcW w:w="3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1,408,071</w:t>
            </w:r>
          </w:p>
        </w:tc>
        <w:tc>
          <w:tcPr>
            <w:tcW w:w="0" w:type="dxa"/>
            <w:vAlign w:val="bottom"/>
          </w:tcPr>
          <w:p>
            <w:pPr>
              <w:spacing w:after="0"/>
              <w:rPr>
                <w:sz w:val="1"/>
                <w:szCs w:val="1"/>
                <w:color w:val="auto"/>
              </w:rPr>
            </w:pPr>
          </w:p>
        </w:tc>
      </w:tr>
      <w:tr>
        <w:trPr>
          <w:trHeight w:val="110"/>
        </w:trPr>
        <w:tc>
          <w:tcPr>
            <w:tcW w:w="73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2001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667,094,178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(91,203,780)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575,890,398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2,677,842</w:t>
            </w:r>
          </w:p>
        </w:tc>
        <w:tc>
          <w:tcPr>
            <w:tcW w:w="3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2,677,842</w:t>
            </w:r>
          </w:p>
        </w:tc>
        <w:tc>
          <w:tcPr>
            <w:tcW w:w="0" w:type="dxa"/>
            <w:vAlign w:val="bottom"/>
          </w:tcPr>
          <w:p>
            <w:pPr>
              <w:spacing w:after="0"/>
              <w:rPr>
                <w:sz w:val="1"/>
                <w:szCs w:val="1"/>
                <w:color w:val="auto"/>
              </w:rPr>
            </w:pPr>
          </w:p>
        </w:tc>
      </w:tr>
      <w:tr>
        <w:trPr>
          <w:trHeight w:val="110"/>
        </w:trPr>
        <w:tc>
          <w:tcPr>
            <w:tcW w:w="7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granted to Directors</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320" w:type="dxa"/>
            <w:vAlign w:val="bottom"/>
          </w:tcPr>
          <w:p>
            <w:pPr>
              <w:ind w:left="20"/>
              <w:spacing w:after="0"/>
              <w:rPr>
                <w:sz w:val="20"/>
                <w:szCs w:val="20"/>
                <w:color w:val="auto"/>
              </w:rPr>
            </w:pPr>
            <w:r>
              <w:rPr>
                <w:rFonts w:ascii="Arial" w:cs="Arial" w:eastAsia="Arial" w:hAnsi="Arial"/>
                <w:sz w:val="18"/>
                <w:szCs w:val="18"/>
                <w:color w:val="auto"/>
              </w:rPr>
              <w:t>Sold to optionees</w:t>
            </w:r>
          </w:p>
        </w:tc>
        <w:tc>
          <w:tcPr>
            <w:tcW w:w="1220" w:type="dxa"/>
            <w:vAlign w:val="bottom"/>
          </w:tcPr>
          <w:p>
            <w:pPr>
              <w:jc w:val="right"/>
              <w:spacing w:after="0"/>
              <w:rPr>
                <w:sz w:val="20"/>
                <w:szCs w:val="20"/>
                <w:color w:val="auto"/>
              </w:rPr>
            </w:pPr>
            <w:r>
              <w:rPr>
                <w:rFonts w:ascii="Arial" w:cs="Arial" w:eastAsia="Arial" w:hAnsi="Arial"/>
                <w:sz w:val="18"/>
                <w:szCs w:val="18"/>
                <w:color w:val="auto"/>
              </w:rPr>
              <w:t>10,490</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2,243,400</w:t>
            </w:r>
          </w:p>
        </w:tc>
        <w:tc>
          <w:tcPr>
            <w:tcW w:w="38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2,253,890</w:t>
            </w:r>
          </w:p>
        </w:tc>
        <w:tc>
          <w:tcPr>
            <w:tcW w:w="0" w:type="dxa"/>
            <w:vAlign w:val="bottom"/>
          </w:tcPr>
          <w:p>
            <w:pPr>
              <w:spacing w:after="0"/>
              <w:rPr>
                <w:sz w:val="1"/>
                <w:szCs w:val="1"/>
                <w:color w:val="auto"/>
              </w:rPr>
            </w:pPr>
          </w:p>
        </w:tc>
      </w:tr>
      <w:tr>
        <w:trPr>
          <w:trHeight w:val="110"/>
        </w:trPr>
        <w:tc>
          <w:tcPr>
            <w:tcW w:w="7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Technoguide</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2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2002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667,104,668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(84,931,553)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582,173,115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Notes to Consolidated Financial Statements</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Description</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Founded in 1927, Schlumberger Limited is a global technology services company consisting of three business segments: first, Schlumberger Oilfield Services, one of the leading providers of technology services and solutions to the international petroleum industry; second, SchlumbergerSema, an IT services company providing consulting and systems integration services, and network and infrastructure solutions, primarily to the global energy sector, including oil and gas, and other regional markets spanning the telecommunications, finance and public sectors and third, the Other business segment which principally comprises the Cards, Terminals, Meters North America and NPTest activities.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Accounting Policies</w:t>
      </w:r>
    </w:p>
    <w:p>
      <w:pPr>
        <w:spacing w:after="0" w:line="8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Consolidated Financial Statements of Schlumberger Limited and its subsidiaries have been prepared in accordance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On December 20, 2002, Schlumberger completed the sale of its Reed Hycalog drillbits business. The proceeds included $259 million in cash and 9.7 million unrestricted shares of Grant Prideco common stock with a value of $103 million. The results for the Reed Hycalog operations are reported as </w:t>
      </w: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in the Consolidated Statement of Income and, in 2002, includes results of operations of $32 million and gain on sale of $66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assets sold were approximately $185 million.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and operating income from discontinued operating for 2002, 2001, 2000 were as follows:</w:t>
      </w:r>
    </w:p>
    <w:p>
      <w:pPr>
        <w:spacing w:after="0" w:line="153"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580" w:type="dxa"/>
            <w:vAlign w:val="bottom"/>
            <w:gridSpan w:val="3"/>
          </w:tcPr>
          <w:p>
            <w:pPr>
              <w:ind w:left="2080"/>
              <w:spacing w:after="0"/>
              <w:rPr>
                <w:sz w:val="20"/>
                <w:szCs w:val="20"/>
                <w:color w:val="auto"/>
              </w:rPr>
            </w:pPr>
            <w:r>
              <w:rPr>
                <w:rFonts w:ascii="Arial" w:cs="Arial" w:eastAsia="Arial" w:hAnsi="Arial"/>
                <w:sz w:val="14"/>
                <w:szCs w:val="14"/>
                <w:b w:val="1"/>
                <w:bCs w:val="1"/>
                <w:color w:val="auto"/>
                <w:w w:val="82"/>
              </w:rPr>
              <w:t>Revenue</w:t>
            </w:r>
          </w:p>
        </w:tc>
        <w:tc>
          <w:tcPr>
            <w:tcW w:w="18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Operating Income</w:t>
            </w:r>
          </w:p>
        </w:tc>
      </w:tr>
      <w:tr>
        <w:trPr>
          <w:trHeight w:val="95"/>
        </w:trPr>
        <w:tc>
          <w:tcPr>
            <w:tcW w:w="2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50"/>
        </w:trPr>
        <w:tc>
          <w:tcPr>
            <w:tcW w:w="24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ind w:left="200"/>
              <w:spacing w:after="0"/>
              <w:rPr>
                <w:sz w:val="20"/>
                <w:szCs w:val="20"/>
                <w:color w:val="auto"/>
              </w:rPr>
            </w:pPr>
            <w:r>
              <w:rPr>
                <w:rFonts w:ascii="Arial" w:cs="Arial" w:eastAsia="Arial" w:hAnsi="Arial"/>
                <w:sz w:val="14"/>
                <w:szCs w:val="14"/>
                <w:i w:val="1"/>
                <w:iCs w:val="1"/>
                <w:color w:val="auto"/>
                <w:w w:val="97"/>
              </w:rPr>
              <w:t>(Stated in millions)</w:t>
            </w:r>
          </w:p>
        </w:tc>
        <w:tc>
          <w:tcPr>
            <w:tcW w:w="280" w:type="dxa"/>
            <w:vAlign w:val="bottom"/>
          </w:tcPr>
          <w:p>
            <w:pPr>
              <w:spacing w:after="0"/>
              <w:rPr>
                <w:sz w:val="21"/>
                <w:szCs w:val="21"/>
                <w:color w:val="auto"/>
              </w:rPr>
            </w:pPr>
          </w:p>
        </w:tc>
      </w:tr>
      <w:tr>
        <w:trPr>
          <w:trHeight w:val="216"/>
        </w:trPr>
        <w:tc>
          <w:tcPr>
            <w:tcW w:w="2420" w:type="dxa"/>
            <w:vAlign w:val="bottom"/>
            <w:shd w:val="clear" w:color="auto" w:fill="CCEEFF"/>
          </w:tcPr>
          <w:p>
            <w:pPr>
              <w:jc w:val="right"/>
              <w:ind w:right="1972"/>
              <w:spacing w:after="0"/>
              <w:rPr>
                <w:sz w:val="20"/>
                <w:szCs w:val="20"/>
                <w:color w:val="auto"/>
              </w:rPr>
            </w:pPr>
            <w:r>
              <w:rPr>
                <w:rFonts w:ascii="Arial" w:cs="Arial" w:eastAsia="Arial" w:hAnsi="Arial"/>
                <w:sz w:val="18"/>
                <w:szCs w:val="18"/>
                <w:b w:val="1"/>
                <w:bCs w:val="1"/>
                <w:color w:val="auto"/>
                <w:w w:val="84"/>
              </w:rPr>
              <w:t>2002</w:t>
            </w:r>
          </w:p>
        </w:tc>
        <w:tc>
          <w:tcPr>
            <w:tcW w:w="2240" w:type="dxa"/>
            <w:vAlign w:val="bottom"/>
            <w:gridSpan w:val="2"/>
            <w:shd w:val="clear" w:color="auto" w:fill="CCEEFF"/>
          </w:tcPr>
          <w:p>
            <w:pPr>
              <w:ind w:left="20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r>
      <w:tr>
        <w:trPr>
          <w:trHeight w:val="216"/>
        </w:trPr>
        <w:tc>
          <w:tcPr>
            <w:tcW w:w="2420" w:type="dxa"/>
            <w:vAlign w:val="bottom"/>
          </w:tcPr>
          <w:p>
            <w:pPr>
              <w:jc w:val="right"/>
              <w:ind w:right="1972"/>
              <w:spacing w:after="0"/>
              <w:rPr>
                <w:sz w:val="20"/>
                <w:szCs w:val="20"/>
                <w:color w:val="auto"/>
              </w:rPr>
            </w:pPr>
            <w:r>
              <w:rPr>
                <w:rFonts w:ascii="Arial" w:cs="Arial" w:eastAsia="Arial" w:hAnsi="Arial"/>
                <w:sz w:val="18"/>
                <w:szCs w:val="18"/>
                <w:color w:val="auto"/>
                <w:w w:val="84"/>
              </w:rPr>
              <w:t>2001</w:t>
            </w:r>
          </w:p>
        </w:tc>
        <w:tc>
          <w:tcPr>
            <w:tcW w:w="224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245</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420" w:type="dxa"/>
            <w:vAlign w:val="bottom"/>
            <w:shd w:val="clear" w:color="auto" w:fill="CCEEFF"/>
          </w:tcPr>
          <w:p>
            <w:pPr>
              <w:jc w:val="right"/>
              <w:ind w:right="1972"/>
              <w:spacing w:after="0"/>
              <w:rPr>
                <w:sz w:val="20"/>
                <w:szCs w:val="20"/>
                <w:color w:val="auto"/>
              </w:rPr>
            </w:pPr>
            <w:r>
              <w:rPr>
                <w:rFonts w:ascii="Arial" w:cs="Arial" w:eastAsia="Arial" w:hAnsi="Arial"/>
                <w:sz w:val="18"/>
                <w:szCs w:val="18"/>
                <w:color w:val="auto"/>
                <w:w w:val="84"/>
              </w:rPr>
              <w:t>2000</w:t>
            </w:r>
          </w:p>
        </w:tc>
        <w:tc>
          <w:tcPr>
            <w:tcW w:w="224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The Consolidated Financial Statements include the accounts of majority-owned subsidiaries. Significant 20%-50% owned companies are carried on the equity method and classified in </w:t>
      </w:r>
      <w:r>
        <w:rPr>
          <w:rFonts w:ascii="Arial" w:cs="Arial" w:eastAsia="Arial" w:hAnsi="Arial"/>
          <w:sz w:val="18"/>
          <w:szCs w:val="18"/>
          <w:i w:val="1"/>
          <w:iCs w:val="1"/>
          <w:color w:val="auto"/>
        </w:rPr>
        <w:t>Investments in Affiliated Companies</w:t>
      </w:r>
      <w:r>
        <w:rPr>
          <w:rFonts w:ascii="Arial" w:cs="Arial" w:eastAsia="Arial" w:hAnsi="Arial"/>
          <w:sz w:val="18"/>
          <w:szCs w:val="18"/>
          <w:color w:val="auto"/>
        </w:rPr>
        <w:t xml:space="preserve">. The pro rata share of Schlumberger after-tax earnings is included in </w:t>
      </w:r>
      <w:r>
        <w:rPr>
          <w:rFonts w:ascii="Arial" w:cs="Arial" w:eastAsia="Arial" w:hAnsi="Arial"/>
          <w:sz w:val="18"/>
          <w:szCs w:val="18"/>
          <w:i w:val="1"/>
          <w:iCs w:val="1"/>
          <w:color w:val="auto"/>
        </w:rPr>
        <w:t>Interest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All inter-company accounts and transactions have been eliminated.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bad debts, valuation of inventories and investments, recoverability of goodwill and intangible assets, income tax provision and deferred taxes, profit assumptions on long-term percentage-of-completion contracts,</w:t>
      </w:r>
    </w:p>
    <w:p>
      <w:pPr>
        <w:sectPr>
          <w:pgSz w:w="11900" w:h="16838" w:orient="portrait"/>
          <w:cols w:equalWidth="0" w:num="1">
            <w:col w:w="11380"/>
          </w:cols>
          <w:pgMar w:left="240" w:top="422" w:right="279" w:bottom="1440" w:gutter="0" w:footer="0" w:header="0"/>
        </w:sectPr>
      </w:pPr>
    </w:p>
    <w:bookmarkStart w:id="22" w:name="page23"/>
    <w:bookmarkEnd w:id="22"/>
    <w:p>
      <w:pPr>
        <w:ind w:right="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contingencies and litigation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Services Revenue</w:t>
      </w:r>
    </w:p>
    <w:p>
      <w:pPr>
        <w:spacing w:after="0" w:line="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Schlumberger’s products and services are generally sold based upon purchase orders or contracts with the customer that include fixed or determinable prices and that do not include right of return or other similar provisions or other significant post delivery obligations. Revenue is recognized for products upon delivery, customer acceptance and when title passes. Revenue is recognized when services are rendered and collectibility is reasonably assured.</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revenues are recognized on a time and materials basis, or on a percentage of completion basis, depending on the contract, as services are provided. Revenue from time and material service contracts is recognized as the services are provided. Revenue from fixed price contracts is recognized over the contract term based on the percentage of the cost of services provided during the period compared to the total estimated cost of services to be provided over the entire contract. Losses on contracts are recognized during the period in which the loss first becomes probable and reasonably estimated.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derived from the sale of licenses for its software, maintenance and related services may include installation, consulting and training services.</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fee is fixed and determinable and collectibility is probable.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 and Collectibility</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Many sales are generated from complex contractual arrangements that require significant revenue recognition judgments, particularly in the areas of multiple element arrangements. Revenues from contracts with multiple element arrangements, such as those including installation and integration services, are recognized as each element is earned based on the relative fair value of each element and when there are no undelivered elements that are essential to the functionality of the delivered elements.</w:t>
      </w:r>
    </w:p>
    <w:p>
      <w:pPr>
        <w:spacing w:after="0" w:line="13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assessment of collectibility is particularly critical in determining whether revenue should be recognized in the current market environment. As part of the revenue recognition process, Schlumberger determines whether trade and notes receivables are reasonably assured of collection based on various factors, including the ability to sell those receivables and whether there has been deterioration in the credit quality of customers that could result in the inability to sell the receivables. In situations where Schlumberger has the ability to sell the receivables without recourse, revenue is recognized to the extent of the value Schlumberger could reasonably expect to realize from the sale. Schlumberger defers revenue and related costs when it is uncertain as to whether it will be able to collect or sell the receivable. Schlumberger defers revenue but recognizes costs when it determines that the collection or sale of the receivable is unlikely.</w:t>
      </w:r>
    </w:p>
    <w:p>
      <w:pPr>
        <w:sectPr>
          <w:pgSz w:w="11900" w:h="16838" w:orient="portrait"/>
          <w:cols w:equalWidth="0" w:num="1">
            <w:col w:w="11380"/>
          </w:cols>
          <w:pgMar w:left="240" w:top="280"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Translation of Non-US Currencies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Oilfield Services segment functional currency is primarily the US dollar. The SchlumbergerSema segment and Other segment functional currencies are primarily local currencies. All assets and liabilities recorded in functional currencies other than US dollars are translated at current exchange rates. The resulting 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Consolidated Balance Sheet. Revenue and expenses are translated at the weighted-average exchange rates for the period. All realized and unrealized transaction gains and losses are included in income in the period in which they occur. Schlumberger’s policy is to hedge against unrealized gains and losses on a monthly basis. Included in the 2002 results were transaction losses of $2 million, compared with losses of $7 million and $4 million in 2001 and 2000, respectively.</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partially offsets the unrealized currency gains or losses on those assets and liabilities. On December 31, 2002, contracts were outstanding for the US dollar equivalent of $1,594 million in various foreign currencies. These contracts mature on various dates in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Both short-term investments and fixed income investments, held to maturity comprise primarily eurodollar time deposits, certificates of deposit and commercial paper, euronotes and eurobonds, substantially all denominated in US dollars. They are stated at cost plus accrued interest, which approximates market.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on December 31, 2002 were not significant.</w:t>
      </w:r>
    </w:p>
    <w:p>
      <w:pPr>
        <w:spacing w:after="0" w:line="129"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For purposes of the Consolidated Statement of Cash Flows, Schlumberger does not consider short-term investments to be cash equivalents as they generally have original maturities in excess of three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 and Depreciation</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or assembled by subsidiaries of Schlumberger. 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Multiclient Seismic Data</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Schlumberger capitalizes the cost of obtaining multiclient surveys. Such costs are charged to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based on a percentage of estimated total revenue that Schlumberger expects to receive from the sales of such data. The carrying value of individual surveys is reviewed, at least annually, and adjustments to the value are made based upon the revised estimated revenues for the surveys.</w:t>
      </w:r>
    </w:p>
    <w:p>
      <w:pPr>
        <w:sectPr>
          <w:pgSz w:w="11900" w:h="16838" w:orient="portrait"/>
          <w:cols w:equalWidth="0" w:num="1">
            <w:col w:w="11400"/>
          </w:cols>
          <w:pgMar w:left="240" w:top="42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Capitalized Software</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costs incurred for the development of computer software that will be sold, leased or otherwise marketed are capitalized when technological feasibility has been established, generally when all of the planning, designing, coding and testing activities that are necessary in order to establish that the product can be produced to meet its design specifications including functions, features and technical performance requirements are completed. These capitalized costs are subject to an ongoing assessment of recoverability based on anticipated future revenues and changes in hardware and software technologies. Costs that are capitalized include direct labor and related overheads.</w:t>
      </w:r>
    </w:p>
    <w:p>
      <w:pPr>
        <w:spacing w:after="0" w:line="1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of capitalized software development costs begins when the product is available for general release. Amortization is provided on the lesser of a product-by-product basis on the straight-line method or the sales ratio method over the estimated useful life. Unamortized capitalized software development costs determined to be in excess of the net realizable value of the product are expensed immediately.</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Schlumberger capitalizes certain costs of internally developed software. Capitalized costs include purchased materials and services, payroll and payroll related costs and interest costs. The costs of internally developed software is amortized on a straight line basis over the estimated useful life which is principally 6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an annual, basis Schlumberger reviews the carrying value of its long-lived assets, including goodwill and intangible assets. In addition, whenever events or changes in circumstances indicate that the historical cost-carrying value of an asset may no longer be appropriate, a review is performed.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was adopted by Schlumberger commencing January 1, 2002, goodwill ceased to be amortized.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Income</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Approximately $2.5 billion of consolidated income retained for use in the business on December 31, 2002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ectPr>
          <w:pgSz w:w="11900" w:h="16838" w:orient="portrait"/>
          <w:cols w:equalWidth="0" w:num="1">
            <w:col w:w="11420"/>
          </w:cols>
          <w:pgMar w:left="240" w:top="422"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Income (loss)</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Earnings (loss)</w:t>
            </w:r>
          </w:p>
        </w:tc>
      </w:tr>
      <w:tr>
        <w:trPr>
          <w:trHeight w:val="149"/>
        </w:trPr>
        <w:tc>
          <w:tcPr>
            <w:tcW w:w="9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from Continuing</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Per Share from</w:t>
            </w:r>
          </w:p>
        </w:tc>
      </w:tr>
      <w:tr>
        <w:trPr>
          <w:trHeight w:val="174"/>
        </w:trPr>
        <w:tc>
          <w:tcPr>
            <w:tcW w:w="9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Operations</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1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Continuing Operations</w:t>
            </w:r>
          </w:p>
        </w:tc>
      </w:tr>
      <w:tr>
        <w:trPr>
          <w:trHeight w:val="95"/>
        </w:trPr>
        <w:tc>
          <w:tcPr>
            <w:tcW w:w="9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14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9"/>
          </w:tcPr>
          <w:p>
            <w:pPr>
              <w:jc w:val="right"/>
              <w:ind w:right="74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216"/>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2002</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(2,417,529)</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578,588</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(4.18)</w:t>
            </w: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Effects of dilution: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9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600" w:type="dxa"/>
            <w:vAlign w:val="bottom"/>
            <w:gridSpan w:val="2"/>
            <w:shd w:val="clear" w:color="auto" w:fill="CCEEFF"/>
          </w:tcPr>
          <w:p>
            <w:pPr>
              <w:ind w:left="20"/>
              <w:spacing w:after="0" w:line="217"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(2,417,529)</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578,588</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r>
      <w:tr>
        <w:trPr>
          <w:trHeight w:val="132"/>
        </w:trPr>
        <w:tc>
          <w:tcPr>
            <w:tcW w:w="9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2001</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490,635</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574,328</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0.85</w:t>
            </w:r>
          </w:p>
        </w:tc>
        <w:tc>
          <w:tcPr>
            <w:tcW w:w="6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Effects of dilution: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5,886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9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490,635</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580,214</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r>
      <w:tr>
        <w:trPr>
          <w:trHeight w:val="132"/>
        </w:trPr>
        <w:tc>
          <w:tcPr>
            <w:tcW w:w="9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2000</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720,454</w:t>
            </w: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570,028</w:t>
            </w: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Effects of dilution: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r>
      <w:tr>
        <w:trPr>
          <w:trHeight w:val="102"/>
        </w:trPr>
        <w:tc>
          <w:tcPr>
            <w:tcW w:w="9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720,454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580,076</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r>
      <w:tr>
        <w:trPr>
          <w:trHeight w:val="132"/>
        </w:trPr>
        <w:tc>
          <w:tcPr>
            <w:tcW w:w="9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-2162810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-2162810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-2162810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-2162810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-2162810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-2162810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-2162810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-2162810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-1167765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-1167765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-1167765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-1167765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-1167765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-1167765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-1167765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-1167765</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-172720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-172720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-172720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-172720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-172720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-172720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-172720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-172720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49" w:lineRule="exact"/>
        <w:rPr>
          <w:sz w:val="20"/>
          <w:szCs w:val="20"/>
          <w:color w:val="auto"/>
        </w:rPr>
      </w:pPr>
    </w:p>
    <w:p>
      <w:pPr>
        <w:ind w:left="100" w:hanging="92"/>
        <w:spacing w:after="0"/>
        <w:tabs>
          <w:tab w:leader="none" w:pos="10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There is no dilution of shares or earnings per share in 2002 due to the net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reconciliation of reported net income (loss) to adjusted net income (loss) following the adoption of SFAS 142 (</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on January 1, 2002—see</w:t>
      </w:r>
      <w:r>
        <w:rPr>
          <w:rFonts w:ascii="Arial" w:cs="Arial" w:eastAsia="Arial" w:hAnsi="Arial"/>
          <w:sz w:val="18"/>
          <w:szCs w:val="18"/>
          <w:i w:val="1"/>
          <w:iCs w:val="1"/>
          <w:color w:val="auto"/>
        </w:rPr>
        <w:t xml:space="preserve"> New Accounting Standards </w:t>
      </w:r>
      <w:r>
        <w:rPr>
          <w:rFonts w:ascii="Arial" w:cs="Arial" w:eastAsia="Arial" w:hAnsi="Arial"/>
          <w:sz w:val="18"/>
          <w:szCs w:val="18"/>
          <w:color w:val="auto"/>
        </w:rPr>
        <w:t>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30" w:type="dxa"/>
            <w:vAlign w:val="bottom"/>
          </w:tcPr>
          <w:p>
            <w:pPr>
              <w:jc w:val="right"/>
              <w:ind w:right="357"/>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90" w:type="dxa"/>
            <w:vAlign w:val="bottom"/>
          </w:tcPr>
          <w:p>
            <w:pPr>
              <w:ind w:left="210"/>
              <w:spacing w:after="0"/>
              <w:rPr>
                <w:sz w:val="20"/>
                <w:szCs w:val="20"/>
                <w:color w:val="auto"/>
              </w:rPr>
            </w:pPr>
            <w:r>
              <w:rPr>
                <w:rFonts w:ascii="Arial" w:cs="Arial" w:eastAsia="Arial" w:hAnsi="Arial"/>
                <w:sz w:val="14"/>
                <w:szCs w:val="14"/>
                <w:i w:val="1"/>
                <w:iCs w:val="1"/>
                <w:color w:val="auto"/>
              </w:rPr>
              <w:t>2001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i w:val="1"/>
                <w:iCs w:val="1"/>
                <w:color w:val="auto"/>
              </w:rPr>
              <w:t>2000</w:t>
            </w:r>
          </w:p>
        </w:tc>
      </w:tr>
      <w:tr>
        <w:trPr>
          <w:trHeight w:val="95"/>
        </w:trPr>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3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263"/>
        </w:trPr>
        <w:tc>
          <w:tcPr>
            <w:tcW w:w="5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30" w:type="dxa"/>
            <w:vAlign w:val="bottom"/>
          </w:tcPr>
          <w:p>
            <w:pPr>
              <w:spacing w:after="0"/>
              <w:rPr>
                <w:sz w:val="22"/>
                <w:szCs w:val="22"/>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i w:val="1"/>
                <w:iCs w:val="1"/>
                <w:color w:val="auto"/>
                <w:w w:val="87"/>
              </w:rPr>
              <w:t>(Stated in thousands)</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95"/>
        </w:trPr>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3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Reported Net Income (Loss)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5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(2,319,995)</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90" w:type="dxa"/>
            <w:vAlign w:val="bottom"/>
            <w:shd w:val="clear" w:color="auto" w:fill="CCEEFF"/>
          </w:tcPr>
          <w:p>
            <w:pPr>
              <w:ind w:left="210"/>
              <w:spacing w:after="0"/>
              <w:rPr>
                <w:sz w:val="20"/>
                <w:szCs w:val="20"/>
                <w:color w:val="auto"/>
              </w:rPr>
            </w:pPr>
            <w:r>
              <w:rPr>
                <w:rFonts w:ascii="Arial" w:cs="Arial" w:eastAsia="Arial" w:hAnsi="Arial"/>
                <w:sz w:val="18"/>
                <w:szCs w:val="18"/>
                <w:color w:val="auto"/>
                <w:w w:val="86"/>
              </w:rPr>
              <w:t>522,217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734,596</w:t>
            </w:r>
          </w:p>
        </w:tc>
      </w:tr>
      <w:tr>
        <w:trPr>
          <w:trHeight w:val="228"/>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Goodwill amortization</w:t>
            </w:r>
          </w:p>
        </w:tc>
        <w:tc>
          <w:tcPr>
            <w:tcW w:w="110" w:type="dxa"/>
            <w:vAlign w:val="bottom"/>
          </w:tcPr>
          <w:p>
            <w:pPr>
              <w:spacing w:after="0"/>
              <w:rPr>
                <w:sz w:val="19"/>
                <w:szCs w:val="19"/>
                <w:color w:val="auto"/>
              </w:rPr>
            </w:pPr>
          </w:p>
        </w:tc>
        <w:tc>
          <w:tcPr>
            <w:tcW w:w="135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90" w:type="dxa"/>
            <w:vAlign w:val="bottom"/>
          </w:tcPr>
          <w:p>
            <w:pPr>
              <w:ind w:left="210"/>
              <w:spacing w:after="0"/>
              <w:rPr>
                <w:sz w:val="20"/>
                <w:szCs w:val="20"/>
                <w:color w:val="auto"/>
              </w:rPr>
            </w:pPr>
            <w:r>
              <w:rPr>
                <w:rFonts w:ascii="Arial" w:cs="Arial" w:eastAsia="Arial" w:hAnsi="Arial"/>
                <w:sz w:val="18"/>
                <w:szCs w:val="18"/>
                <w:color w:val="auto"/>
                <w:w w:val="86"/>
              </w:rPr>
              <w:t>291,574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94,746</w:t>
            </w:r>
          </w:p>
        </w:tc>
      </w:tr>
      <w:tr>
        <w:trPr>
          <w:trHeight w:val="96"/>
        </w:trPr>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3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102"/>
        </w:trPr>
        <w:tc>
          <w:tcPr>
            <w:tcW w:w="5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3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9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5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(2,319,995)</w:t>
            </w:r>
          </w:p>
        </w:tc>
        <w:tc>
          <w:tcPr>
            <w:tcW w:w="1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90" w:type="dxa"/>
            <w:vAlign w:val="bottom"/>
            <w:shd w:val="clear" w:color="auto" w:fill="CCEEFF"/>
          </w:tcPr>
          <w:p>
            <w:pPr>
              <w:ind w:left="210"/>
              <w:spacing w:after="0"/>
              <w:rPr>
                <w:sz w:val="20"/>
                <w:szCs w:val="20"/>
                <w:color w:val="auto"/>
              </w:rPr>
            </w:pPr>
            <w:r>
              <w:rPr>
                <w:rFonts w:ascii="Arial" w:cs="Arial" w:eastAsia="Arial" w:hAnsi="Arial"/>
                <w:sz w:val="18"/>
                <w:szCs w:val="18"/>
                <w:color w:val="auto"/>
                <w:w w:val="86"/>
              </w:rPr>
              <w:t>813,791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829,342</w:t>
            </w:r>
          </w:p>
        </w:tc>
      </w:tr>
      <w:tr>
        <w:trPr>
          <w:trHeight w:val="132"/>
        </w:trPr>
        <w:tc>
          <w:tcPr>
            <w:tcW w:w="5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Engineering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research and engineering expenditures are expensed as incurred, including costs relating to patents or rights that may result from such expenditures.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Included in 2001 expenditures was a charge of $25 million for in-process R&amp;D related to the Bull CP8 acquisition.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June 2001, SFAS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were issued. SFAS 141 was adopted by Schlumberger for acquisitions subsequent to June 30, 2001. SFAS 142 was adopted by Schlumberger commencing January 1, 2002. As required by SFAS 142, Schlumberger undertook an</w:t>
      </w:r>
    </w:p>
    <w:p>
      <w:pPr>
        <w:sectPr>
          <w:pgSz w:w="11900" w:h="16838" w:orient="portrait"/>
          <w:cols w:equalWidth="0" w:num="1">
            <w:col w:w="11160"/>
          </w:cols>
          <w:pgMar w:left="240" w:top="263" w:right="499" w:bottom="1440" w:gutter="0" w:footer="0" w:header="0"/>
        </w:sectPr>
      </w:pPr>
    </w:p>
    <w:bookmarkStart w:id="26" w:name="page27"/>
    <w:bookmarkEnd w:id="26"/>
    <w:p>
      <w:pPr>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initial review of goodwill impairment in the first quarter of 2002 and completed an “event driven” review in the fourth quarter of 2002. The findings of the independent valuation indicated there was an impairment writedown of $2.6 billion which was approved by the Board of Directors in December 2002 in conjunction with the approval of the new strategic plan for SchlumbergerSema.</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 xml:space="preserve">Amortization of goodwill and workforce ceased with effect from January 1, 2002. Assembled workforce, net of deferred taxes, of $175 million was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goodwill and other intangibles included in Schlumberger’s results are as follows:</w:t>
      </w:r>
    </w:p>
    <w:p>
      <w:pPr>
        <w:spacing w:after="0" w:line="153"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Pretax</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center"/>
              <w:ind w:right="56"/>
              <w:spacing w:after="0"/>
              <w:rPr>
                <w:sz w:val="20"/>
                <w:szCs w:val="20"/>
                <w:color w:val="auto"/>
              </w:rPr>
            </w:pPr>
            <w:r>
              <w:rPr>
                <w:rFonts w:ascii="Arial" w:cs="Arial" w:eastAsia="Arial" w:hAnsi="Arial"/>
                <w:sz w:val="14"/>
                <w:szCs w:val="14"/>
                <w:color w:val="auto"/>
                <w:w w:val="89"/>
              </w:rPr>
              <w:t>2001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color w:val="auto"/>
                <w:w w:val="89"/>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6"/>
          </w:tcPr>
          <w:p>
            <w:pPr>
              <w:jc w:val="center"/>
              <w:ind w:left="219"/>
              <w:spacing w:after="0"/>
              <w:rPr>
                <w:sz w:val="20"/>
                <w:szCs w:val="20"/>
                <w:color w:val="auto"/>
              </w:rPr>
            </w:pPr>
            <w:r>
              <w:rPr>
                <w:rFonts w:ascii="Arial" w:cs="Arial" w:eastAsia="Arial" w:hAnsi="Arial"/>
                <w:sz w:val="14"/>
                <w:szCs w:val="14"/>
                <w:i w:val="1"/>
                <w:iCs w:val="1"/>
                <w:color w:val="auto"/>
                <w:w w:val="90"/>
              </w:rPr>
              <w:t>(Stated in millions)</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Workforce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-27305</wp:posOffset>
            </wp:positionV>
            <wp:extent cx="137604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6045" cy="29845"/>
                    </a:xfrm>
                    <a:prstGeom prst="rect">
                      <a:avLst/>
                    </a:prstGeom>
                    <a:noFill/>
                  </pic:spPr>
                </pic:pic>
              </a:graphicData>
            </a:graphic>
          </wp:anchor>
        </w:drawing>
      </w:r>
    </w:p>
    <w:p>
      <w:pPr>
        <w:spacing w:after="0" w:line="228"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In June 2001, SFAS 143 (</w:t>
      </w:r>
      <w:r>
        <w:rPr>
          <w:rFonts w:ascii="Arial" w:cs="Arial" w:eastAsia="Arial" w:hAnsi="Arial"/>
          <w:sz w:val="15"/>
          <w:szCs w:val="15"/>
          <w:i w:val="1"/>
          <w:iCs w:val="1"/>
          <w:color w:val="auto"/>
        </w:rPr>
        <w:t>Accounting for Asset Retirement Obligations</w:t>
      </w:r>
      <w:r>
        <w:rPr>
          <w:rFonts w:ascii="Arial" w:cs="Arial" w:eastAsia="Arial" w:hAnsi="Arial"/>
          <w:sz w:val="15"/>
          <w:szCs w:val="15"/>
          <w:color w:val="auto"/>
        </w:rPr>
        <w:t>) was issued. SFAS 143 will be adopted by Schlumberger commencing January 1, 2003. Schlumberger does not believe that the implementation of this standard will have any material effect on its financial position and results of operations.</w:t>
      </w:r>
    </w:p>
    <w:p>
      <w:pPr>
        <w:spacing w:after="0" w:line="49"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In August 2001, SFAS 144 (</w:t>
      </w:r>
      <w:r>
        <w:rPr>
          <w:rFonts w:ascii="Arial" w:cs="Arial" w:eastAsia="Arial" w:hAnsi="Arial"/>
          <w:sz w:val="18"/>
          <w:szCs w:val="18"/>
          <w:i w:val="1"/>
          <w:iCs w:val="1"/>
          <w:color w:val="auto"/>
        </w:rPr>
        <w:t>Accounting for Impairment or Disposal of Long-Lived Assets</w:t>
      </w:r>
      <w:r>
        <w:rPr>
          <w:rFonts w:ascii="Arial" w:cs="Arial" w:eastAsia="Arial" w:hAnsi="Arial"/>
          <w:sz w:val="18"/>
          <w:szCs w:val="18"/>
          <w:color w:val="auto"/>
        </w:rPr>
        <w:t>) was issued. SFAS 144 was adopted by Schlumberger commencing January 1, 2002 and did not have a material effect on its financial position or results of operations.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Effective January 1, 2002, Schlumberger adopted the FASB EITF Abstract 01-14, (</w:t>
      </w:r>
      <w:r>
        <w:rPr>
          <w:rFonts w:ascii="Arial" w:cs="Arial" w:eastAsia="Arial" w:hAnsi="Arial"/>
          <w:sz w:val="16"/>
          <w:szCs w:val="16"/>
          <w:i w:val="1"/>
          <w:iCs w:val="1"/>
          <w:color w:val="auto"/>
        </w:rPr>
        <w:t>Income Statement Characterization of Reimbursements Received for</w:t>
      </w:r>
      <w:r>
        <w:rPr>
          <w:rFonts w:ascii="Arial" w:cs="Arial" w:eastAsia="Arial" w:hAnsi="Arial"/>
          <w:sz w:val="16"/>
          <w:szCs w:val="16"/>
          <w:color w:val="auto"/>
        </w:rPr>
        <w:t xml:space="preserve"> </w:t>
      </w:r>
      <w:r>
        <w:rPr>
          <w:rFonts w:ascii="Arial" w:cs="Arial" w:eastAsia="Arial" w:hAnsi="Arial"/>
          <w:sz w:val="16"/>
          <w:szCs w:val="16"/>
          <w:i w:val="1"/>
          <w:iCs w:val="1"/>
          <w:color w:val="auto"/>
        </w:rPr>
        <w:t>“Out-of-Pocket” Expenses Incurred</w:t>
      </w:r>
      <w:r>
        <w:rPr>
          <w:rFonts w:ascii="Arial" w:cs="Arial" w:eastAsia="Arial" w:hAnsi="Arial"/>
          <w:sz w:val="16"/>
          <w:szCs w:val="16"/>
          <w:color w:val="auto"/>
        </w:rPr>
        <w:t>). Prior year revenue has been restated to include reimbursable costs billed to customers which had been classified as a contra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expense and now must be classified as revenue. The reclassification was only required in the Oilfield Services (OFS) segment as the SchlumbergerSema segment was already in compliance with the new standard. OFS </w:t>
      </w:r>
      <w:r>
        <w:rPr>
          <w:rFonts w:ascii="Arial" w:cs="Arial" w:eastAsia="Arial" w:hAnsi="Arial"/>
          <w:sz w:val="16"/>
          <w:szCs w:val="16"/>
          <w:i w:val="1"/>
          <w:iCs w:val="1"/>
          <w:color w:val="auto"/>
        </w:rPr>
        <w:t>operating revenue</w:t>
      </w:r>
      <w:r>
        <w:rPr>
          <w:rFonts w:ascii="Arial" w:cs="Arial" w:eastAsia="Arial" w:hAnsi="Arial"/>
          <w:sz w:val="16"/>
          <w:szCs w:val="16"/>
          <w:color w:val="auto"/>
        </w:rPr>
        <w:t xml:space="preserve"> and </w:t>
      </w:r>
      <w:r>
        <w:rPr>
          <w:rFonts w:ascii="Arial" w:cs="Arial" w:eastAsia="Arial" w:hAnsi="Arial"/>
          <w:sz w:val="16"/>
          <w:szCs w:val="16"/>
          <w:i w:val="1"/>
          <w:iCs w:val="1"/>
          <w:color w:val="auto"/>
        </w:rPr>
        <w:t>cost of goods sold &amp; services</w:t>
      </w:r>
      <w:r>
        <w:rPr>
          <w:rFonts w:ascii="Arial" w:cs="Arial" w:eastAsia="Arial" w:hAnsi="Arial"/>
          <w:sz w:val="16"/>
          <w:szCs w:val="16"/>
          <w:color w:val="auto"/>
        </w:rPr>
        <w:t xml:space="preserve"> increased in 2001 by $557 million and in 2000 by $416 million. There was no effect on cash flow or net income.</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July 29, 2002, the Financial Accounting Standards Board issued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The standard required companies to recognize costs associated with exit or disposal activities when they are incurred rather than at the date of a commitment to an exit or disposal plan. Examples of costs covered by the standard include lease termination costs and certain employee severance costs that are associated with a restructuring, discontinued operation, plant closing, or other exit or disposal activity. Previous accounting guidance was provided by EITF Issue No. 94-3, </w:t>
      </w:r>
      <w:r>
        <w:rPr>
          <w:rFonts w:ascii="Arial" w:cs="Arial" w:eastAsia="Arial" w:hAnsi="Arial"/>
          <w:sz w:val="16"/>
          <w:szCs w:val="16"/>
          <w:i w:val="1"/>
          <w:iCs w:val="1"/>
          <w:color w:val="auto"/>
        </w:rPr>
        <w:t xml:space="preserve">(Liability Recognition for Certain Employee Termination Benefits and Other Costs to Exit an Activity [including Certain Costs Incurred in a Restructuring]). </w:t>
      </w:r>
      <w:r>
        <w:rPr>
          <w:rFonts w:ascii="Arial" w:cs="Arial" w:eastAsia="Arial" w:hAnsi="Arial"/>
          <w:sz w:val="16"/>
          <w:szCs w:val="16"/>
          <w:color w:val="auto"/>
        </w:rPr>
        <w:t>SFAS 146 replaced Issue 94-3. Schlumberger will apply SFAS 146 prospectively to exit or disposal activities initiated after December 31, 2002. As a result, in the future, charges related to restructuring plans may be recorded over multiple reporting periods as opposed to the date the plan was approved.</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November, 2002, FASB interpretation No. 45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 of Others</w:t>
      </w:r>
      <w:r>
        <w:rPr>
          <w:rFonts w:ascii="Arial" w:cs="Arial" w:eastAsia="Arial" w:hAnsi="Arial"/>
          <w:sz w:val="18"/>
          <w:szCs w:val="18"/>
          <w:color w:val="auto"/>
        </w:rPr>
        <w:t>) was issued. It requires certain accounting and disclosures of guarantees to third parties including indebtedness. The statement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on a prospective basis for guarantees issued or modified after December 31, 2002. Schlumberger does not believe that the implementation of this statement will have a material effect on its financial position or results of operations.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2003, the Emerging Issues Task Force (EITF) issued No. 00-21 “</w:t>
      </w:r>
      <w:r>
        <w:rPr>
          <w:rFonts w:ascii="Arial" w:cs="Arial" w:eastAsia="Arial" w:hAnsi="Arial"/>
          <w:sz w:val="18"/>
          <w:szCs w:val="18"/>
          <w:i w:val="1"/>
          <w:iCs w:val="1"/>
          <w:color w:val="auto"/>
        </w:rPr>
        <w:t>Accounting for Revenue Arrangements with Multiple Deliverables</w:t>
      </w:r>
      <w:r>
        <w:rPr>
          <w:rFonts w:ascii="Arial" w:cs="Arial" w:eastAsia="Arial" w:hAnsi="Arial"/>
          <w:sz w:val="18"/>
          <w:szCs w:val="18"/>
          <w:color w:val="auto"/>
        </w:rPr>
        <w:t>”. This EITF establishes the criteria for recognizing revenue in arrangements when several items are bundled into one agreement. EITF 00-21 does not allow revenue recognition unless the fair value</w:t>
      </w:r>
    </w:p>
    <w:p>
      <w:pPr>
        <w:sectPr>
          <w:pgSz w:w="11900" w:h="16838" w:orient="portrait"/>
          <w:cols w:equalWidth="0" w:num="1">
            <w:col w:w="11400"/>
          </w:cols>
          <w:pgMar w:left="240" w:top="280" w:right="259" w:bottom="1440" w:gutter="0" w:footer="0" w:header="0"/>
        </w:sectPr>
      </w:pPr>
    </w:p>
    <w:bookmarkStart w:id="27" w:name="page28"/>
    <w:bookmarkEnd w:id="27"/>
    <w:p>
      <w:pPr>
        <w:ind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undelivered element(s) is available and the element has stand-alone value to the customer. EITF 00-21 also provides guidance on allocating the total contract revenue to the individual elements based upon the available fair value of each deliverable. Schlumberger is in the process of determining if this pronouncement will have a material impact on its financial position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Hanover Compressor Transaction</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August 2001, Schlumberger sold its Oilfield Services worldwide gas compression activity to Hanover Compressor Company. The proceeds included common stock of Hanover Compressor, with a value at closing of $173 million, which is restricted from marketability until August 30, 2004 and a $150 million long-term subordinated note maturing December 15, 2005.</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market value of Schlumberger’s investment in Hanover Compressor common stock was $80 million as of December 31, 2002. Following the decline in the market value of the stock below carrying value during the second quarter of 2002, Schlumberger has performed, and continues to perform, a periodic assessment in accordance with its policy to determine whether an other-than-temporary decline in fair value has occurred. Schlumberger evaluated the recoverability of its investment by reviewing recent information related to the industry and the operating results and financial position of Hanover Compressor and by considering Schlumberger’s requirement, ability and intent to hold the investment on a long-term basis. Schlumberger concluded that evidence existed at December 31, 2002 to support the recoverability of its carrying value, that there were no events or changes in circumstances specifically relating to the business prospects of Hanover Compressor, that the underlying business fundamentals are good with natural gas supplies reduced and higher natural gas prices in North America, that the decline in the market value of the stock is consistent with historical industry volatility and is largely attributable to the general market conditions. In addition, the recently announced Hanover cutbacks in workforce and capital expenditures coupled with no immediate debt maturities should provide adequate capital resources in the near-term. Schlumberger views the recent changes to Hanover Compressor’s senior management team as positive with respect to its investment. Accordingly, Schlumberger concluded that the decline in market value of its investment ($93 million) in Hanover Compressor as of December 31, 2002 was temporary in nature and has not reduced the cost basis of that investment. If the decline in value persists or should Schlumberger’s assessment change, Schlumberger would take a charge to its earnings for the amount that is deemed unrecoverable.</w:t>
      </w:r>
    </w:p>
    <w:p>
      <w:pPr>
        <w:spacing w:after="0" w:line="10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$150 million long-term subordinated note has a mandatory prepayment upon the issuance, sale or other disposition by Hanover Compressor of any shares of capital stock or other equity interests pursuant to a public offering or a private placement otherwise prepayment is discretionary. As of December 31, 2002, Schlumberger considers the carrying value of the note to be fully collectible.</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part of the sale agreement, Schlumberger agreed that the financing of the PIGAP II joint venture in Venezuela would be non-recourse to the buyer and would be executed prior to December 31, 2002. Accordingly, Schlumberger was obligated, with respect to the financing, to guarantee 30% (approximately $80 million) until the project was completed in 2002 and, if as of December 31, 2002, refinancing had not become non-recourse to the buyer or the project had not achieved substantial completion, Hanover Compressor had an option to put its interest in the joint venture back to Schlumberger.</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Schlumberger originally deferred the gain on the sale of the joint venture in 2001, there is no impact on Schlumberger results of operations due to the Hanover Compressor exercise of it option.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 (unaudited)</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an outcome of the turmoil in Venezuela, although the project reached substantial completion, the non-recourse financing for the project was not achieved by December 31, 2002. On January 31, 2003, Hanover Compressor gave notice of its intention to exercise its right to put its ownership interest in the joint venture back to Schlumberger. The put is subject to certain consents and other conditions. Schlumberger’s obligation to provide a guarantee with respect to the financing was eliminated.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Charges—Continuing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recorded the following charges/credits in continuing operations:</w:t>
      </w:r>
    </w:p>
    <w:p>
      <w:pPr>
        <w:sectPr>
          <w:pgSz w:w="11900" w:h="16838" w:orient="portrait"/>
          <w:cols w:equalWidth="0" w:num="1">
            <w:col w:w="11420"/>
          </w:cols>
          <w:pgMar w:left="240" w:top="280" w:right="239" w:bottom="1440" w:gutter="0" w:footer="0" w:header="0"/>
        </w:sectPr>
      </w:pPr>
    </w:p>
    <w:bookmarkStart w:id="28" w:name="page29"/>
    <w:bookmarkEnd w:id="28"/>
    <w:p>
      <w:pPr>
        <w:ind w:right="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December 2002, a net charge of $3,081 million ($5.30 per share). On December 10, 2002, Schlumberger announced that the Board of Directors had approved an updated strategy for its SchlumbergerSema business segment. The new strategic plan outlook, current business values and the reorganization of SchlumbergerSema constitute significant events that required an impairment analysis to be performed in accordance with FAS 142. SchlumbergerSema was ‘valued’ on a stand-alone basis; each reporting unit within SchlumbergerSema was valued using a discounted cash flow analysis based on a long-term forecast prepared by SchlumbergerSema management with the assistance of a third party valuation expert. The implied multiples yielded by the discounted cash flow analysis were compared to observed trading multiples of comparable companies and recent transactions in the IT services industry to assess the fair value of the reporting units. The fair value was below the book value. As a result, goodwill was written down to its estimated fair value based on Schlumberger’s valuation. The impairment of goodwill mainly reflects the current difficulties of the telecommunications industry and the severely depressed market values of the IT companies serving SchlumbergerSema’s sector. Certain intangible assets were also identified and written down as part of this process.</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Schlumberger recorded severance, facility and other costs in an effort to reduce costs at SchlumbergerSema and WesternGeco. These costs related to expenses that offer no future benefit to the ongoing operations of these businesses. During the fourth quarter, Schlumberger also recorded an impairment charge, to reflect a change in the business projections of the WesternGeco business, related to capitalized multiclient seismic library costs, a deferred tax valuation allowance and other costs.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of the above charges was $3,168 million. A summary, including the gain on the sale of rigs of $87 million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Intangibles impairment</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SchlumbergerSema severance &amp; other</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WesternGeco severance &amp; other</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Multiclient seismic library impairment</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r>
      <w:tr>
        <w:trPr>
          <w:trHeight w:val="222"/>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r>
      <w:tr>
        <w:trPr>
          <w:trHeight w:val="102"/>
        </w:trPr>
        <w:tc>
          <w:tcPr>
            <w:tcW w:w="9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Charges before tax and minority interest</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ind w:left="20"/>
              <w:spacing w:after="0" w:line="217" w:lineRule="exact"/>
              <w:rPr>
                <w:sz w:val="20"/>
                <w:szCs w:val="20"/>
                <w:color w:val="auto"/>
              </w:rPr>
            </w:pPr>
            <w:r>
              <w:rPr>
                <w:rFonts w:ascii="Arial" w:cs="Arial" w:eastAsia="Arial" w:hAnsi="Arial"/>
                <w:sz w:val="18"/>
                <w:szCs w:val="18"/>
                <w:color w:val="auto"/>
              </w:rPr>
              <w:t xml:space="preserve">Tax </w:t>
            </w:r>
            <w:r>
              <w:rPr>
                <w:rFonts w:ascii="Arial" w:cs="Arial" w:eastAsia="Arial" w:hAnsi="Arial"/>
                <w:sz w:val="22"/>
                <w:szCs w:val="22"/>
                <w:color w:val="auto"/>
                <w:vertAlign w:val="superscript"/>
              </w:rPr>
              <w:t>1</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Minority interest</w:t>
            </w: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r>
      <w:tr>
        <w:trPr>
          <w:trHeight w:val="108"/>
        </w:trPr>
        <w:tc>
          <w:tcPr>
            <w:tcW w:w="960" w:type="dxa"/>
            <w:vAlign w:val="bottom"/>
          </w:tcPr>
          <w:p>
            <w:pPr>
              <w:spacing w:after="0"/>
              <w:rPr>
                <w:sz w:val="9"/>
                <w:szCs w:val="9"/>
                <w:color w:val="auto"/>
              </w:rPr>
            </w:pPr>
          </w:p>
        </w:tc>
        <w:tc>
          <w:tcPr>
            <w:tcW w:w="59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r>
        <w:trPr>
          <w:trHeight w:val="102"/>
        </w:trPr>
        <w:tc>
          <w:tcPr>
            <w:tcW w:w="9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96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200" w:type="dxa"/>
            <w:vAlign w:val="bottom"/>
            <w:shd w:val="clear" w:color="auto" w:fill="CCEEFF"/>
          </w:tcPr>
          <w:p>
            <w:pPr>
              <w:spacing w:after="0"/>
              <w:rPr>
                <w:sz w:val="18"/>
                <w:szCs w:val="18"/>
                <w:color w:val="auto"/>
              </w:rPr>
            </w:pPr>
          </w:p>
        </w:tc>
      </w:tr>
      <w:tr>
        <w:trPr>
          <w:trHeight w:val="222"/>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Gain on sale of drilling rigs</w:t>
            </w:r>
          </w:p>
        </w:tc>
        <w:tc>
          <w:tcPr>
            <w:tcW w:w="5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r>
      <w:tr>
        <w:trPr>
          <w:trHeight w:val="102"/>
        </w:trPr>
        <w:tc>
          <w:tcPr>
            <w:tcW w:w="9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9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96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00" w:type="dxa"/>
            <w:vAlign w:val="bottom"/>
            <w:shd w:val="clear" w:color="auto" w:fill="CCEEFF"/>
          </w:tcPr>
          <w:p>
            <w:pPr>
              <w:spacing w:after="0"/>
              <w:rPr>
                <w:sz w:val="18"/>
                <w:szCs w:val="18"/>
                <w:color w:val="auto"/>
              </w:rPr>
            </w:pPr>
          </w:p>
        </w:tc>
      </w:tr>
      <w:tr>
        <w:trPr>
          <w:trHeight w:val="132"/>
        </w:trPr>
        <w:tc>
          <w:tcPr>
            <w:tcW w:w="96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-172720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-172720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-172720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49"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Includes deferred tax valuation allowance of $94 million.</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above charges before tax and minority interest and the gain on sale of drilling rigs are recorded in </w:t>
      </w:r>
      <w:r>
        <w:rPr>
          <w:rFonts w:ascii="Arial" w:cs="Arial" w:eastAsia="Arial" w:hAnsi="Arial"/>
          <w:sz w:val="18"/>
          <w:szCs w:val="18"/>
          <w:i w:val="1"/>
          <w:iCs w:val="1"/>
          <w:color w:val="auto"/>
        </w:rPr>
        <w:t>Cost of goods sold &amp; services</w:t>
      </w:r>
      <w:r>
        <w:rPr>
          <w:rFonts w:ascii="Arial" w:cs="Arial" w:eastAsia="Arial" w:hAnsi="Arial"/>
          <w:sz w:val="18"/>
          <w:szCs w:val="18"/>
          <w:color w:val="auto"/>
        </w:rPr>
        <w:t>.</w:t>
      </w:r>
    </w:p>
    <w:p>
      <w:pPr>
        <w:sectPr>
          <w:pgSz w:w="11900" w:h="16838" w:orient="portrait"/>
          <w:cols w:equalWidth="0" w:num="1">
            <w:col w:w="11280"/>
          </w:cols>
          <w:pgMar w:left="240" w:top="428" w:right="379" w:bottom="1440" w:gutter="0" w:footer="0" w:header="0"/>
        </w:sectPr>
      </w:pPr>
    </w:p>
    <w:bookmarkStart w:id="29" w:name="page30"/>
    <w:bookmarkEnd w:id="29"/>
    <w:p>
      <w:pPr>
        <w:ind w:right="40"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March 2002, a charge of $29 million (pretax $30 million and minority interest credit of $1 million; $0.05 per share—diluted) related to the financial/economic crisis in Argentina where in January, the government eliminated all US dollar contracts and converted US dollar 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 The pretax change is classified in </w:t>
      </w:r>
      <w:r>
        <w:rPr>
          <w:rFonts w:ascii="Arial" w:cs="Arial" w:eastAsia="Arial" w:hAnsi="Arial"/>
          <w:sz w:val="15"/>
          <w:szCs w:val="15"/>
          <w:i w:val="1"/>
          <w:iCs w:val="1"/>
          <w:color w:val="auto"/>
        </w:rPr>
        <w:t>Cost of goods sold and services</w:t>
      </w:r>
      <w:r>
        <w:rPr>
          <w:rFonts w:ascii="Arial" w:cs="Arial" w:eastAsia="Arial" w:hAnsi="Arial"/>
          <w:sz w:val="15"/>
          <w:szCs w:val="15"/>
          <w:color w:val="auto"/>
        </w:rPr>
        <w:t xml:space="preserve"> in the Consolidated Statement of income.</w:t>
      </w:r>
    </w:p>
    <w:p>
      <w:pPr>
        <w:spacing w:after="0" w:line="8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In March 2001, a charge, recorded in </w:t>
      </w:r>
      <w:r>
        <w:rPr>
          <w:rFonts w:ascii="Arial" w:cs="Arial" w:eastAsia="Arial" w:hAnsi="Arial"/>
          <w:sz w:val="18"/>
          <w:szCs w:val="18"/>
          <w:i w:val="1"/>
          <w:iCs w:val="1"/>
          <w:color w:val="auto"/>
        </w:rPr>
        <w:t>Research &amp; engineering</w:t>
      </w:r>
      <w:r>
        <w:rPr>
          <w:rFonts w:ascii="Arial" w:cs="Arial" w:eastAsia="Arial" w:hAnsi="Arial"/>
          <w:sz w:val="18"/>
          <w:szCs w:val="18"/>
          <w:color w:val="auto"/>
        </w:rPr>
        <w:t>, of $25 million ($0.04 per share—diluted) for in-process research and development related to the Bull CP8 acquisition.</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June 2001, a charge of $280 million ($0.48 per share—diluted) for the estimated impairment charge from the disposition of certain Resource Management Services businesses (Electricity and Water outside North America and worldwide Gas businesses). This charge included the writeoff of goodwill ($139 million) and cumulative translation adjustment ($79 million).</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September 2001, a pretax credit of $42 million (after tax $3 million) representing the gain on the sale of the worldwide gas compression business, partially offset by an impairment charge relating to the expected disposition of certain activities. The proceeds from the sale of the worldwide gas compression business included $274 million in cash, a $150 million long-term subordinated note and newly issued Hanover Compressor Company shares with a value of $173 million. The shares have a three year marketability restriction. As part of the transaction, Schlumberger agreed that the financing of a certain joint venture project (PIGAP II) would be non-recourse to the buyer and would be executed prior to December 31, 2002. Accordingly, Schlumberger was obligated with respect to the financing to guarantee 30% (approximately $80 million) until the project was completed in late 2002. If as of December 31, 2002 refinancing had not become non-recourse to the buyer or the project has not achieved substantial completion, the buyer has an option to put its interest in such joint venture back to Schlumberger. The gain on the sale of this joint venture was deferred. Although the project reached substantial completion, the non-recourse financing was not achieved by December 31, 2002 and Hanover Compressor subsequently exercised its option.</w:t>
      </w:r>
    </w:p>
    <w:p>
      <w:pPr>
        <w:spacing w:after="0" w:line="10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December 2001, a pretax credit of $119 million (net—$5 million after tax and minority interest, $0.01 per share—diluted), consisting primarily of the following:</w:t>
      </w:r>
    </w:p>
    <w:p>
      <w:pPr>
        <w:spacing w:after="0" w:line="37" w:lineRule="exact"/>
        <w:rPr>
          <w:sz w:val="20"/>
          <w:szCs w:val="20"/>
          <w:color w:val="auto"/>
        </w:rPr>
      </w:pPr>
    </w:p>
    <w:p>
      <w:pPr>
        <w:ind w:left="760" w:hanging="306"/>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credit of $223 million ($117 million after tax) from the sale of the former Resource Management Services North American Water division.</w:t>
      </w:r>
    </w:p>
    <w:p>
      <w:pPr>
        <w:spacing w:after="0" w:line="126" w:lineRule="exact"/>
        <w:rPr>
          <w:rFonts w:ascii="Arial" w:cs="Arial" w:eastAsia="Arial" w:hAnsi="Arial"/>
          <w:sz w:val="16"/>
          <w:szCs w:val="16"/>
          <w:color w:val="auto"/>
        </w:rPr>
      </w:pPr>
    </w:p>
    <w:p>
      <w:pPr>
        <w:ind w:left="760" w:hanging="306"/>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pretax charge of $43 million ($37 million after tax) for employee termination costs, principally in Europe and the US, related to Oilfield Services and SchlumbergerSema in response to current business conditions.</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 charge for reorganization costs of $29 million.</w:t>
      </w:r>
    </w:p>
    <w:p>
      <w:pPr>
        <w:spacing w:after="0" w:line="103" w:lineRule="exact"/>
        <w:rPr>
          <w:rFonts w:ascii="Arial" w:cs="Arial" w:eastAsia="Arial" w:hAnsi="Arial"/>
          <w:sz w:val="18"/>
          <w:szCs w:val="18"/>
          <w:color w:val="auto"/>
        </w:rPr>
      </w:pPr>
    </w:p>
    <w:p>
      <w:pPr>
        <w:ind w:left="760" w:right="640" w:hanging="306"/>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further pretax charge of $28 million ($20 million after tax) related to the second quarter estimated loss on the divestiture of certain Resource Management Services businesses following the actual closing in the fourth quarter.</w:t>
      </w:r>
    </w:p>
    <w:p>
      <w:pPr>
        <w:spacing w:after="0" w:line="37" w:lineRule="exact"/>
        <w:rPr>
          <w:rFonts w:ascii="Arial" w:cs="Arial" w:eastAsia="Arial" w:hAnsi="Arial"/>
          <w:sz w:val="18"/>
          <w:szCs w:val="18"/>
          <w:color w:val="auto"/>
        </w:rPr>
      </w:pPr>
    </w:p>
    <w:p>
      <w:pPr>
        <w:ind w:left="760" w:right="20" w:hanging="306"/>
        <w:spacing w:after="0" w:line="26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$33 million pretax asset writedown ($23 million after tax and minority interest) following a recent determination of technological impairment related to certain Land seismic assets in the newly formed joint venture.</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above 2001 pretax amounts are recorded: an aggregated $119 million charge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a $25 million charge in </w:t>
      </w:r>
      <w:r>
        <w:rPr>
          <w:rFonts w:ascii="Arial" w:cs="Arial" w:eastAsia="Arial" w:hAnsi="Arial"/>
          <w:sz w:val="18"/>
          <w:szCs w:val="18"/>
          <w:i w:val="1"/>
          <w:iCs w:val="1"/>
          <w:color w:val="auto"/>
        </w:rPr>
        <w:t>Research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engineering </w:t>
      </w:r>
      <w:r>
        <w:rPr>
          <w:rFonts w:ascii="Arial" w:cs="Arial" w:eastAsia="Arial" w:hAnsi="Arial"/>
          <w:sz w:val="18"/>
          <w:szCs w:val="18"/>
          <w:color w:val="auto"/>
        </w:rPr>
        <w:t>and a $10 million credit in</w:t>
      </w:r>
      <w:r>
        <w:rPr>
          <w:rFonts w:ascii="Arial" w:cs="Arial" w:eastAsia="Arial" w:hAnsi="Arial"/>
          <w:sz w:val="18"/>
          <w:szCs w:val="18"/>
          <w:i w:val="1"/>
          <w:iCs w:val="1"/>
          <w:color w:val="auto"/>
        </w:rPr>
        <w:t xml:space="preserve"> Minority interest</w:t>
      </w:r>
      <w:r>
        <w:rPr>
          <w:rFonts w:ascii="Arial" w:cs="Arial" w:eastAsia="Arial" w:hAnsi="Arial"/>
          <w:sz w:val="18"/>
          <w:szCs w:val="18"/>
          <w:color w:val="auto"/>
        </w:rPr>
        <w:t>.</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December 2000, a pretax charge of $84 million offset by a pretax gain of $82 million (net—$3 million after tax and minority interest, $0.00 per share— diluted), consisting of the following:</w:t>
      </w:r>
    </w:p>
    <w:p>
      <w:pPr>
        <w:spacing w:after="0" w:line="37" w:lineRule="exact"/>
        <w:rPr>
          <w:sz w:val="20"/>
          <w:szCs w:val="20"/>
          <w:color w:val="auto"/>
        </w:rPr>
      </w:pPr>
    </w:p>
    <w:p>
      <w:pPr>
        <w:ind w:left="760" w:right="540" w:hanging="306"/>
        <w:spacing w:after="0" w:line="268"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charge of $29 million ($25 million after tax) related primarily to the writedown of certain inventory and severance costs in the Semiconductor Solutions business due to weak market conditions.</w:t>
      </w:r>
    </w:p>
    <w:p>
      <w:pPr>
        <w:sectPr>
          <w:pgSz w:w="11900" w:h="16838" w:orient="portrait"/>
          <w:cols w:equalWidth="0" w:num="1">
            <w:col w:w="11420"/>
          </w:cols>
          <w:pgMar w:left="240" w:top="428" w:right="239" w:bottom="1440" w:gutter="0" w:footer="0" w:header="0"/>
        </w:sectPr>
      </w:pPr>
    </w:p>
    <w:bookmarkStart w:id="30" w:name="page31"/>
    <w:bookmarkEnd w:id="30"/>
    <w:p>
      <w:pPr>
        <w:ind w:left="760" w:right="200" w:hanging="306"/>
        <w:spacing w:after="0" w:line="268"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charge of $55 million ($39 million after tax and minority interest) related to the creation of the WesternGeco seismic joint venture, including asset impairments and severance costs for Schlumberger’s existing Geco-Prakla business.</w:t>
      </w:r>
    </w:p>
    <w:p>
      <w:pPr>
        <w:spacing w:after="0" w:line="37" w:lineRule="exact"/>
        <w:rPr>
          <w:rFonts w:ascii="Arial" w:cs="Arial" w:eastAsia="Arial" w:hAnsi="Arial"/>
          <w:sz w:val="18"/>
          <w:szCs w:val="18"/>
          <w:color w:val="auto"/>
        </w:rPr>
      </w:pPr>
    </w:p>
    <w:p>
      <w:pPr>
        <w:jc w:val="both"/>
        <w:ind w:left="760" w:right="40" w:hanging="306"/>
        <w:spacing w:after="0" w:line="259"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credit of $82 million ($61 million after tax) resulting from the gain on the sale of two Gas Services businesses in Europe. Revenue and operating net results for these divested activities were $110 million and a $740,000 loss, respectively, in 2000 (10 months) and $163 million and $2.7 million profit, respectively in 1999.</w:t>
      </w:r>
    </w:p>
    <w:p>
      <w:pPr>
        <w:spacing w:after="0" w:line="12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The pretax gain on the sale of the Gas Services businesses is included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The pretax Semiconductor Solutions and WesternGeco charges are included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A $9 million credit is included in </w:t>
      </w:r>
      <w:r>
        <w:rPr>
          <w:rFonts w:ascii="Arial" w:cs="Arial" w:eastAsia="Arial" w:hAnsi="Arial"/>
          <w:sz w:val="16"/>
          <w:szCs w:val="16"/>
          <w:i w:val="1"/>
          <w:iCs w:val="1"/>
          <w:color w:val="auto"/>
        </w:rPr>
        <w:t>Minority interest</w:t>
      </w:r>
      <w:r>
        <w:rPr>
          <w:rFonts w:ascii="Arial" w:cs="Arial" w:eastAsia="Arial" w:hAnsi="Arial"/>
          <w:sz w:val="16"/>
          <w:szCs w:val="16"/>
          <w:color w:val="auto"/>
        </w:rPr>
        <w:t xml:space="preserve"> relating to the WesternGeco charges.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the December 2002 pretax severance and facility charges is as follows: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4"/>
          </w:tcPr>
          <w:p>
            <w:pPr>
              <w:ind w:left="460"/>
              <w:spacing w:after="0"/>
              <w:rPr>
                <w:sz w:val="20"/>
                <w:szCs w:val="20"/>
                <w:color w:val="auto"/>
              </w:rPr>
            </w:pPr>
            <w:r>
              <w:rPr>
                <w:rFonts w:ascii="Arial" w:cs="Arial" w:eastAsia="Arial" w:hAnsi="Arial"/>
                <w:sz w:val="14"/>
                <w:szCs w:val="14"/>
                <w:b w:val="1"/>
                <w:bCs w:val="1"/>
                <w:color w:val="auto"/>
              </w:rPr>
              <w:t>Severance</w:t>
            </w:r>
          </w:p>
        </w:tc>
        <w:tc>
          <w:tcPr>
            <w:tcW w:w="160" w:type="dxa"/>
            <w:vAlign w:val="bottom"/>
          </w:tcPr>
          <w:p>
            <w:pPr>
              <w:spacing w:after="0"/>
              <w:rPr>
                <w:sz w:val="15"/>
                <w:szCs w:val="15"/>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Facilities</w:t>
            </w:r>
          </w:p>
        </w:tc>
        <w:tc>
          <w:tcPr>
            <w:tcW w:w="20" w:type="dxa"/>
            <w:vAlign w:val="bottom"/>
          </w:tcPr>
          <w:p>
            <w:pPr>
              <w:spacing w:after="0"/>
              <w:rPr>
                <w:sz w:val="15"/>
                <w:szCs w:val="15"/>
                <w:color w:val="auto"/>
              </w:rPr>
            </w:pPr>
          </w:p>
        </w:tc>
      </w:tr>
      <w:tr>
        <w:trPr>
          <w:trHeight w:val="95"/>
        </w:trPr>
        <w:tc>
          <w:tcPr>
            <w:tcW w:w="5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5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Headcount</w:t>
            </w:r>
          </w:p>
        </w:tc>
        <w:tc>
          <w:tcPr>
            <w:tcW w:w="160" w:type="dxa"/>
            <w:vAlign w:val="bottom"/>
          </w:tcPr>
          <w:p>
            <w:pPr>
              <w:spacing w:after="0"/>
              <w:rPr>
                <w:sz w:val="22"/>
                <w:szCs w:val="22"/>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22"/>
                <w:szCs w:val="22"/>
                <w:color w:val="auto"/>
              </w:rPr>
            </w:pPr>
          </w:p>
        </w:tc>
      </w:tr>
      <w:tr>
        <w:trPr>
          <w:trHeight w:val="95"/>
        </w:trPr>
        <w:tc>
          <w:tcPr>
            <w:tcW w:w="5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5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i w:val="1"/>
                <w:iCs w:val="1"/>
                <w:color w:val="auto"/>
                <w:w w:val="90"/>
              </w:rPr>
              <w:t>(Stated in millions)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5"/>
              </w:rPr>
              <w:t>94.5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Paid in December 2002</w:t>
            </w:r>
          </w:p>
        </w:tc>
        <w:tc>
          <w:tcPr>
            <w:tcW w:w="160" w:type="dxa"/>
            <w:vAlign w:val="bottom"/>
          </w:tcPr>
          <w:p>
            <w:pPr>
              <w:spacing w:after="0"/>
              <w:rPr>
                <w:sz w:val="19"/>
                <w:szCs w:val="19"/>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w w:val="85"/>
              </w:rPr>
              <w:t>32.9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r>
      <w:tr>
        <w:trPr>
          <w:trHeight w:val="102"/>
        </w:trPr>
        <w:tc>
          <w:tcPr>
            <w:tcW w:w="5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5"/>
              </w:rPr>
              <w:t>61.6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r>
      <w:tr>
        <w:trPr>
          <w:trHeight w:val="132"/>
        </w:trPr>
        <w:tc>
          <w:tcPr>
            <w:tcW w:w="5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severance costs are expected to be paid before June 30, 2003.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December 2001 charge included severance costs of $41 million (775 people) which have been paid.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December 2000 charges included severance costs of $9 million (380 people) which have been paid.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Sema plc</w:t>
      </w:r>
    </w:p>
    <w:p>
      <w:pPr>
        <w:spacing w:after="0" w:line="83"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On February 12, 2001, Schlumberger announced that it had reached an agreement with the board of directors of Sema plc on the terms of a recommended offer for the entire issued and to be issued share capital of Sema plc.</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March 8, 2001, a wholly owned subsidiary of Schlumberger acquired, through market purchases, approximately 20% of the issued share capital of Sema at a cost of $1 billion.</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April 6, 2001, the offer for the shares of Sema plc was declared unconditional in all respects. The aggregate consideration for the acquisition of 100% of the issued Sema shares was $5.15 billion (including expenses of the transaction) which was financed from existing cash resources and borrowings under a $3 billion credit facility.</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October 3, 2001, wholly owned subsidiaries of Schlumberger issued $1.9 billion European bonds (Euro 1.4 billion and £425 million). The average rate of these bonds is 5.9% with maturity from 2008 through 2032. The proceeds from the issues were used to repay short-term bank loans originally taken out by those subsidiaries to finance the acquisition of Sema plc.</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The acquisition was accounted for using the purchase method of accounting and the goodwill and identifiable intangibles aggregated $5.19 billion which were being amortized on a straight-line basis in 2001. Effective January 1, 2002, with the adoption of SFAS 142 (see </w:t>
      </w:r>
      <w:r>
        <w:rPr>
          <w:rFonts w:ascii="Arial" w:cs="Arial" w:eastAsia="Arial" w:hAnsi="Arial"/>
          <w:sz w:val="16"/>
          <w:szCs w:val="16"/>
          <w:i w:val="1"/>
          <w:iCs w:val="1"/>
          <w:color w:val="auto"/>
        </w:rPr>
        <w:t>New Accounting Standards</w:t>
      </w:r>
      <w:r>
        <w:rPr>
          <w:rFonts w:ascii="Arial" w:cs="Arial" w:eastAsia="Arial" w:hAnsi="Arial"/>
          <w:sz w:val="16"/>
          <w:szCs w:val="16"/>
          <w:color w:val="auto"/>
        </w:rPr>
        <w:t>), amortization of goodwill and workforce ceased. Identifiable intangibles continue to be amortized on a straight line basis over 10 years.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value of goodwill and identifiable intangibles comprised the following:</w:t>
      </w:r>
    </w:p>
    <w:p>
      <w:pPr>
        <w:sectPr>
          <w:pgSz w:w="11900" w:h="16838" w:orient="portrait"/>
          <w:cols w:equalWidth="0" w:num="1">
            <w:col w:w="11380"/>
          </w:cols>
          <w:pgMar w:left="240" w:top="347" w:right="2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w w:val="89"/>
              </w:rPr>
              <w:t>(Stated in billions)</w:t>
            </w: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(including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Purchase accounting adjustments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tangible assets acquired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r>
      <w:tr>
        <w:trPr>
          <w:trHeight w:val="108"/>
        </w:trPr>
        <w:tc>
          <w:tcPr>
            <w:tcW w:w="5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5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r>
      <w:tr>
        <w:trPr>
          <w:trHeight w:val="132"/>
        </w:trPr>
        <w:tc>
          <w:tcPr>
            <w:tcW w:w="5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Purchase accounting adjustments consisted primarily of severance costs ($84 million—1781 people), facility reductions ($33 million), pension plan adjustments ($136 million) and tax restructuring costs ($50 million). At December 31, 2001, $26 million (593 people) of the severance costs had been paid. All remaining severance costs were paid in 2002.</w:t>
      </w:r>
    </w:p>
    <w:p>
      <w:pPr>
        <w:spacing w:after="0" w:line="12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For financial reporting purposes, Schlumberger included the results of operations of Sema in its consolidated accounts commencing April 1, 2001. If Sema had been included in the consolidated financial statements of Schlumberger from January 1, consolidated revenue for the twelve months ended December 31, 2001 would have increased by $538 million (unaudited) to $14.3 billion (unaudited) and consolidated net income would have decreased by approximately $140 million (unaudited), to $382 million (unaudited), related primarily to increased interest expense and amortization of intangibles, and lower interest income. On a proforma basis, Schlumberger 2000 operating revenue and net income would have been $12 billion (unaudited) and $300 million (unaudited), respectively.</w:t>
      </w:r>
    </w:p>
    <w:p>
      <w:pPr>
        <w:spacing w:after="0" w:line="86"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Sema is an IT services company (with approximately 22,000 employees at the date of acquisition) that provides its customers with design, implementation, operations and management of information systems and IT-related consulting services. Among the industry sectors which Sema serves, Sema has increasingly focused on the telecommunications and finance sectors, and provides a range of its own software products specifically designed for these sectors in addition to its IT services. Sema’s customers include a wide variety of businesses and governmental departments around the world. Sema’s services and product offerings include systems integration and consulting; software products for the telecommunications, energy, transport and finance sectors; and outsourcing.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2002, subsidiaries of Schlumberger acquired the following:</w:t>
      </w:r>
    </w:p>
    <w:p>
      <w:pPr>
        <w:spacing w:after="0" w:line="77" w:lineRule="exact"/>
        <w:rPr>
          <w:sz w:val="20"/>
          <w:szCs w:val="20"/>
          <w:color w:val="auto"/>
        </w:rPr>
      </w:pPr>
    </w:p>
    <w:p>
      <w:pPr>
        <w:ind w:left="760" w:right="120" w:hanging="306"/>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March, Inside Reality, a Norwegian based company specializing in virtual reality technology for the oil and gas industry. The acquisition price was $18 million in cash. Assets acquired included intangible assets of $18 million.</w:t>
      </w:r>
    </w:p>
    <w:p>
      <w:pPr>
        <w:spacing w:after="0" w:line="37" w:lineRule="exact"/>
        <w:rPr>
          <w:rFonts w:ascii="Arial" w:cs="Arial" w:eastAsia="Arial" w:hAnsi="Arial"/>
          <w:sz w:val="18"/>
          <w:szCs w:val="18"/>
          <w:color w:val="auto"/>
        </w:rPr>
      </w:pPr>
    </w:p>
    <w:p>
      <w:pPr>
        <w:ind w:left="760" w:right="360" w:hanging="306"/>
        <w:spacing w:after="0" w:line="325"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April, DBR International Inc., a Canadian based company which manufacturers fluid analysis equipment and provides fluid analysis consulting services to the oil and gas industry. The acquisition price was $12 million in cash. Assets acquired included $6 million of goodwill.</w:t>
      </w:r>
    </w:p>
    <w:p>
      <w:pPr>
        <w:spacing w:after="0" w:line="1" w:lineRule="exact"/>
        <w:rPr>
          <w:rFonts w:ascii="Arial" w:cs="Arial" w:eastAsia="Arial" w:hAnsi="Arial"/>
          <w:sz w:val="16"/>
          <w:szCs w:val="16"/>
          <w:color w:val="auto"/>
        </w:rPr>
      </w:pPr>
    </w:p>
    <w:p>
      <w:pPr>
        <w:ind w:left="760" w:hanging="306"/>
        <w:spacing w:after="0" w:line="26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April, A.Comeau and Associates, a Canadian based provider of electrical engineering products and services for artificially lifted wells. The purchase price was $6 million in cash. Assets acquired included goodwill of $6 million.</w:t>
      </w:r>
    </w:p>
    <w:p>
      <w:pPr>
        <w:spacing w:after="0" w:line="37" w:lineRule="exact"/>
        <w:rPr>
          <w:rFonts w:ascii="Arial" w:cs="Arial" w:eastAsia="Arial" w:hAnsi="Arial"/>
          <w:sz w:val="18"/>
          <w:szCs w:val="18"/>
          <w:color w:val="auto"/>
        </w:rPr>
      </w:pPr>
    </w:p>
    <w:p>
      <w:pPr>
        <w:ind w:left="760" w:right="260" w:hanging="306"/>
        <w:spacing w:after="0" w:line="259"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December, Technoguide AS a software leader in the reservoir modeling domain. The purchase price was $68 million comprising of $8 million in cash and 1.35 million shares of Schlumberger stock valued at $60 million. Assets acquired included goodwill of $23 million and $44 million of intangible assets (primarily Intellectual Property).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2001, subsidiaries of Schlumberger acquired the following:</w:t>
      </w:r>
    </w:p>
    <w:p>
      <w:pPr>
        <w:spacing w:after="0" w:line="77" w:lineRule="exact"/>
        <w:rPr>
          <w:sz w:val="20"/>
          <w:szCs w:val="20"/>
          <w:color w:val="auto"/>
        </w:rPr>
      </w:pPr>
    </w:p>
    <w:p>
      <w:pPr>
        <w:jc w:val="both"/>
        <w:ind w:left="760" w:right="20" w:hanging="306"/>
        <w:spacing w:after="0" w:line="259"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March, Bull CP8, a market leader in microprocessor-based smart cards and associated systems applications for the banking, mobile communications and network security industries. The acquisition price was $313 million in cash. Assets acquired included identifiable intangibles (primarily patents) of $136</w:t>
      </w:r>
    </w:p>
    <w:p>
      <w:pPr>
        <w:sectPr>
          <w:pgSz w:w="11900" w:h="16838" w:orient="portrait"/>
          <w:cols w:equalWidth="0" w:num="1">
            <w:col w:w="11380"/>
          </w:cols>
          <w:pgMar w:left="240" w:top="343" w:right="279" w:bottom="1440" w:gutter="0" w:footer="0" w:header="0"/>
        </w:sectPr>
      </w:pPr>
    </w:p>
    <w:bookmarkStart w:id="32" w:name="page33"/>
    <w:bookmarkEnd w:id="32"/>
    <w:p>
      <w:pPr>
        <w:ind w:left="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million and goodwill of $140 million. In-process R&amp;D, which aggregated $25 million, was charged to expense in the first quarter.</w:t>
      </w:r>
    </w:p>
    <w:p>
      <w:pPr>
        <w:spacing w:after="0" w:line="77" w:lineRule="exact"/>
        <w:rPr>
          <w:sz w:val="20"/>
          <w:szCs w:val="20"/>
          <w:color w:val="auto"/>
        </w:rPr>
      </w:pPr>
    </w:p>
    <w:p>
      <w:pPr>
        <w:ind w:left="760" w:right="320" w:hanging="306"/>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June, Infosynergy ASA, a Norwegian based company specializing in customer information and billing systems integration. The acquisition price was $29 million in cash. Assets acquired included goodwill of $29 million.</w:t>
      </w:r>
    </w:p>
    <w:p>
      <w:pPr>
        <w:spacing w:after="0" w:line="37" w:lineRule="exact"/>
        <w:rPr>
          <w:rFonts w:ascii="Arial" w:cs="Arial" w:eastAsia="Arial" w:hAnsi="Arial"/>
          <w:sz w:val="18"/>
          <w:szCs w:val="18"/>
          <w:color w:val="auto"/>
        </w:rPr>
      </w:pPr>
    </w:p>
    <w:p>
      <w:pPr>
        <w:ind w:left="760" w:right="20" w:hanging="306"/>
        <w:spacing w:after="0" w:line="306"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September, Sensor Highways Limited, a UK based market leader in the design, manufacture and deployment of a new generation of fiber optic sensors specializing in real-time data solutions to the oil and gas, process and power distribution industries. The acquisition price was $100 million, consisting of $70 million in cash and $30 million in notes. Assets acquired included identifiable intangibles of $48 million and goodwill of $50 million.</w:t>
      </w:r>
    </w:p>
    <w:p>
      <w:pPr>
        <w:spacing w:after="0" w:line="12" w:lineRule="exact"/>
        <w:rPr>
          <w:rFonts w:ascii="Arial" w:cs="Arial" w:eastAsia="Arial" w:hAnsi="Arial"/>
          <w:sz w:val="16"/>
          <w:szCs w:val="16"/>
          <w:color w:val="auto"/>
        </w:rPr>
      </w:pPr>
    </w:p>
    <w:p>
      <w:pPr>
        <w:ind w:left="760" w:right="120" w:hanging="306"/>
        <w:spacing w:after="0" w:line="259"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September, Phoenix Petroleum Services, a UK based leader in providing tools, technologies and techniques for optimizing production in artificially lifted wells, particularly those using submersible pumps. The acquisition price was $33 million in cash. Assets acquired included goodwill of $26 million.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2000, subsidiaries of Schlumberger acquired the following:</w:t>
      </w:r>
    </w:p>
    <w:p>
      <w:pPr>
        <w:spacing w:after="0" w:line="77" w:lineRule="exact"/>
        <w:rPr>
          <w:sz w:val="20"/>
          <w:szCs w:val="20"/>
          <w:color w:val="auto"/>
        </w:rPr>
      </w:pPr>
    </w:p>
    <w:p>
      <w:pPr>
        <w:ind w:left="760" w:right="280" w:hanging="306"/>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January, Telweb Inc., an Internet access company based in Quebec, Canada. The purchase price was $28 million and the assets acquired included goodwill of $28 million.</w:t>
      </w:r>
    </w:p>
    <w:p>
      <w:pPr>
        <w:spacing w:after="0" w:line="37" w:lineRule="exact"/>
        <w:rPr>
          <w:rFonts w:ascii="Arial" w:cs="Arial" w:eastAsia="Arial" w:hAnsi="Arial"/>
          <w:sz w:val="18"/>
          <w:szCs w:val="18"/>
          <w:color w:val="auto"/>
        </w:rPr>
      </w:pPr>
    </w:p>
    <w:p>
      <w:pPr>
        <w:ind w:left="760" w:right="380" w:hanging="306"/>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April, Operational Services, Inc., which provides a systematic approach to production management though efficient systems and processes. The purchase price was $13 million and the assets acquired included goodwill of $13 million.</w:t>
      </w:r>
    </w:p>
    <w:p>
      <w:pPr>
        <w:spacing w:after="0" w:line="37" w:lineRule="exact"/>
        <w:rPr>
          <w:rFonts w:ascii="Arial" w:cs="Arial" w:eastAsia="Arial" w:hAnsi="Arial"/>
          <w:sz w:val="18"/>
          <w:szCs w:val="18"/>
          <w:color w:val="auto"/>
        </w:rPr>
      </w:pPr>
    </w:p>
    <w:p>
      <w:pPr>
        <w:ind w:left="760" w:hanging="306"/>
        <w:spacing w:after="0" w:line="259"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May, substantially all of the assets of CellNet Data Systems, Inc., a provider of telemetry services for the development and deployment of large-scale automatic metering reading systems. The acquisition was handled through Chapter 11 procedure and was approved by the bankruptcy court. The purchase price was $209 million and there was no goodwill arising on the acquisition.</w:t>
      </w:r>
    </w:p>
    <w:p>
      <w:pPr>
        <w:spacing w:after="0" w:line="45" w:lineRule="exact"/>
        <w:rPr>
          <w:rFonts w:ascii="Arial" w:cs="Arial" w:eastAsia="Arial" w:hAnsi="Arial"/>
          <w:sz w:val="18"/>
          <w:szCs w:val="18"/>
          <w:color w:val="auto"/>
        </w:rPr>
      </w:pPr>
    </w:p>
    <w:p>
      <w:pPr>
        <w:ind w:left="760" w:right="80" w:hanging="306"/>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October, Data Marine Systems Limited, a global provider of telecommunications services for transmitting data from remote locations. The purchase price was $83 million and the assets acquired included goodwill of $75 million.</w:t>
      </w:r>
    </w:p>
    <w:p>
      <w:pPr>
        <w:spacing w:after="0" w:line="37" w:lineRule="exact"/>
        <w:rPr>
          <w:rFonts w:ascii="Arial" w:cs="Arial" w:eastAsia="Arial" w:hAnsi="Arial"/>
          <w:sz w:val="18"/>
          <w:szCs w:val="18"/>
          <w:color w:val="auto"/>
        </w:rPr>
      </w:pPr>
    </w:p>
    <w:p>
      <w:pPr>
        <w:ind w:left="760" w:right="680" w:hanging="306"/>
        <w:spacing w:after="0" w:line="325"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November, a 70% interest in the Convergent Group, a provider of business consulting, software engineering, system integration and project management services. The purchase price was $263 million and the assets acquired included goodwill of $214 million.</w:t>
      </w:r>
    </w:p>
    <w:p>
      <w:pPr>
        <w:spacing w:after="0" w:line="1" w:lineRule="exact"/>
        <w:rPr>
          <w:rFonts w:ascii="Arial" w:cs="Arial" w:eastAsia="Arial" w:hAnsi="Arial"/>
          <w:sz w:val="16"/>
          <w:szCs w:val="16"/>
          <w:color w:val="auto"/>
        </w:rPr>
      </w:pPr>
    </w:p>
    <w:p>
      <w:pPr>
        <w:ind w:left="760" w:right="280" w:hanging="306"/>
        <w:spacing w:after="0" w:line="306"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November, a 70% interest in WesternGeco, a new venture which combined the Schlumberger surface seismic business, Geco-Prakla, and the Western Geophysical seismic unit of Baker Hughes Incorporated. The purchase price was $720 million which comprised $500 million in cash and a 30% interest, valued at $220 million, in Geco-Prakla. There was no goodwill arising on the acquisition.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acquisitions were accounted for using the purchase method of accounting.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Proforma results pertaining to the above acquisitions are not presented as the impact was not significant.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Companies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Schlumberger and Smith International Inc. operate a drilling fluids joint venture of which Schlumberger owns a 40% interest and records income using the equity method of accounting. Schlumberger’s investment on December 31, 2002 and 2001 was $592 million and $573 million, respectively. Schlumberger’s equity income from this joint venture in 2002 was $48 million, $51 million in 2001 and $33 million in 2000.</w:t>
      </w:r>
    </w:p>
    <w:p>
      <w:pPr>
        <w:sectPr>
          <w:pgSz w:w="11900" w:h="16838" w:orient="portrait"/>
          <w:cols w:equalWidth="0" w:num="1">
            <w:col w:w="11420"/>
          </w:cols>
          <w:pgMar w:left="240" w:top="2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Investments</w:t>
      </w:r>
    </w:p>
    <w:p>
      <w:pPr>
        <w:spacing w:after="0" w:line="8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Consolidated Balance Sheet reflects the Schlumberger investment portfolio separated between current and long term, based on maturity. Under normal circumstances it is the intent of Schlumberger to hold the investments until maturity, with the exception of investments which are consider trading (December 31, 2002—$0: December 31, 2001—$146 million).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income investments mature as follows: $138 million in 2004 and $270 million in 2005.</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December 31, 2002, there were no interest rate swap arrangements outstanding related to investments. Interest rate swap arrangements had no material effect on consolidated interest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Securitization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September 2000, a wholly owned subsidiary of Schlumberger entered into an agreement to sell, on an ongoing basis, up to $220 million of an undivided interest in its accounts receivable, and subsequently amended up to $250 million. The amount of receivables sold under this agreement totaled $155 million at December 31, 2002 and $176 million at December 31, 2001. Unless extended by amendment, the agreement expires in September 2003.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inventory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Dec.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16"/>
              <w:spacing w:after="0"/>
              <w:rPr>
                <w:sz w:val="20"/>
                <w:szCs w:val="20"/>
                <w:color w:val="auto"/>
              </w:rPr>
            </w:pPr>
            <w:r>
              <w:rPr>
                <w:rFonts w:ascii="Arial" w:cs="Arial" w:eastAsia="Arial" w:hAnsi="Arial"/>
                <w:sz w:val="14"/>
                <w:szCs w:val="14"/>
                <w:i w:val="1"/>
                <w:iCs w:val="1"/>
                <w:color w:val="auto"/>
              </w:rPr>
              <w:t>Dec. 31</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i w:val="1"/>
                <w:iCs w:val="1"/>
                <w:color w:val="auto"/>
              </w:rPr>
              <w:t>2002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76"/>
              <w:spacing w:after="0"/>
              <w:rPr>
                <w:sz w:val="20"/>
                <w:szCs w:val="20"/>
                <w:color w:val="auto"/>
              </w:rPr>
            </w:pPr>
            <w:r>
              <w:rPr>
                <w:rFonts w:ascii="Arial" w:cs="Arial" w:eastAsia="Arial" w:hAnsi="Arial"/>
                <w:sz w:val="14"/>
                <w:szCs w:val="14"/>
                <w:i w:val="1"/>
                <w:iCs w:val="1"/>
                <w:color w:val="auto"/>
              </w:rPr>
              <w:t>2001</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7"/>
          </w:tcPr>
          <w:p>
            <w:pPr>
              <w:jc w:val="right"/>
              <w:ind w:right="516"/>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 &amp; Field Materials</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1,010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Less reserves for obsolescence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1,043</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132"/>
        </w:trPr>
        <w:tc>
          <w:tcPr>
            <w:tcW w:w="940" w:type="dxa"/>
            <w:vAlign w:val="bottom"/>
            <w:vMerge w:val="restart"/>
          </w:tcPr>
          <w:p>
            <w:pPr>
              <w:spacing w:after="0"/>
              <w:rPr>
                <w:sz w:val="20"/>
                <w:szCs w:val="20"/>
                <w:color w:val="auto"/>
              </w:rPr>
            </w:pPr>
            <w:r>
              <w:rPr>
                <w:rFonts w:ascii="Arial" w:cs="Arial" w:eastAsia="Arial" w:hAnsi="Arial"/>
                <w:sz w:val="18"/>
                <w:szCs w:val="18"/>
                <w:b w:val="1"/>
                <w:bCs w:val="1"/>
                <w:color w:val="auto"/>
                <w:w w:val="82"/>
              </w:rPr>
              <w:t>Fixed Assets</w:t>
            </w:r>
          </w:p>
        </w:tc>
        <w:tc>
          <w:tcPr>
            <w:tcW w:w="52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940" w:type="dxa"/>
            <w:vAlign w:val="bottom"/>
            <w:tcBorders>
              <w:bottom w:val="single" w:sz="8" w:color="auto"/>
            </w:tcBorders>
            <w:vMerge w:val="continue"/>
          </w:tcPr>
          <w:p>
            <w:pPr>
              <w:spacing w:after="0"/>
              <w:rPr>
                <w:sz w:val="24"/>
                <w:szCs w:val="24"/>
                <w:color w:val="auto"/>
              </w:rPr>
            </w:pPr>
          </w:p>
        </w:tc>
        <w:tc>
          <w:tcPr>
            <w:tcW w:w="5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140" w:type="dxa"/>
            <w:vAlign w:val="bottom"/>
            <w:gridSpan w:val="2"/>
          </w:tcPr>
          <w:p>
            <w:pPr>
              <w:ind w:left="460"/>
              <w:spacing w:after="0"/>
              <w:rPr>
                <w:sz w:val="20"/>
                <w:szCs w:val="20"/>
                <w:color w:val="auto"/>
              </w:rPr>
            </w:pPr>
            <w:r>
              <w:rPr>
                <w:rFonts w:ascii="Arial" w:cs="Arial" w:eastAsia="Arial" w:hAnsi="Arial"/>
                <w:sz w:val="18"/>
                <w:szCs w:val="18"/>
                <w:color w:val="auto"/>
              </w:rPr>
              <w:t>A summary of fixed assets follows: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9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14"/>
                <w:szCs w:val="14"/>
                <w:i w:val="1"/>
                <w:iCs w:val="1"/>
                <w:color w:val="auto"/>
              </w:rPr>
              <w:t>December 31,</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4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19"/>
              <w:spacing w:after="0"/>
              <w:rPr>
                <w:sz w:val="20"/>
                <w:szCs w:val="20"/>
                <w:color w:val="auto"/>
              </w:rPr>
            </w:pPr>
            <w:r>
              <w:rPr>
                <w:rFonts w:ascii="Arial" w:cs="Arial" w:eastAsia="Arial" w:hAnsi="Arial"/>
                <w:sz w:val="14"/>
                <w:szCs w:val="14"/>
                <w:b w:val="1"/>
                <w:bCs w:val="1"/>
                <w:i w:val="1"/>
                <w:iCs w:val="1"/>
                <w:color w:val="auto"/>
              </w:rPr>
              <w:t>2002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i w:val="1"/>
                <w:iCs w:val="1"/>
                <w:color w:val="auto"/>
              </w:rPr>
              <w:t>2001</w:t>
            </w:r>
          </w:p>
        </w:tc>
        <w:tc>
          <w:tcPr>
            <w:tcW w:w="0" w:type="dxa"/>
            <w:vAlign w:val="bottom"/>
          </w:tcPr>
          <w:p>
            <w:pPr>
              <w:spacing w:after="0"/>
              <w:rPr>
                <w:sz w:val="1"/>
                <w:szCs w:val="1"/>
                <w:color w:val="auto"/>
              </w:rPr>
            </w:pPr>
          </w:p>
        </w:tc>
      </w:tr>
      <w:tr>
        <w:trPr>
          <w:trHeight w:val="95"/>
        </w:trPr>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gridSpan w:val="3"/>
          </w:tcPr>
          <w:p>
            <w:pPr>
              <w:spacing w:after="0"/>
              <w:rPr>
                <w:sz w:val="8"/>
                <w:szCs w:val="8"/>
                <w:color w:val="auto"/>
              </w:rPr>
            </w:pPr>
          </w:p>
        </w:tc>
        <w:tc>
          <w:tcPr>
            <w:tcW w:w="11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7"/>
          </w:tcPr>
          <w:p>
            <w:pPr>
              <w:jc w:val="right"/>
              <w:ind w:right="616"/>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Building &amp; Improvements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&amp; Equipment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cost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11,179</w:t>
            </w:r>
          </w:p>
        </w:tc>
        <w:tc>
          <w:tcPr>
            <w:tcW w:w="0" w:type="dxa"/>
            <w:vAlign w:val="bottom"/>
          </w:tcPr>
          <w:p>
            <w:pPr>
              <w:spacing w:after="0"/>
              <w:rPr>
                <w:sz w:val="1"/>
                <w:szCs w:val="1"/>
                <w:color w:val="auto"/>
              </w:rPr>
            </w:pPr>
          </w:p>
        </w:tc>
      </w:tr>
      <w:tr>
        <w:trPr>
          <w:trHeight w:val="228"/>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6,938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96"/>
        </w:trPr>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b w:val="1"/>
                <w:bCs w:val="1"/>
                <w:color w:val="auto"/>
                <w:w w:val="71"/>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132"/>
        </w:trPr>
        <w:tc>
          <w:tcPr>
            <w:tcW w:w="94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-2336165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-2336165</wp:posOffset>
            </wp:positionV>
            <wp:extent cx="131635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1635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estimated useful lives of Buildings &amp; Improvements are primarily 30 to 40 years. For Machinery &amp; Equipment, 11% is being depreciated over 16 to 25 years, 10% over 10 to 15 years and 79% over 2 to 9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Multiclient Seismic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multiclient seismic data is as follows:</w:t>
      </w:r>
    </w:p>
    <w:p>
      <w:pPr>
        <w:sectPr>
          <w:pgSz w:w="11900" w:h="16838" w:orient="portrait"/>
          <w:cols w:equalWidth="0" w:num="1">
            <w:col w:w="11400"/>
          </w:cols>
          <w:pgMar w:left="240" w:top="422" w:right="2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i w:val="1"/>
                <w:iCs w:val="1"/>
                <w:color w:val="auto"/>
              </w:rPr>
              <w:t>2001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15"/>
          </w:tcPr>
          <w:p>
            <w:pPr>
              <w:jc w:val="right"/>
              <w:ind w:right="66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1,029</w:t>
            </w:r>
          </w:p>
        </w:tc>
        <w:tc>
          <w:tcPr>
            <w:tcW w:w="180" w:type="dxa"/>
            <w:vAlign w:val="bottom"/>
            <w:shd w:val="clear" w:color="auto" w:fill="CCEEFF"/>
          </w:tcPr>
          <w:p>
            <w:pPr>
              <w:spacing w:after="0"/>
              <w:rPr>
                <w:sz w:val="18"/>
                <w:szCs w:val="18"/>
                <w:color w:val="auto"/>
              </w:rPr>
            </w:pP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Capitalized in year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b w:val="1"/>
                <w:bCs w:val="1"/>
                <w:color w:val="auto"/>
              </w:rPr>
              <w:t>345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sales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Impairment, charged to 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7"/>
          </w:tcPr>
          <w:p>
            <w:pPr>
              <w:jc w:val="right"/>
              <w:ind w:right="140"/>
              <w:spacing w:after="0"/>
              <w:rPr>
                <w:sz w:val="20"/>
                <w:szCs w:val="20"/>
                <w:color w:val="auto"/>
              </w:rPr>
            </w:pPr>
            <w:r>
              <w:rPr>
                <w:rFonts w:ascii="Arial" w:cs="Arial" w:eastAsia="Arial" w:hAnsi="Arial"/>
                <w:sz w:val="18"/>
                <w:szCs w:val="18"/>
                <w:b w:val="1"/>
                <w:bCs w:val="1"/>
                <w:color w:val="auto"/>
              </w:rPr>
              <w:t>(184)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180" w:type="dxa"/>
            <w:vAlign w:val="bottom"/>
            <w:shd w:val="clear" w:color="auto" w:fill="CCEEFF"/>
          </w:tcPr>
          <w:p>
            <w:pPr>
              <w:spacing w:after="0"/>
              <w:rPr>
                <w:sz w:val="18"/>
                <w:szCs w:val="18"/>
                <w:color w:val="auto"/>
              </w:rPr>
            </w:pP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89"/>
              </w:rPr>
              <w:t>Goodwill</w:t>
            </w:r>
          </w:p>
        </w:tc>
        <w:tc>
          <w:tcPr>
            <w:tcW w:w="6960" w:type="dxa"/>
            <w:vAlign w:val="bottom"/>
            <w:gridSpan w:val="3"/>
            <w:vMerge w:val="restart"/>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700" w:type="dxa"/>
            <w:vAlign w:val="bottom"/>
            <w:tcBorders>
              <w:bottom w:val="single" w:sz="8" w:color="auto"/>
            </w:tcBorders>
            <w:vMerge w:val="continue"/>
          </w:tcPr>
          <w:p>
            <w:pPr>
              <w:spacing w:after="0"/>
              <w:rPr>
                <w:sz w:val="24"/>
                <w:szCs w:val="24"/>
                <w:color w:val="auto"/>
              </w:rPr>
            </w:pPr>
          </w:p>
        </w:tc>
        <w:tc>
          <w:tcPr>
            <w:tcW w:w="69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660" w:type="dxa"/>
            <w:vAlign w:val="bottom"/>
            <w:gridSpan w:val="4"/>
          </w:tcPr>
          <w:p>
            <w:pPr>
              <w:ind w:left="460"/>
              <w:spacing w:after="0"/>
              <w:rPr>
                <w:sz w:val="20"/>
                <w:szCs w:val="20"/>
                <w:color w:val="auto"/>
              </w:rPr>
            </w:pPr>
            <w:r>
              <w:rPr>
                <w:rFonts w:ascii="Arial" w:cs="Arial" w:eastAsia="Arial" w:hAnsi="Arial"/>
                <w:sz w:val="18"/>
                <w:szCs w:val="18"/>
                <w:color w:val="auto"/>
              </w:rPr>
              <w:t>The change in the carrying amount of goodwill is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ind w:left="160"/>
              <w:spacing w:after="0"/>
              <w:rPr>
                <w:sz w:val="20"/>
                <w:szCs w:val="20"/>
                <w:color w:val="auto"/>
              </w:rPr>
            </w:pPr>
            <w:r>
              <w:rPr>
                <w:rFonts w:ascii="Arial" w:cs="Arial" w:eastAsia="Arial" w:hAnsi="Arial"/>
                <w:sz w:val="14"/>
                <w:szCs w:val="14"/>
                <w:b w:val="1"/>
                <w:bCs w:val="1"/>
                <w:i w:val="1"/>
                <w:iCs w:val="1"/>
                <w:color w:val="auto"/>
              </w:rPr>
              <w:t>2002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i w:val="1"/>
                <w:iCs w:val="1"/>
                <w:color w:val="auto"/>
              </w:rPr>
              <w:t>2001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gridSpan w:val="15"/>
          </w:tcPr>
          <w:p>
            <w:pPr>
              <w:jc w:val="right"/>
              <w:ind w:right="700"/>
              <w:spacing w:after="0"/>
              <w:rPr>
                <w:sz w:val="20"/>
                <w:szCs w:val="20"/>
                <w:color w:val="auto"/>
              </w:rPr>
            </w:pPr>
            <w:r>
              <w:rPr>
                <w:rFonts w:ascii="Arial" w:cs="Arial" w:eastAsia="Arial" w:hAnsi="Arial"/>
                <w:sz w:val="14"/>
                <w:szCs w:val="14"/>
                <w:i w:val="1"/>
                <w:iCs w:val="1"/>
                <w:color w:val="auto"/>
              </w:rPr>
              <w:t>(stated in millions)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6,261</w:t>
            </w:r>
          </w:p>
        </w:tc>
        <w:tc>
          <w:tcPr>
            <w:tcW w:w="180" w:type="dxa"/>
            <w:vAlign w:val="bottom"/>
            <w:shd w:val="clear" w:color="auto" w:fill="CCEEFF"/>
          </w:tcPr>
          <w:p>
            <w:pPr>
              <w:spacing w:after="0"/>
              <w:rPr>
                <w:sz w:val="18"/>
                <w:szCs w:val="18"/>
                <w:color w:val="auto"/>
              </w:rPr>
            </w:pP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tcPr>
          <w:p>
            <w:pPr>
              <w:spacing w:after="0" w:line="217" w:lineRule="exact"/>
              <w:rPr>
                <w:sz w:val="20"/>
                <w:szCs w:val="20"/>
                <w:color w:val="auto"/>
              </w:rPr>
            </w:pPr>
            <w:r>
              <w:rPr>
                <w:rFonts w:ascii="Arial" w:cs="Arial" w:eastAsia="Arial" w:hAnsi="Arial"/>
                <w:sz w:val="18"/>
                <w:szCs w:val="18"/>
                <w:color w:val="auto"/>
              </w:rPr>
              <w:t>Reclassification of Assembled Workforce, net of deferred taxes</w:t>
            </w:r>
            <w:r>
              <w:rPr>
                <w:rFonts w:ascii="Arial" w:cs="Arial" w:eastAsia="Arial" w:hAnsi="Arial"/>
                <w:sz w:val="22"/>
                <w:szCs w:val="22"/>
                <w:color w:val="auto"/>
                <w:vertAlign w:val="superscript"/>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b w:val="1"/>
                <w:bCs w:val="1"/>
                <w:color w:val="auto"/>
              </w:rPr>
              <w:t>175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charged to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Impact of change in exchange rates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b w:val="1"/>
                <w:bCs w:val="1"/>
                <w:color w:val="auto"/>
              </w:rPr>
              <w:t>370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5"/>
          </w:tcPr>
          <w:p>
            <w:pPr>
              <w:jc w:val="right"/>
              <w:ind w:right="6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charged to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including acquisitions and divestitures</w:t>
            </w:r>
            <w:r>
              <w:rPr>
                <w:rFonts w:ascii="Arial" w:cs="Arial" w:eastAsia="Arial" w:hAnsi="Arial"/>
                <w:sz w:val="22"/>
                <w:szCs w:val="22"/>
                <w:color w:val="auto"/>
                <w:vertAlign w:val="superscript"/>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b w:val="1"/>
                <w:bCs w:val="1"/>
                <w:color w:val="auto"/>
              </w:rPr>
              <w:t>62</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5,064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4,230</w:t>
            </w:r>
          </w:p>
        </w:tc>
        <w:tc>
          <w:tcPr>
            <w:tcW w:w="180" w:type="dxa"/>
            <w:vAlign w:val="bottom"/>
            <w:shd w:val="clear" w:color="auto" w:fill="CCEEFF"/>
          </w:tcPr>
          <w:p>
            <w:pPr>
              <w:spacing w:after="0"/>
              <w:rPr>
                <w:sz w:val="18"/>
                <w:szCs w:val="18"/>
                <w:color w:val="auto"/>
              </w:rPr>
            </w:pP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70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7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660" w:type="dxa"/>
            <w:vAlign w:val="bottom"/>
            <w:gridSpan w:val="4"/>
          </w:tcPr>
          <w:p>
            <w:pPr>
              <w:spacing w:after="0"/>
              <w:rPr>
                <w:sz w:val="20"/>
                <w:szCs w:val="20"/>
                <w:color w:val="auto"/>
              </w:rPr>
            </w:pPr>
            <w:r>
              <w:rPr>
                <w:rFonts w:ascii="Arial" w:cs="Arial" w:eastAsia="Arial" w:hAnsi="Arial"/>
                <w:sz w:val="18"/>
                <w:szCs w:val="18"/>
                <w:color w:val="auto"/>
              </w:rPr>
              <w:t>1  Following adoption of SFAS 142 on January 1, 2002.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60" w:type="dxa"/>
            <w:vAlign w:val="bottom"/>
            <w:gridSpan w:val="4"/>
          </w:tcPr>
          <w:p>
            <w:pPr>
              <w:spacing w:after="0"/>
              <w:rPr>
                <w:sz w:val="20"/>
                <w:szCs w:val="20"/>
                <w:color w:val="auto"/>
              </w:rPr>
            </w:pPr>
            <w:r>
              <w:rPr>
                <w:rFonts w:ascii="Arial" w:cs="Arial" w:eastAsia="Arial" w:hAnsi="Arial"/>
                <w:sz w:val="18"/>
                <w:szCs w:val="18"/>
                <w:color w:val="auto"/>
              </w:rPr>
              <w:t>2  2001 includes acquisition of Sema plc ($4.84 billion).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60" w:type="dxa"/>
            <w:vAlign w:val="bottom"/>
            <w:gridSpan w:val="4"/>
          </w:tcPr>
          <w:p>
            <w:pPr>
              <w:ind w:left="460"/>
              <w:spacing w:after="0"/>
              <w:rPr>
                <w:sz w:val="20"/>
                <w:szCs w:val="20"/>
                <w:color w:val="auto"/>
              </w:rPr>
            </w:pPr>
            <w:r>
              <w:rPr>
                <w:rFonts w:ascii="Arial" w:cs="Arial" w:eastAsia="Arial" w:hAnsi="Arial"/>
                <w:sz w:val="18"/>
                <w:szCs w:val="18"/>
                <w:color w:val="auto"/>
                <w:w w:val="99"/>
              </w:rPr>
              <w:t>The changes in the carrying amount of goodwill by business segment in 2002 is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5"/>
          </w:tcPr>
          <w:p>
            <w:pPr>
              <w:ind w:left="40"/>
              <w:spacing w:after="0"/>
              <w:rPr>
                <w:sz w:val="20"/>
                <w:szCs w:val="20"/>
                <w:color w:val="auto"/>
              </w:rPr>
            </w:pPr>
            <w:r>
              <w:rPr>
                <w:rFonts w:ascii="Arial" w:cs="Arial" w:eastAsia="Arial" w:hAnsi="Arial"/>
                <w:sz w:val="14"/>
                <w:szCs w:val="14"/>
                <w:b w:val="1"/>
                <w:bCs w:val="1"/>
                <w:color w:val="auto"/>
              </w:rPr>
              <w:t>Oilfield</w:t>
            </w:r>
          </w:p>
        </w:tc>
        <w:tc>
          <w:tcPr>
            <w:tcW w:w="1180" w:type="dxa"/>
            <w:vAlign w:val="bottom"/>
            <w:gridSpan w:val="10"/>
          </w:tcPr>
          <w:p>
            <w:pPr>
              <w:spacing w:after="0"/>
              <w:rPr>
                <w:sz w:val="20"/>
                <w:szCs w:val="20"/>
                <w:color w:val="auto"/>
              </w:rPr>
            </w:pPr>
            <w:r>
              <w:rPr>
                <w:rFonts w:ascii="Arial" w:cs="Arial" w:eastAsia="Arial" w:hAnsi="Arial"/>
                <w:sz w:val="14"/>
                <w:szCs w:val="14"/>
                <w:b w:val="1"/>
                <w:bCs w:val="1"/>
                <w:color w:val="auto"/>
              </w:rPr>
              <w:t>Schlumberger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5"/>
          </w:tcPr>
          <w:p>
            <w:pPr>
              <w:ind w:left="20"/>
              <w:spacing w:after="0"/>
              <w:rPr>
                <w:sz w:val="20"/>
                <w:szCs w:val="20"/>
                <w:color w:val="auto"/>
              </w:rPr>
            </w:pPr>
            <w:r>
              <w:rPr>
                <w:rFonts w:ascii="Arial" w:cs="Arial" w:eastAsia="Arial" w:hAnsi="Arial"/>
                <w:sz w:val="14"/>
                <w:szCs w:val="14"/>
                <w:b w:val="1"/>
                <w:bCs w:val="1"/>
                <w:color w:val="auto"/>
              </w:rPr>
              <w:t>Services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0"/>
              </w:rPr>
              <w:t>Sema</w:t>
            </w:r>
          </w:p>
        </w:tc>
        <w:tc>
          <w:tcPr>
            <w:tcW w:w="40" w:type="dxa"/>
            <w:vAlign w:val="bottom"/>
          </w:tcPr>
          <w:p>
            <w:pPr>
              <w:spacing w:after="0"/>
              <w:rPr>
                <w:sz w:val="15"/>
                <w:szCs w:val="15"/>
                <w:color w:val="auto"/>
              </w:rPr>
            </w:pPr>
          </w:p>
        </w:tc>
        <w:tc>
          <w:tcPr>
            <w:tcW w:w="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4"/>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gridSpan w:val="11"/>
          </w:tcPr>
          <w:p>
            <w:pPr>
              <w:jc w:val="right"/>
              <w:ind w:right="620"/>
              <w:spacing w:after="0"/>
              <w:rPr>
                <w:sz w:val="20"/>
                <w:szCs w:val="20"/>
                <w:color w:val="auto"/>
              </w:rPr>
            </w:pPr>
            <w:r>
              <w:rPr>
                <w:rFonts w:ascii="Arial" w:cs="Arial" w:eastAsia="Arial" w:hAnsi="Arial"/>
                <w:sz w:val="14"/>
                <w:szCs w:val="14"/>
                <w:i w:val="1"/>
                <w:iCs w:val="1"/>
                <w:color w:val="auto"/>
                <w:w w:val="93"/>
              </w:rPr>
              <w:t>(Stated in millions)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$329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$ 6,261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Reclassification of Assembled Workforce, net of deferred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Impairment, charged to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93"/>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267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6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$576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$ 4,230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69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7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7660" w:type="dxa"/>
            <w:vAlign w:val="bottom"/>
            <w:gridSpan w:val="4"/>
          </w:tcPr>
          <w:p>
            <w:pPr>
              <w:spacing w:after="0"/>
              <w:rPr>
                <w:sz w:val="20"/>
                <w:szCs w:val="20"/>
                <w:color w:val="auto"/>
              </w:rPr>
            </w:pPr>
            <w:r>
              <w:rPr>
                <w:rFonts w:ascii="Arial" w:cs="Arial" w:eastAsia="Arial" w:hAnsi="Arial"/>
                <w:sz w:val="18"/>
                <w:szCs w:val="18"/>
                <w:color w:val="auto"/>
              </w:rPr>
              <w:t>1. Including acquisitions, divestitures and impact of change in exchange rates.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60" w:type="dxa"/>
            <w:vAlign w:val="bottom"/>
            <w:gridSpan w:val="4"/>
          </w:tcPr>
          <w:p>
            <w:pPr>
              <w:ind w:left="460"/>
              <w:spacing w:after="0"/>
              <w:rPr>
                <w:sz w:val="20"/>
                <w:szCs w:val="20"/>
                <w:color w:val="auto"/>
              </w:rPr>
            </w:pPr>
            <w:r>
              <w:rPr>
                <w:rFonts w:ascii="Arial" w:cs="Arial" w:eastAsia="Arial" w:hAnsi="Arial"/>
                <w:sz w:val="18"/>
                <w:szCs w:val="18"/>
                <w:color w:val="auto"/>
                <w:w w:val="99"/>
              </w:rPr>
              <w:t>The changes in the carrying amount of goodwill by business segment in 2001 is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Oilfield</w:t>
            </w:r>
          </w:p>
        </w:tc>
        <w:tc>
          <w:tcPr>
            <w:tcW w:w="60" w:type="dxa"/>
            <w:vAlign w:val="bottom"/>
          </w:tcPr>
          <w:p>
            <w:pPr>
              <w:spacing w:after="0"/>
              <w:rPr>
                <w:sz w:val="24"/>
                <w:szCs w:val="24"/>
                <w:color w:val="auto"/>
              </w:rPr>
            </w:pPr>
          </w:p>
        </w:tc>
        <w:tc>
          <w:tcPr>
            <w:tcW w:w="1120" w:type="dxa"/>
            <w:vAlign w:val="bottom"/>
            <w:gridSpan w:val="9"/>
          </w:tcPr>
          <w:p>
            <w:pPr>
              <w:spacing w:after="0"/>
              <w:rPr>
                <w:sz w:val="20"/>
                <w:szCs w:val="20"/>
                <w:color w:val="auto"/>
              </w:rPr>
            </w:pPr>
            <w:r>
              <w:rPr>
                <w:rFonts w:ascii="Arial" w:cs="Arial" w:eastAsia="Arial" w:hAnsi="Arial"/>
                <w:sz w:val="14"/>
                <w:szCs w:val="14"/>
                <w:b w:val="1"/>
                <w:bCs w:val="1"/>
                <w:color w:val="auto"/>
              </w:rPr>
              <w:t>Schlumberger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83"/>
              </w:rPr>
              <w:t>Services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85"/>
              </w:rPr>
              <w:t>Sema</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0"/>
              </w:rPr>
              <w:t>Other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00" w:type="dxa"/>
            <w:vAlign w:val="bottom"/>
            <w:gridSpan w:val="5"/>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20" w:type="dxa"/>
            <w:vAlign w:val="bottom"/>
            <w:gridSpan w:val="11"/>
          </w:tcPr>
          <w:p>
            <w:pPr>
              <w:jc w:val="right"/>
              <w:ind w:right="680"/>
              <w:spacing w:after="0"/>
              <w:rPr>
                <w:sz w:val="20"/>
                <w:szCs w:val="20"/>
                <w:color w:val="auto"/>
              </w:rPr>
            </w:pPr>
            <w:r>
              <w:rPr>
                <w:rFonts w:ascii="Arial" w:cs="Arial" w:eastAsia="Arial" w:hAnsi="Arial"/>
                <w:sz w:val="14"/>
                <w:szCs w:val="14"/>
                <w:i w:val="1"/>
                <w:iCs w:val="1"/>
                <w:color w:val="auto"/>
                <w:w w:val="88"/>
              </w:rPr>
              <w:t>(Stated in millions)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0"/>
              </w:rPr>
              <w:t>$1,036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Acquistion of Sema plc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3,890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Amortization, charged to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93"/>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2"/>
                <w:szCs w:val="22"/>
                <w:color w:val="auto"/>
                <w:vertAlign w:val="superscript"/>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5"/>
          </w:tcPr>
          <w:p>
            <w:pPr>
              <w:jc w:val="right"/>
              <w:ind w:right="2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6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6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0"/>
              </w:rPr>
              <w:t>$1,980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$6,261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-6424930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-6424930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-6424930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-6424930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-6424930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-6424930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-4366260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-4366260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-4366260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-4366260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-4366260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-4366260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-2205355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-2205355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-2205355</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-2205355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-2205355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-2205355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-2205355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-2205355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-2205355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-2205355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-2205355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-2205355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-172720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-172720</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-172720</wp:posOffset>
            </wp:positionV>
            <wp:extent cx="55308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-172720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-172720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-172720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Including other acquisitions, divestitures and impact of change in exchange rates.</w:t>
      </w:r>
    </w:p>
    <w:p>
      <w:pPr>
        <w:sectPr>
          <w:pgSz w:w="11900" w:h="16838" w:orient="portrait"/>
          <w:cols w:equalWidth="0" w:num="1">
            <w:col w:w="11420"/>
          </w:cols>
          <w:pgMar w:left="240" w:top="42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Intangible Assets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intangible assets follows:</w:t>
      </w:r>
    </w:p>
    <w:p>
      <w:pPr>
        <w:spacing w:after="0" w:line="6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i w:val="1"/>
                <w:iCs w:val="1"/>
                <w:color w:val="auto"/>
                <w:w w:val="97"/>
              </w:rPr>
              <w:t>Dec.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00"/>
              <w:spacing w:after="0"/>
              <w:rPr>
                <w:sz w:val="20"/>
                <w:szCs w:val="20"/>
                <w:color w:val="auto"/>
              </w:rPr>
            </w:pPr>
            <w:r>
              <w:rPr>
                <w:rFonts w:ascii="Arial" w:cs="Arial" w:eastAsia="Arial" w:hAnsi="Arial"/>
                <w:sz w:val="14"/>
                <w:szCs w:val="14"/>
                <w:i w:val="1"/>
                <w:iCs w:val="1"/>
                <w:color w:val="auto"/>
              </w:rPr>
              <w:t>Dec. 31</w:t>
            </w:r>
          </w:p>
        </w:tc>
        <w:tc>
          <w:tcPr>
            <w:tcW w:w="20" w:type="dxa"/>
            <w:vAlign w:val="bottom"/>
          </w:tcPr>
          <w:p>
            <w:pPr>
              <w:spacing w:after="0"/>
              <w:rPr>
                <w:sz w:val="14"/>
                <w:szCs w:val="14"/>
                <w:color w:val="auto"/>
              </w:rPr>
            </w:pPr>
          </w:p>
        </w:tc>
      </w:tr>
      <w:tr>
        <w:trPr>
          <w:trHeight w:val="172"/>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42"/>
              <w:spacing w:after="0"/>
              <w:rPr>
                <w:sz w:val="20"/>
                <w:szCs w:val="20"/>
                <w:color w:val="auto"/>
              </w:rPr>
            </w:pPr>
            <w:r>
              <w:rPr>
                <w:rFonts w:ascii="Arial" w:cs="Arial" w:eastAsia="Arial" w:hAnsi="Arial"/>
                <w:sz w:val="14"/>
                <w:szCs w:val="14"/>
                <w:b w:val="1"/>
                <w:bCs w:val="1"/>
                <w:i w:val="1"/>
                <w:iCs w:val="1"/>
                <w:color w:val="auto"/>
              </w:rPr>
              <w:t>2002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i w:val="1"/>
                <w:iCs w:val="1"/>
                <w:color w:val="auto"/>
              </w:rPr>
              <w:t>2001</w:t>
            </w:r>
          </w:p>
        </w:tc>
        <w:tc>
          <w:tcPr>
            <w:tcW w:w="20" w:type="dxa"/>
            <w:vAlign w:val="bottom"/>
          </w:tcPr>
          <w:p>
            <w:pPr>
              <w:spacing w:after="0"/>
              <w:rPr>
                <w:sz w:val="14"/>
                <w:szCs w:val="14"/>
                <w:color w:val="auto"/>
              </w:rPr>
            </w:pPr>
          </w:p>
        </w:tc>
      </w:tr>
      <w:tr>
        <w:trPr>
          <w:trHeight w:val="95"/>
        </w:trPr>
        <w:tc>
          <w:tcPr>
            <w:tcW w:w="6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5"/>
          </w:tcPr>
          <w:p>
            <w:pPr>
              <w:jc w:val="right"/>
              <w:ind w:right="4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1"/>
                <w:szCs w:val="2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Gross book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953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8"/>
                <w:szCs w:val="18"/>
                <w:color w:val="auto"/>
              </w:rPr>
            </w:pPr>
          </w:p>
        </w:tc>
      </w:tr>
      <w:tr>
        <w:trPr>
          <w:trHeight w:val="228"/>
        </w:trPr>
        <w:tc>
          <w:tcPr>
            <w:tcW w:w="63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r>
      <w:tr>
        <w:trPr>
          <w:trHeight w:val="96"/>
        </w:trPr>
        <w:tc>
          <w:tcPr>
            <w:tcW w:w="6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8"/>
                <w:szCs w:val="18"/>
                <w:color w:val="auto"/>
              </w:rPr>
            </w:pPr>
          </w:p>
        </w:tc>
      </w:tr>
      <w:tr>
        <w:trPr>
          <w:trHeight w:val="132"/>
        </w:trPr>
        <w:tc>
          <w:tcPr>
            <w:tcW w:w="6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The amortization charged to income was $118 million in 2002. In accordance with SFAS 142 (see New Accounting Standards), $259 million (net of amortization) has been reclassified to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Intangible assets principally comprise patents, software, technology and other. At December 31, the gross book value, accumulated amortization and amortization periods of intangible assets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530" w:type="dxa"/>
            <w:vAlign w:val="bottom"/>
          </w:tcPr>
          <w:p>
            <w:pPr>
              <w:spacing w:after="0"/>
              <w:rPr>
                <w:sz w:val="15"/>
                <w:szCs w:val="15"/>
                <w:color w:val="auto"/>
              </w:rPr>
            </w:pPr>
          </w:p>
        </w:tc>
        <w:tc>
          <w:tcPr>
            <w:tcW w:w="6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95"/>
        </w:trPr>
        <w:tc>
          <w:tcPr>
            <w:tcW w:w="9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37"/>
        </w:trPr>
        <w:tc>
          <w:tcPr>
            <w:tcW w:w="9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50" w:type="dxa"/>
            <w:vAlign w:val="bottom"/>
          </w:tcPr>
          <w:p>
            <w:pPr>
              <w:spacing w:after="0"/>
              <w:rPr>
                <w:sz w:val="20"/>
                <w:szCs w:val="20"/>
                <w:color w:val="auto"/>
              </w:rPr>
            </w:pPr>
          </w:p>
        </w:tc>
        <w:tc>
          <w:tcPr>
            <w:tcW w:w="530" w:type="dxa"/>
            <w:vAlign w:val="bottom"/>
          </w:tcPr>
          <w:p>
            <w:pPr>
              <w:jc w:val="right"/>
              <w:ind w:right="96"/>
              <w:spacing w:after="0"/>
              <w:rPr>
                <w:sz w:val="20"/>
                <w:szCs w:val="20"/>
                <w:color w:val="auto"/>
              </w:rPr>
            </w:pPr>
            <w:r>
              <w:rPr>
                <w:rFonts w:ascii="Arial" w:cs="Arial" w:eastAsia="Arial" w:hAnsi="Arial"/>
                <w:sz w:val="14"/>
                <w:szCs w:val="14"/>
                <w:b w:val="1"/>
                <w:bCs w:val="1"/>
                <w:color w:val="auto"/>
                <w:w w:val="78"/>
              </w:rPr>
              <w:t>Gross</w:t>
            </w:r>
          </w:p>
        </w:tc>
        <w:tc>
          <w:tcPr>
            <w:tcW w:w="3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0"/>
                <w:szCs w:val="20"/>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Accumulated</w:t>
            </w: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174"/>
        </w:trPr>
        <w:tc>
          <w:tcPr>
            <w:tcW w:w="9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Book Value</w:t>
            </w:r>
          </w:p>
        </w:tc>
        <w:tc>
          <w:tcPr>
            <w:tcW w:w="32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Book Value</w:t>
            </w:r>
          </w:p>
        </w:tc>
        <w:tc>
          <w:tcPr>
            <w:tcW w:w="3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Amortization</w:t>
            </w:r>
          </w:p>
        </w:tc>
        <w:tc>
          <w:tcPr>
            <w:tcW w:w="34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Amortization Periods</w:t>
            </w:r>
          </w:p>
        </w:tc>
      </w:tr>
      <w:tr>
        <w:trPr>
          <w:trHeight w:val="95"/>
        </w:trPr>
        <w:tc>
          <w:tcPr>
            <w:tcW w:w="9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250"/>
        </w:trPr>
        <w:tc>
          <w:tcPr>
            <w:tcW w:w="9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53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4"/>
          </w:tcPr>
          <w:p>
            <w:pPr>
              <w:jc w:val="right"/>
              <w:ind w:right="236"/>
              <w:spacing w:after="0"/>
              <w:rPr>
                <w:sz w:val="20"/>
                <w:szCs w:val="20"/>
                <w:color w:val="auto"/>
              </w:rPr>
            </w:pPr>
            <w:r>
              <w:rPr>
                <w:rFonts w:ascii="Arial" w:cs="Arial" w:eastAsia="Arial" w:hAnsi="Arial"/>
                <w:sz w:val="14"/>
                <w:szCs w:val="14"/>
                <w:i w:val="1"/>
                <w:iCs w:val="1"/>
                <w:color w:val="auto"/>
              </w:rPr>
              <w:t>(stated in millions)</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5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5-10 years</w:t>
            </w: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Technology</w:t>
            </w:r>
          </w:p>
        </w:tc>
        <w:tc>
          <w:tcPr>
            <w:tcW w:w="15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5-10 years</w:t>
            </w: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5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5-10 years</w:t>
            </w:r>
          </w:p>
        </w:tc>
      </w:tr>
      <w:tr>
        <w:trPr>
          <w:trHeight w:val="293"/>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1</w:t>
            </w:r>
          </w:p>
        </w:tc>
        <w:tc>
          <w:tcPr>
            <w:tcW w:w="150" w:type="dxa"/>
            <w:vAlign w:val="bottom"/>
          </w:tcPr>
          <w:p>
            <w:pPr>
              <w:spacing w:after="0"/>
              <w:rPr>
                <w:sz w:val="24"/>
                <w:szCs w:val="24"/>
                <w:color w:val="auto"/>
              </w:rPr>
            </w:pPr>
          </w:p>
        </w:tc>
        <w:tc>
          <w:tcPr>
            <w:tcW w:w="53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1-15 years</w:t>
            </w:r>
          </w:p>
        </w:tc>
      </w:tr>
      <w:tr>
        <w:trPr>
          <w:trHeight w:val="32"/>
        </w:trPr>
        <w:tc>
          <w:tcPr>
            <w:tcW w:w="9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50" w:type="dxa"/>
            <w:vAlign w:val="bottom"/>
            <w:tcBorders>
              <w:bottom w:val="single" w:sz="8" w:color="auto"/>
            </w:tcBorders>
          </w:tcPr>
          <w:p>
            <w:pPr>
              <w:spacing w:after="0"/>
              <w:rPr>
                <w:sz w:val="2"/>
                <w:szCs w:val="2"/>
                <w:color w:val="auto"/>
              </w:rPr>
            </w:pPr>
          </w:p>
        </w:tc>
        <w:tc>
          <w:tcPr>
            <w:tcW w:w="53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02"/>
        </w:trPr>
        <w:tc>
          <w:tcPr>
            <w:tcW w:w="9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50" w:type="dxa"/>
            <w:vAlign w:val="bottom"/>
          </w:tcPr>
          <w:p>
            <w:pPr>
              <w:spacing w:after="0"/>
              <w:rPr>
                <w:sz w:val="8"/>
                <w:szCs w:val="8"/>
                <w:color w:val="auto"/>
              </w:rPr>
            </w:pPr>
          </w:p>
        </w:tc>
        <w:tc>
          <w:tcPr>
            <w:tcW w:w="53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16"/>
        </w:trPr>
        <w:tc>
          <w:tcPr>
            <w:tcW w:w="9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953</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6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32"/>
        </w:trPr>
        <w:tc>
          <w:tcPr>
            <w:tcW w:w="9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440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-172720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-172720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-172720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-172720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-172720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-172720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-172720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-172720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-172720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-172720</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1840" w:hanging="452"/>
        <w:spacing w:after="0" w:line="422" w:lineRule="auto"/>
        <w:tabs>
          <w:tab w:leader="none" w:pos="2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2001, includes Assembled Workforce which was reclassified to goodwill following the adoption of SFAS 142 on January 1, 2002. The weighted average amortization period for all intangible assets is approximately 7 years.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Amortization charged to income for the subsequent five years is estimated, based on the December 31, 2002 Gross Book Value, to be 2003—$134 million, 2004—$112 million, 2005—$96 million, 2006—$75 million and 2007—$56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long-term debt by currency at December 31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4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Bonds</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rPr>
              <w:t>CP</w:t>
            </w:r>
          </w:p>
        </w:tc>
        <w:tc>
          <w:tcPr>
            <w:tcW w:w="32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Others</w:t>
            </w:r>
          </w:p>
        </w:tc>
        <w:tc>
          <w:tcPr>
            <w:tcW w:w="320" w:type="dxa"/>
            <w:vAlign w:val="bottom"/>
          </w:tcPr>
          <w:p>
            <w:pPr>
              <w:spacing w:after="0"/>
              <w:rPr>
                <w:sz w:val="22"/>
                <w:szCs w:val="22"/>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2"/>
                <w:szCs w:val="22"/>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Bonds</w:t>
            </w:r>
          </w:p>
        </w:tc>
        <w:tc>
          <w:tcPr>
            <w:tcW w:w="32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2"/>
              </w:rPr>
              <w:t>CP</w:t>
            </w:r>
          </w:p>
        </w:tc>
        <w:tc>
          <w:tcPr>
            <w:tcW w:w="3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7"/>
              </w:rPr>
              <w:t>Others</w:t>
            </w:r>
          </w:p>
        </w:tc>
        <w:tc>
          <w:tcPr>
            <w:tcW w:w="340" w:type="dxa"/>
            <w:vAlign w:val="bottom"/>
          </w:tcPr>
          <w:p>
            <w:pPr>
              <w:spacing w:after="0"/>
              <w:rPr>
                <w:sz w:val="22"/>
                <w:szCs w:val="22"/>
                <w:color w:val="auto"/>
              </w:rPr>
            </w:pPr>
          </w:p>
        </w:tc>
        <w:tc>
          <w:tcPr>
            <w:tcW w:w="5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6"/>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724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$2,128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$ 335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Euro</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1,399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b w:val="1"/>
                <w:bCs w:val="1"/>
                <w:color w:val="auto"/>
                <w:w w:val="79"/>
              </w:rPr>
              <w:t>442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w w:val="84"/>
              </w:rPr>
              <w:t>1,188</w:t>
            </w:r>
          </w:p>
        </w:tc>
        <w:tc>
          <w:tcPr>
            <w:tcW w:w="3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pound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579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615</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Canadian dollar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191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w w:val="79"/>
              </w:rPr>
              <w:t>115</w:t>
            </w:r>
          </w:p>
        </w:tc>
        <w:tc>
          <w:tcPr>
            <w:tcW w:w="3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Japanese yen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3,188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1,745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1,096</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$6,029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4"/>
              </w:rPr>
              <w:t>1,918</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$ 335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-29210</wp:posOffset>
            </wp:positionV>
            <wp:extent cx="393192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931920" cy="29845"/>
                    </a:xfrm>
                    <a:prstGeom prst="rect">
                      <a:avLst/>
                    </a:prstGeom>
                    <a:noFill/>
                  </pic:spPr>
                </pic:pic>
              </a:graphicData>
            </a:graphic>
          </wp:anchor>
        </w:drawing>
      </w:r>
    </w:p>
    <w:p>
      <w:pPr>
        <w:spacing w:after="0" w:line="22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January 2002, two principal subsidiaries of Schlumberger in Europe initiated a Euro commercial paper program, which is guaranteed by Schlumberger Limited and supported by a long-term credit facility. Commercial paper borrowings are classified as long-term debt to the extent of their backup by available and unused committed facilities maturing in more than one year and the intent to maintain these obligations for longer than one year.</w:t>
      </w:r>
    </w:p>
    <w:p>
      <w:pPr>
        <w:sectPr>
          <w:pgSz w:w="11900" w:h="16838" w:orient="portrait"/>
          <w:cols w:equalWidth="0" w:num="1">
            <w:col w:w="11420"/>
          </w:cols>
          <w:pgMar w:left="240" w:top="422" w:right="239" w:bottom="1440" w:gutter="0" w:footer="0" w:header="0"/>
        </w:sectPr>
      </w:pPr>
    </w:p>
    <w:bookmarkStart w:id="36" w:name="page37"/>
    <w:bookmarkEnd w:id="36"/>
    <w:p>
      <w:pPr>
        <w:ind w:right="1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April 4, 2002, the principal US subsidiary of Schlumberger issued $1 billion of 10 year notes with a coupon rate of 6.50% in the US market. The notes were issued under rule 144A without registration rights for life. The fair market value at December 31, 2002 was $1,112 million.</w:t>
      </w:r>
    </w:p>
    <w:p>
      <w:pPr>
        <w:spacing w:after="0" w:line="7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At December 31, 2002, the borrowings in euro included $881 million of bonds at 5.25% due in 2008 and $518 million of bonds at 5.875% due in 2011 issued in the Euro market by the principal subsidiary in France. The aggregate fair market value at December 31, 2002 was $1,483 million.</w:t>
      </w:r>
    </w:p>
    <w:p>
      <w:pPr>
        <w:spacing w:after="0" w:line="7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At December 31, 2002, the borrowings in UK pound included $398 million of bonds at 6.25% due in 2008 and $278 million of bonds at 6.50% due in 2032 issued in the Euro market by the principal subsidiary in the UK. The aggregate fair market value at December 31, 2002 was $734 million.</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remainder of the long-term debt is at variable interest rates. Such rates are reset every six months or sooner. The carrying value of this long-term debt on December 31, 2002 approximates its fair market value. The weighted-average interest rate of the total debt outstanding on December 31, 2002 was 5.0%, including the effect of the interest rate swaps discussed below.</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Long-term debt on December 31, 2002, is due as follows: $410 million in 2004, $355 million in 2005, $315 million in 2006, $1,835 million in 2007 and $3,114 million thereafter.</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December 31, 2002, interest rate swap arrangements outstanding were: pay fixed/receive floating on US dollar debt of $800 million; pay fixed/receive floating on Japanese yen debt of $67 million. These arrangements mature at various dates to December 2009. Interest rate swap arrangements increased consolidated interest expense in 2002 by $37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Lines of Credit</w:t>
      </w:r>
    </w:p>
    <w:p>
      <w:pPr>
        <w:spacing w:after="0" w:line="8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December 31, 2002, wholly owned subsidiaries of Schlumberger had separate lines of credit agreements aggregating $7.7 billion with commercial banks, of which $7.3 billion was committed and $3.7 billion was available and unused. It included $4.6 billion of committed facilities which support borrowings under commercial paper programs in the United States and Europe, of which $3.6 billion matures in January 2007 and $1 billion which matured in January 2003 was renewed for $500 million. Interest rates and other terms of borrowing under these lines of credit vary from country to country.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and Hedging Activities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Commencing January 1, 2001, Schlumberger adopted SFAS 133 (Accounting for Derivative Instruments and Hedging Activities).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99"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fixed rate debt and derivatives to minimize significant, unanticipated earnings fluctuations caused by interest rate volatility.</w:t>
      </w:r>
    </w:p>
    <w:p>
      <w:pPr>
        <w:spacing w:after="0" w:line="10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Schlumberger’s specific goals are (1) to manage interest rate sensitivity by modifying the repricing or maturity characteristics of certain of its debt and (2) to lower (where possible) the cost of borrowed funds.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ectPr>
          <w:pgSz w:w="11900" w:h="16838" w:orient="portrait"/>
          <w:cols w:equalWidth="0" w:num="1">
            <w:col w:w="11420"/>
          </w:cols>
          <w:pgMar w:left="240" w:top="428" w:right="239" w:bottom="1440" w:gutter="0" w:footer="0" w:header="0"/>
        </w:sectPr>
      </w:pPr>
    </w:p>
    <w:bookmarkStart w:id="37" w:name="page38"/>
    <w:bookmarkEnd w:id="3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December 31, 2002, Schlumberger recognized a net $83 million charge in Stockholders’ Equity relating to derivative instruments and hedging activities.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charge was primarily due to the change in the fair market value of Schlumberger’s US interest rate swaps as a result of declining interest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Stock</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Schlumberger is authorized to issue 1,500,000,000 shares of common stock, par value $0.01 per share, of which 582,173,115 and 575,890,398 shares were outstanding on December 31, 2002 and 2001,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Compensation Plans</w:t>
      </w:r>
    </w:p>
    <w:p>
      <w:pPr>
        <w:spacing w:after="0" w:line="8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As of December 31, 2002,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82"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i w:val="1"/>
                <w:iCs w:val="1"/>
                <w:color w:val="auto"/>
              </w:rPr>
              <w:t>2002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i w:val="1"/>
                <w:iCs w:val="1"/>
                <w:color w:val="auto"/>
              </w:rPr>
              <w:t>2001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i w:val="1"/>
                <w:iCs w:val="1"/>
                <w:color w:val="auto"/>
              </w:rPr>
              <w:t>2000</w:t>
            </w:r>
          </w:p>
        </w:tc>
      </w:tr>
      <w:tr>
        <w:trPr>
          <w:trHeight w:val="95"/>
        </w:trPr>
        <w:tc>
          <w:tcPr>
            <w:tcW w:w="5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gridSpan w:val="2"/>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r>
      <w:tr>
        <w:trPr>
          <w:trHeight w:val="250"/>
        </w:trPr>
        <w:tc>
          <w:tcPr>
            <w:tcW w:w="5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8"/>
          </w:tcPr>
          <w:p>
            <w:pPr>
              <w:jc w:val="right"/>
              <w:ind w:right="235"/>
              <w:spacing w:after="0"/>
              <w:rPr>
                <w:sz w:val="20"/>
                <w:szCs w:val="20"/>
                <w:color w:val="auto"/>
              </w:rPr>
            </w:pPr>
            <w:r>
              <w:rPr>
                <w:rFonts w:ascii="Arial" w:cs="Arial" w:eastAsia="Arial" w:hAnsi="Arial"/>
                <w:sz w:val="14"/>
                <w:szCs w:val="14"/>
                <w:i w:val="1"/>
                <w:iCs w:val="1"/>
                <w:color w:val="auto"/>
                <w:w w:val="90"/>
              </w:rPr>
              <w:t>(Stated in millions except per share amounts)</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(2,320)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522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(2,476)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323"/>
        </w:trPr>
        <w:tc>
          <w:tcPr>
            <w:tcW w:w="54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reported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8"/>
        </w:trPr>
        <w:tc>
          <w:tcPr>
            <w:tcW w:w="5460" w:type="dxa"/>
            <w:vAlign w:val="bottom"/>
          </w:tcPr>
          <w:p>
            <w:pPr>
              <w:ind w:left="220"/>
              <w:spacing w:after="0"/>
              <w:rPr>
                <w:sz w:val="20"/>
                <w:szCs w:val="20"/>
                <w:color w:val="auto"/>
              </w:rPr>
            </w:pPr>
            <w:r>
              <w:rPr>
                <w:rFonts w:ascii="Arial" w:cs="Arial" w:eastAsia="Arial" w:hAnsi="Arial"/>
                <w:sz w:val="18"/>
                <w:szCs w:val="18"/>
                <w:color w:val="auto"/>
              </w:rPr>
              <w:t>Pro forma</w:t>
            </w: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0.67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96"/>
        </w:trPr>
        <w:tc>
          <w:tcPr>
            <w:tcW w:w="5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0.91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2002, 2001, 2000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required by SFAS 123, the fair value of each grant is estimated on the date of grant using the multiple option Black-Scholes option-pricing model with the following weighted-average assumptions used for 2002, 2001 and 2000: dividend of $0.75; expected volatility of 32-36% for 2002 grants, 32-35% for 2001 grants and 27-33% for 2000 grants; risk-free interest rates for the 2002 grants of 4.34%-5.25% for officers and 3.04%-4.73% for the 2002 grants to all other employees; risk-free interest rates for the 2001 grants of 4.91% for officers and 3.87%-5.01% for the 2001 grants to all other employees; risk-free interest rates for the 2000 grants of 5.75%-6.84% for officers and 5.69%-6.72% for the 2000 grants to all other employees; and expected option lives of 6.6 years for officers and 5.07 years for other employees for 2002 grants, expected option lives of 5.51 years for officers and 5.02 years for other employees for 2001 grants, expected option lives of 7.16 years for officers and 5.49 years for other employees for 2000 grants.</w:t>
      </w:r>
    </w:p>
    <w:p>
      <w:pPr>
        <w:sectPr>
          <w:pgSz w:w="11900" w:h="16838" w:orient="portrait"/>
          <w:cols w:equalWidth="0" w:num="1">
            <w:col w:w="11400"/>
          </w:cols>
          <w:pgMar w:left="240" w:top="428" w:right="259" w:bottom="1440" w:gutter="0" w:footer="0" w:header="0"/>
        </w:sectPr>
      </w:pPr>
    </w:p>
    <w:bookmarkStart w:id="38" w:name="page39"/>
    <w:bookmarkEnd w:id="38"/>
    <w:p>
      <w:pPr>
        <w:ind w:right="2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the status of the Schlumberger stock option plans as of December 31, 2002, 2001 and 2000, and changes during the years ending on those dates is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w w:val="82"/>
              </w:rPr>
              <w:t>Weighted-</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74"/>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Fixed Options</w:t>
            </w:r>
          </w:p>
        </w:tc>
        <w:tc>
          <w:tcPr>
            <w:tcW w:w="100" w:type="dxa"/>
            <w:vAlign w:val="bottom"/>
          </w:tcPr>
          <w:p>
            <w:pPr>
              <w:spacing w:after="0"/>
              <w:rPr>
                <w:sz w:val="15"/>
                <w:szCs w:val="15"/>
                <w:color w:val="auto"/>
              </w:rPr>
            </w:pPr>
          </w:p>
        </w:tc>
        <w:tc>
          <w:tcPr>
            <w:tcW w:w="8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price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95"/>
        </w:trPr>
        <w:tc>
          <w:tcPr>
            <w:tcW w:w="10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32,836,340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55.80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31,208,321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31,613,924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7,314,617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55.14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4,110,468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61.55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5,643,500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(2,296,593)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(1,444,588)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(5,447,870)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20" w:type="dxa"/>
            <w:vAlign w:val="bottom"/>
            <w:gridSpan w:val="3"/>
          </w:tcPr>
          <w:p>
            <w:pPr>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rPr>
              <w:t>(984,680)</w:t>
            </w: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66.69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(1,037,861)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71.27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(601,233)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year-end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36,869,684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57.03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32,836,340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31,208,321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Options exercisable at year-end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21,142,473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6"/>
              </w:rPr>
              <w:t>19,724,680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16,277,868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20" w:type="dxa"/>
            <w:vAlign w:val="bottom"/>
            <w:gridSpan w:val="3"/>
          </w:tcPr>
          <w:p>
            <w:pPr>
              <w:spacing w:after="0"/>
              <w:rPr>
                <w:sz w:val="20"/>
                <w:szCs w:val="20"/>
                <w:color w:val="auto"/>
              </w:rPr>
            </w:pPr>
            <w:r>
              <w:rPr>
                <w:rFonts w:ascii="Arial" w:cs="Arial" w:eastAsia="Arial" w:hAnsi="Arial"/>
                <w:sz w:val="18"/>
                <w:szCs w:val="18"/>
                <w:color w:val="auto"/>
              </w:rPr>
              <w:t>Weighted-average fair value of options granted during the year</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30.03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11440" w:type="dxa"/>
            <w:vAlign w:val="bottom"/>
            <w:gridSpan w:val="33"/>
          </w:tcPr>
          <w:p>
            <w:pPr>
              <w:ind w:left="460"/>
              <w:spacing w:after="0"/>
              <w:rPr>
                <w:sz w:val="20"/>
                <w:szCs w:val="20"/>
                <w:color w:val="auto"/>
              </w:rPr>
            </w:pPr>
            <w:r>
              <w:rPr>
                <w:rFonts w:ascii="Arial" w:cs="Arial" w:eastAsia="Arial" w:hAnsi="Arial"/>
                <w:sz w:val="18"/>
                <w:szCs w:val="18"/>
                <w:color w:val="auto"/>
                <w:w w:val="90"/>
              </w:rPr>
              <w:t>The following table summarizes information concerning currently outstanding and exercisable options by five ranges of exercise prices on December 31,</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2002:</w:t>
            </w:r>
          </w:p>
        </w:tc>
        <w:tc>
          <w:tcPr>
            <w:tcW w:w="6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ind w:left="200"/>
              <w:spacing w:after="0"/>
              <w:rPr>
                <w:sz w:val="20"/>
                <w:szCs w:val="20"/>
                <w:color w:val="auto"/>
              </w:rPr>
            </w:pPr>
            <w:r>
              <w:rPr>
                <w:rFonts w:ascii="Arial" w:cs="Arial" w:eastAsia="Arial" w:hAnsi="Arial"/>
                <w:sz w:val="14"/>
                <w:szCs w:val="14"/>
                <w:b w:val="1"/>
                <w:bCs w:val="1"/>
                <w:color w:val="auto"/>
                <w:w w:val="84"/>
              </w:rPr>
              <w:t>Options Exercisable</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34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5"/>
              </w:rPr>
              <w:t>Weighted-</w:t>
            </w:r>
          </w:p>
        </w:tc>
        <w:tc>
          <w:tcPr>
            <w:tcW w:w="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Number</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8"/>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remaining</w:t>
            </w:r>
          </w:p>
        </w:tc>
        <w:tc>
          <w:tcPr>
            <w:tcW w:w="9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exercise</w:t>
            </w:r>
          </w:p>
        </w:tc>
        <w:tc>
          <w:tcPr>
            <w:tcW w:w="160" w:type="dxa"/>
            <w:vAlign w:val="bottom"/>
          </w:tcPr>
          <w:p>
            <w:pPr>
              <w:spacing w:after="0"/>
              <w:rPr>
                <w:sz w:val="12"/>
                <w:szCs w:val="12"/>
                <w:color w:val="auto"/>
              </w:rPr>
            </w:pPr>
          </w:p>
        </w:tc>
        <w:tc>
          <w:tcPr>
            <w:tcW w:w="130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exercisable</w:t>
            </w: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74"/>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85"/>
              </w:rPr>
              <w:t>as of 12/31/02</w:t>
            </w:r>
          </w:p>
        </w:tc>
        <w:tc>
          <w:tcPr>
            <w:tcW w:w="180" w:type="dxa"/>
            <w:vAlign w:val="bottom"/>
          </w:tcPr>
          <w:p>
            <w:pPr>
              <w:spacing w:after="0"/>
              <w:rPr>
                <w:sz w:val="15"/>
                <w:szCs w:val="15"/>
                <w:color w:val="auto"/>
              </w:rPr>
            </w:pPr>
          </w:p>
        </w:tc>
        <w:tc>
          <w:tcPr>
            <w:tcW w:w="13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6"/>
              </w:rPr>
              <w:t>contractual life</w:t>
            </w:r>
          </w:p>
        </w:tc>
        <w:tc>
          <w:tcPr>
            <w:tcW w:w="100" w:type="dxa"/>
            <w:vAlign w:val="bottom"/>
          </w:tcPr>
          <w:p>
            <w:pPr>
              <w:spacing w:after="0"/>
              <w:rPr>
                <w:sz w:val="15"/>
                <w:szCs w:val="15"/>
                <w:color w:val="auto"/>
              </w:rPr>
            </w:pPr>
          </w:p>
        </w:tc>
        <w:tc>
          <w:tcPr>
            <w:tcW w:w="8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price</w:t>
            </w:r>
          </w:p>
        </w:tc>
        <w:tc>
          <w:tcPr>
            <w:tcW w:w="160" w:type="dxa"/>
            <w:vAlign w:val="bottom"/>
          </w:tcPr>
          <w:p>
            <w:pPr>
              <w:spacing w:after="0"/>
              <w:rPr>
                <w:sz w:val="15"/>
                <w:szCs w:val="15"/>
                <w:color w:val="auto"/>
              </w:rPr>
            </w:pPr>
          </w:p>
        </w:tc>
        <w:tc>
          <w:tcPr>
            <w:tcW w:w="13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5"/>
              </w:rPr>
              <w:t>as of 12/31/02</w:t>
            </w:r>
          </w:p>
        </w:tc>
        <w:tc>
          <w:tcPr>
            <w:tcW w:w="160" w:type="dxa"/>
            <w:vAlign w:val="bottom"/>
          </w:tcPr>
          <w:p>
            <w:pPr>
              <w:spacing w:after="0"/>
              <w:rPr>
                <w:sz w:val="15"/>
                <w:szCs w:val="15"/>
                <w:color w:val="auto"/>
              </w:rPr>
            </w:pPr>
          </w:p>
        </w:tc>
        <w:tc>
          <w:tcPr>
            <w:tcW w:w="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95"/>
        </w:trPr>
        <w:tc>
          <w:tcPr>
            <w:tcW w:w="1740" w:type="dxa"/>
            <w:vAlign w:val="bottom"/>
            <w:tcBorders>
              <w:bottom w:val="single" w:sz="8" w:color="auto"/>
            </w:tcBorders>
            <w:gridSpan w:val="2"/>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$ 3.831—$22.073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114,170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82"/>
              </w:rPr>
              <w:t>$ 18.925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114,170</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$ 18.925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tcPr>
          <w:p>
            <w:pPr>
              <w:ind w:left="20"/>
              <w:spacing w:after="0"/>
              <w:rPr>
                <w:sz w:val="20"/>
                <w:szCs w:val="20"/>
                <w:color w:val="auto"/>
              </w:rPr>
            </w:pPr>
            <w:r>
              <w:rPr>
                <w:rFonts w:ascii="Arial" w:cs="Arial" w:eastAsia="Arial" w:hAnsi="Arial"/>
                <w:sz w:val="18"/>
                <w:szCs w:val="18"/>
                <w:color w:val="auto"/>
              </w:rPr>
              <w:t>$24.142—$30.710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5,354,259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8"/>
                <w:szCs w:val="18"/>
                <w:color w:val="auto"/>
                <w:w w:val="82"/>
              </w:rPr>
              <w:t>$ 27.634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5,354,259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$ 27.634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$30.795—$44.843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4,290,878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82"/>
              </w:rPr>
              <w:t>$ 39.264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3,883,836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$ 38.990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tcPr>
          <w:p>
            <w:pPr>
              <w:ind w:left="20"/>
              <w:spacing w:after="0"/>
              <w:rPr>
                <w:sz w:val="20"/>
                <w:szCs w:val="20"/>
                <w:color w:val="auto"/>
              </w:rPr>
            </w:pPr>
            <w:r>
              <w:rPr>
                <w:rFonts w:ascii="Arial" w:cs="Arial" w:eastAsia="Arial" w:hAnsi="Arial"/>
                <w:sz w:val="18"/>
                <w:szCs w:val="18"/>
                <w:color w:val="auto"/>
              </w:rPr>
              <w:t>$46.075—$65.330</w:t>
            </w:r>
          </w:p>
        </w:tc>
        <w:tc>
          <w:tcPr>
            <w:tcW w:w="100" w:type="dxa"/>
            <w:vAlign w:val="bottom"/>
          </w:tcPr>
          <w:p>
            <w:pPr>
              <w:spacing w:after="0"/>
              <w:rPr>
                <w:sz w:val="18"/>
                <w:szCs w:val="18"/>
                <w:color w:val="auto"/>
              </w:rPr>
            </w:pPr>
          </w:p>
        </w:tc>
        <w:tc>
          <w:tcPr>
            <w:tcW w:w="1640" w:type="dxa"/>
            <w:vAlign w:val="bottom"/>
            <w:gridSpan w:val="8"/>
          </w:tcPr>
          <w:p>
            <w:pPr>
              <w:jc w:val="right"/>
              <w:ind w:right="20"/>
              <w:spacing w:after="0"/>
              <w:rPr>
                <w:sz w:val="20"/>
                <w:szCs w:val="20"/>
                <w:color w:val="auto"/>
              </w:rPr>
            </w:pPr>
            <w:r>
              <w:rPr>
                <w:rFonts w:ascii="Arial" w:cs="Arial" w:eastAsia="Arial" w:hAnsi="Arial"/>
                <w:sz w:val="18"/>
                <w:szCs w:val="18"/>
                <w:color w:val="auto"/>
              </w:rPr>
              <w:t>16,516,490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4"/>
          </w:tcPr>
          <w:p>
            <w:pPr>
              <w:jc w:val="center"/>
              <w:ind w:right="180"/>
              <w:spacing w:after="0"/>
              <w:rPr>
                <w:sz w:val="20"/>
                <w:szCs w:val="20"/>
                <w:color w:val="auto"/>
              </w:rPr>
            </w:pPr>
            <w:r>
              <w:rPr>
                <w:rFonts w:ascii="Arial" w:cs="Arial" w:eastAsia="Arial" w:hAnsi="Arial"/>
                <w:sz w:val="18"/>
                <w:szCs w:val="18"/>
                <w:color w:val="auto"/>
                <w:w w:val="82"/>
              </w:rPr>
              <w:t>$ 56.343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4,528,477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$ 55.207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$71.315—$82.348</w:t>
            </w:r>
          </w:p>
        </w:tc>
        <w:tc>
          <w:tcPr>
            <w:tcW w:w="100" w:type="dxa"/>
            <w:vAlign w:val="bottom"/>
            <w:shd w:val="clear" w:color="auto" w:fill="CCEEFF"/>
          </w:tcPr>
          <w:p>
            <w:pPr>
              <w:spacing w:after="0"/>
              <w:rPr>
                <w:sz w:val="18"/>
                <w:szCs w:val="18"/>
                <w:color w:val="auto"/>
              </w:rPr>
            </w:pPr>
          </w:p>
        </w:tc>
        <w:tc>
          <w:tcPr>
            <w:tcW w:w="164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10,593,887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82"/>
              </w:rPr>
              <w:t>$ 80.566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7,261,731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$ 80.811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Borders>
              <w:bottom w:val="single" w:sz="8" w:color="auto"/>
            </w:tcBorders>
            <w:gridSpan w:val="6"/>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36,869,684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82"/>
              </w:rPr>
              <w:t>$ 57.030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21,142,473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$ 53.844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-2610485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-2610485</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-2610485</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-2610485</wp:posOffset>
            </wp:positionV>
            <wp:extent cx="59563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-2610485</wp:posOffset>
            </wp:positionV>
            <wp:extent cx="59563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2,677,842, 1,752,833 and 1,431,309 shares to employees in 2002, 2001 and 2000, respectively. Proforma</w:t>
      </w:r>
    </w:p>
    <w:p>
      <w:pPr>
        <w:sectPr>
          <w:pgSz w:w="11900" w:h="16838" w:orient="portrait"/>
          <w:cols w:equalWidth="0" w:num="1">
            <w:col w:w="11420"/>
          </w:cols>
          <w:pgMar w:left="240" w:top="428" w:right="239" w:bottom="1440" w:gutter="0" w:footer="0" w:header="0"/>
        </w:sectPr>
      </w:pPr>
    </w:p>
    <w:bookmarkStart w:id="39" w:name="page40"/>
    <w:bookmarkEnd w:id="39"/>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cost has been computed for the fair value of the employees’ purchase rights, which was estimated using the Black-Scholes model with the following assumptions for 2002, 2001 and 2000: Dividend of $0.75; expected life of one year; expected volatility of 34% for 2002, 36% for 2001 and 38% for 2000; and risk-free interest rates of 1.74% for 2002, 3.03% for 2001, 5.71% for 2000. The weighted-average fair value of those purchase rights granted in 2002, 2001 and 2000, was $13.324, $15.540 and $23.141,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Expense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8" w:lineRule="exact"/>
        <w:rPr>
          <w:sz w:val="20"/>
          <w:szCs w:val="20"/>
          <w:color w:val="auto"/>
        </w:rPr>
      </w:pPr>
    </w:p>
    <w:p>
      <w:pPr>
        <w:ind w:right="480" w:firstLine="456"/>
        <w:spacing w:after="0" w:line="324" w:lineRule="auto"/>
        <w:rPr>
          <w:sz w:val="20"/>
          <w:szCs w:val="20"/>
          <w:color w:val="auto"/>
        </w:rPr>
      </w:pPr>
      <w:r>
        <w:rPr>
          <w:rFonts w:ascii="Arial" w:cs="Arial" w:eastAsia="Arial" w:hAnsi="Arial"/>
          <w:sz w:val="16"/>
          <w:szCs w:val="16"/>
          <w:color w:val="auto"/>
        </w:rPr>
        <w:t>In 2002, pretax book income in the US included gains from a business divestiture aggregating approximately $143 million. Pretax book income from continuing operations subject to US and non-US income taxes for each of the three years ended December 31, was as follows:</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i w:val="1"/>
                <w:iCs w:val="1"/>
                <w:color w:val="auto"/>
              </w:rPr>
              <w:t>2002</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i w:val="1"/>
                <w:iCs w:val="1"/>
                <w:color w:val="auto"/>
              </w:rPr>
              <w:t>2001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ind w:right="57"/>
              <w:spacing w:after="0"/>
              <w:rPr>
                <w:sz w:val="20"/>
                <w:szCs w:val="20"/>
                <w:color w:val="auto"/>
              </w:rPr>
            </w:pPr>
            <w:r>
              <w:rPr>
                <w:rFonts w:ascii="Arial" w:cs="Arial" w:eastAsia="Arial" w:hAnsi="Arial"/>
                <w:sz w:val="14"/>
                <w:szCs w:val="14"/>
                <w:i w:val="1"/>
                <w:iCs w:val="1"/>
                <w:color w:val="auto"/>
                <w:w w:val="83"/>
              </w:rPr>
              <w:t>2000</w:t>
            </w:r>
          </w:p>
        </w:tc>
      </w:tr>
      <w:tr>
        <w:trPr>
          <w:trHeight w:val="95"/>
        </w:trPr>
        <w:tc>
          <w:tcPr>
            <w:tcW w:w="5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250"/>
        </w:trPr>
        <w:tc>
          <w:tcPr>
            <w:tcW w:w="5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i w:val="1"/>
                <w:iCs w:val="1"/>
                <w:color w:val="auto"/>
                <w:w w:val="88"/>
              </w:rPr>
              <w:t>(Stated in millions)</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8"/>
        </w:trPr>
        <w:tc>
          <w:tcPr>
            <w:tcW w:w="5800" w:type="dxa"/>
            <w:vAlign w:val="bottom"/>
          </w:tcPr>
          <w:p>
            <w:pPr>
              <w:spacing w:after="0"/>
              <w:rPr>
                <w:sz w:val="20"/>
                <w:szCs w:val="20"/>
                <w:color w:val="auto"/>
              </w:rPr>
            </w:pPr>
            <w:r>
              <w:rPr>
                <w:rFonts w:ascii="Arial" w:cs="Arial" w:eastAsia="Arial" w:hAnsi="Arial"/>
                <w:sz w:val="18"/>
                <w:szCs w:val="18"/>
                <w:color w:val="auto"/>
              </w:rPr>
              <w:t>Outside United States</w:t>
            </w:r>
          </w:p>
        </w:tc>
        <w:tc>
          <w:tcPr>
            <w:tcW w:w="120" w:type="dxa"/>
            <w:vAlign w:val="bottom"/>
          </w:tcPr>
          <w:p>
            <w:pPr>
              <w:spacing w:after="0"/>
              <w:rPr>
                <w:sz w:val="19"/>
                <w:szCs w:val="19"/>
                <w:color w:val="auto"/>
              </w:rPr>
            </w:pPr>
          </w:p>
        </w:tc>
        <w:tc>
          <w:tcPr>
            <w:tcW w:w="104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(2,376)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96"/>
        </w:trPr>
        <w:tc>
          <w:tcPr>
            <w:tcW w:w="58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(2,230)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r>
      <w:tr>
        <w:trPr>
          <w:trHeight w:val="132"/>
        </w:trPr>
        <w:tc>
          <w:tcPr>
            <w:tcW w:w="5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17538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53870" cy="29845"/>
                    </a:xfrm>
                    <a:prstGeom prst="rect">
                      <a:avLst/>
                    </a:prstGeom>
                    <a:noFill/>
                  </pic:spPr>
                </pic:pic>
              </a:graphicData>
            </a:graphic>
          </wp:anchor>
        </w:drawing>
      </w:r>
    </w:p>
    <w:p>
      <w:pPr>
        <w:spacing w:after="0" w:line="22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Schlumberger has net deferred tax assets of $583 million on December 31, 2002 including a partial valuation allowance of $147 million relating to a certain European net operating loss, and $488 million on December 31, 2001. Significant components of net deferred tax assets at December 31, 2002 included postretirement and other long-term benefits ($200 million), current employee benefits ($225 million), fixed assets, inventory and other ($123 million) and net operating losses ($182 million less a partial valuation allowance of $147 million). At December 31, 2001, it included postretirement and other long-term benefits ($186 million), current employee benefits ($93 million), fixed assets, inventory and other ($120 million) and net operating losses ($49 million).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consolidated income tax expense from continuing operations were as follows:</w:t>
      </w:r>
    </w:p>
    <w:p>
      <w:pPr>
        <w:spacing w:after="0" w:line="74"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i w:val="1"/>
                <w:iCs w:val="1"/>
                <w:color w:val="auto"/>
              </w:rPr>
              <w:t>2002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i w:val="1"/>
                <w:iCs w:val="1"/>
                <w:color w:val="auto"/>
                <w:w w:val="96"/>
              </w:rPr>
              <w:t>2001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470" w:type="dxa"/>
            <w:vAlign w:val="bottom"/>
          </w:tcPr>
          <w:p>
            <w:pPr>
              <w:jc w:val="right"/>
              <w:ind w:right="94"/>
              <w:spacing w:after="0"/>
              <w:rPr>
                <w:sz w:val="20"/>
                <w:szCs w:val="20"/>
                <w:color w:val="auto"/>
              </w:rPr>
            </w:pPr>
            <w:r>
              <w:rPr>
                <w:rFonts w:ascii="Arial" w:cs="Arial" w:eastAsia="Arial" w:hAnsi="Arial"/>
                <w:sz w:val="14"/>
                <w:szCs w:val="14"/>
                <w:i w:val="1"/>
                <w:iCs w:val="1"/>
                <w:color w:val="auto"/>
                <w:w w:val="83"/>
              </w:rPr>
              <w:t>2000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5"/>
        </w:trPr>
        <w:tc>
          <w:tcPr>
            <w:tcW w:w="5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5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6"/>
          </w:tcPr>
          <w:p>
            <w:pPr>
              <w:ind w:left="40"/>
              <w:spacing w:after="0"/>
              <w:rPr>
                <w:sz w:val="20"/>
                <w:szCs w:val="20"/>
                <w:color w:val="auto"/>
              </w:rPr>
            </w:pPr>
            <w:r>
              <w:rPr>
                <w:rFonts w:ascii="Arial" w:cs="Arial" w:eastAsia="Arial" w:hAnsi="Arial"/>
                <w:sz w:val="14"/>
                <w:szCs w:val="14"/>
                <w:i w:val="1"/>
                <w:iCs w:val="1"/>
                <w:color w:val="auto"/>
              </w:rPr>
              <w:t>(Stated in millions)</w:t>
            </w:r>
          </w:p>
        </w:tc>
        <w:tc>
          <w:tcPr>
            <w:tcW w:w="150" w:type="dxa"/>
            <w:vAlign w:val="bottom"/>
          </w:tcPr>
          <w:p>
            <w:pPr>
              <w:spacing w:after="0"/>
              <w:rPr>
                <w:sz w:val="21"/>
                <w:szCs w:val="21"/>
                <w:color w:val="auto"/>
              </w:rPr>
            </w:pPr>
          </w:p>
        </w:tc>
        <w:tc>
          <w:tcPr>
            <w:tcW w:w="4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United States—Federal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7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States—State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5800" w:type="dxa"/>
            <w:vAlign w:val="bottom"/>
          </w:tcPr>
          <w:p>
            <w:pPr>
              <w:ind w:left="220"/>
              <w:spacing w:after="0"/>
              <w:rPr>
                <w:sz w:val="20"/>
                <w:szCs w:val="20"/>
                <w:color w:val="auto"/>
              </w:rPr>
            </w:pPr>
            <w:r>
              <w:rPr>
                <w:rFonts w:ascii="Arial" w:cs="Arial" w:eastAsia="Arial" w:hAnsi="Arial"/>
                <w:sz w:val="18"/>
                <w:szCs w:val="18"/>
                <w:color w:val="auto"/>
              </w:rPr>
              <w:t>Outside United States</w:t>
            </w: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6"/>
        </w:trPr>
        <w:tc>
          <w:tcPr>
            <w:tcW w:w="5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7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205</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8"/>
        </w:trPr>
        <w:tc>
          <w:tcPr>
            <w:tcW w:w="5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5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7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United States—Federal</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States—State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59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Outside United States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0" w:type="dxa"/>
            <w:vAlign w:val="bottom"/>
            <w:shd w:val="clear" w:color="auto" w:fill="CCEEFF"/>
          </w:tcPr>
          <w:p>
            <w:pPr>
              <w:spacing w:after="0"/>
              <w:rPr>
                <w:sz w:val="18"/>
                <w:szCs w:val="18"/>
                <w:color w:val="auto"/>
              </w:rPr>
            </w:pPr>
          </w:p>
        </w:tc>
        <w:tc>
          <w:tcPr>
            <w:tcW w:w="59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5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5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7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74</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8"/>
        </w:trPr>
        <w:tc>
          <w:tcPr>
            <w:tcW w:w="5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5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7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Consolidated taxes on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279</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58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46736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40" w:name="page41"/>
    <w:bookmarkEnd w:id="40"/>
    <w:p>
      <w:pPr>
        <w:ind w:right="6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reported several charges/credits in continuing operations in each of the three years. These are more fully describe on page XXX . A reconciliation of the US statutory federal tax rate (35%) to the consolidated effective tax rate is: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6240" w:type="dxa"/>
            <w:vAlign w:val="bottom"/>
          </w:tcPr>
          <w:p>
            <w:pPr>
              <w:spacing w:after="0"/>
              <w:rPr>
                <w:sz w:val="14"/>
                <w:szCs w:val="14"/>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i w:val="1"/>
                <w:iCs w:val="1"/>
                <w:color w:val="auto"/>
              </w:rPr>
              <w:t>2002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i w:val="1"/>
                <w:iCs w:val="1"/>
                <w:color w:val="auto"/>
              </w:rPr>
              <w:t>2001</w:t>
            </w:r>
          </w:p>
        </w:tc>
        <w:tc>
          <w:tcPr>
            <w:tcW w:w="26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i w:val="1"/>
                <w:iCs w:val="1"/>
                <w:color w:val="auto"/>
              </w:rPr>
              <w:t>2000</w:t>
            </w:r>
          </w:p>
        </w:tc>
        <w:tc>
          <w:tcPr>
            <w:tcW w:w="20" w:type="dxa"/>
            <w:vAlign w:val="bottom"/>
          </w:tcPr>
          <w:p>
            <w:pPr>
              <w:spacing w:after="0"/>
              <w:rPr>
                <w:sz w:val="14"/>
                <w:szCs w:val="14"/>
                <w:color w:val="auto"/>
              </w:rPr>
            </w:pPr>
          </w:p>
        </w:tc>
      </w:tr>
      <w:tr>
        <w:trPr>
          <w:trHeight w:val="95"/>
        </w:trPr>
        <w:tc>
          <w:tcPr>
            <w:tcW w:w="62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(benefit)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US state income taxes</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3 %</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 US income taxed at different rates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Valuation allowance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 %</w:t>
            </w:r>
          </w:p>
        </w:tc>
        <w:tc>
          <w:tcPr>
            <w:tcW w:w="56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Charges and credits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47 %</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r>
        <w:trPr>
          <w:trHeight w:val="108"/>
        </w:trPr>
        <w:tc>
          <w:tcPr>
            <w:tcW w:w="62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6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8"/>
                <w:szCs w:val="18"/>
                <w:color w:val="auto"/>
              </w:rPr>
            </w:pPr>
          </w:p>
        </w:tc>
      </w:tr>
      <w:tr>
        <w:trPr>
          <w:trHeight w:val="132"/>
        </w:trPr>
        <w:tc>
          <w:tcPr>
            <w:tcW w:w="62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020" w:firstLine="456"/>
        <w:spacing w:after="0" w:line="375" w:lineRule="auto"/>
        <w:rPr>
          <w:sz w:val="20"/>
          <w:szCs w:val="20"/>
          <w:color w:val="auto"/>
        </w:rPr>
      </w:pPr>
      <w:r>
        <w:rPr>
          <w:rFonts w:ascii="Arial" w:cs="Arial" w:eastAsia="Arial" w:hAnsi="Arial"/>
          <w:sz w:val="18"/>
          <w:szCs w:val="18"/>
          <w:color w:val="auto"/>
        </w:rPr>
        <w:t xml:space="preserve">Schlumberger’s effective tax rate, excluding charges and credits, was 26%, 32% and 23% in 2002, 2001 and 2000 respectively. </w:t>
      </w:r>
      <w:r>
        <w:rPr>
          <w:rFonts w:ascii="Arial" w:cs="Arial" w:eastAsia="Arial" w:hAnsi="Arial"/>
          <w:sz w:val="18"/>
          <w:szCs w:val="18"/>
          <w:b w:val="1"/>
          <w:bCs w:val="1"/>
          <w:u w:val="single" w:color="auto"/>
          <w:color w:val="auto"/>
        </w:rPr>
        <w:t>Leases and Lease Commitments</w:t>
      </w:r>
    </w:p>
    <w:p>
      <w:pPr>
        <w:spacing w:after="0" w:line="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Total rental expense was $458 million in 2002, $390 million in 2001 and $287 million in 2000. Future minimum rental commitments under noncancelable leases for years ending December 31 are: $219 million in 2003; $187 million in 2004; $130 million in 2005; $109 million in 2006; and $117 million in 2007. For the ensuing three five-year periods, these commitments decrease from $309 million to $19 million. The minimum rentals over the remaining terms of the leases aggregate to $29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8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8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operates three reportable business segments: Oilfield Services (OFS), SchlumbergerSema (SLSEMA) and Other.</w:t>
      </w:r>
    </w:p>
    <w:p>
      <w:pPr>
        <w:sectPr>
          <w:pgSz w:w="11900" w:h="16838" w:orient="portrait"/>
          <w:cols w:equalWidth="0" w:num="1">
            <w:col w:w="11400"/>
          </w:cols>
          <w:pgMar w:left="240" w:top="428" w:right="259" w:bottom="1440" w:gutter="0" w:footer="0" w:header="0"/>
        </w:sectPr>
      </w:pPr>
    </w:p>
    <w:bookmarkStart w:id="41" w:name="page42"/>
    <w:bookmarkEnd w:id="41"/>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Oilfield Services segment falls into four clearly defined economic and geographical areas and is evaluated on the following basis: North America is a major self-contained market; Latin America comprises regional markets that share a common dependence on the United States; Europe is a major self-contained market that includes the CIS and West Africa, whose economy is increasingly linked to that of Europe; Middle East/Asia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 Schlumberger believes that all the products/services are interrelated and expects similar performance from each.</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SchlumbergerSema segment falls into three clearly defined economic and geographic areas and is evaluated on the following basis: North and South America is a major self-contained market; Europe is a major self-contained market that includes the Middle East and Africa; Asia includes the remainder of the Eastern Hemisphere. The SchlumbergerSema segment is a leading information technology services company providing domain expertise and global capabilities delivered on a local basis. SchlumbergerSema has proven capabilities delivering consulting, systems integration, managed services and products serving the telecommunications, energy &amp; utilities, finance, transport, public sector markets and oil and gas markets.</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Other segment comprises principally the Cards, Terminals, Meters North America and NPTest activities. In 2001 and 2000, also included are the divested Resource Management Services businesses.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information for the years ended December 31, 2002, 2001 and 2000, by segment,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after</w:t>
            </w:r>
          </w:p>
        </w:tc>
        <w:tc>
          <w:tcPr>
            <w:tcW w:w="100" w:type="dxa"/>
            <w:vAlign w:val="bottom"/>
          </w:tcPr>
          <w:p>
            <w:pPr>
              <w:spacing w:after="0"/>
              <w:rPr>
                <w:sz w:val="20"/>
                <w:szCs w:val="2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Tax</w:t>
            </w:r>
          </w:p>
        </w:tc>
        <w:tc>
          <w:tcPr>
            <w:tcW w:w="10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Minority</w:t>
            </w:r>
          </w:p>
        </w:tc>
        <w:tc>
          <w:tcPr>
            <w:tcW w:w="2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97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Depn. &amp;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3760" w:type="dxa"/>
            <w:vAlign w:val="bottom"/>
          </w:tcPr>
          <w:p>
            <w:pPr>
              <w:spacing w:after="0"/>
              <w:rPr>
                <w:sz w:val="15"/>
                <w:szCs w:val="15"/>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5"/>
                <w:szCs w:val="15"/>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tax</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5"/>
                <w:szCs w:val="15"/>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2"/>
              </w:rPr>
              <w:t>Interest</w:t>
            </w:r>
          </w:p>
        </w:tc>
        <w:tc>
          <w:tcPr>
            <w:tcW w:w="20" w:type="dxa"/>
            <w:vAlign w:val="bottom"/>
          </w:tcPr>
          <w:p>
            <w:pPr>
              <w:spacing w:after="0"/>
              <w:rPr>
                <w:sz w:val="15"/>
                <w:szCs w:val="15"/>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6"/>
              </w:rPr>
              <w:t>before tax</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Amortn.</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7"/>
          </w:tcPr>
          <w:p>
            <w:pPr>
              <w:jc w:val="right"/>
              <w:ind w:right="780"/>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North America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2,780</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254</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tcPr>
          <w:p>
            <w:pPr>
              <w:jc w:val="right"/>
              <w:spacing w:after="0"/>
              <w:rPr>
                <w:sz w:val="20"/>
                <w:szCs w:val="20"/>
                <w:color w:val="auto"/>
              </w:rPr>
            </w:pPr>
            <w:r>
              <w:rPr>
                <w:rFonts w:ascii="Arial" w:cs="Arial" w:eastAsia="Arial" w:hAnsi="Arial"/>
                <w:sz w:val="18"/>
                <w:szCs w:val="18"/>
                <w:color w:val="auto"/>
              </w:rPr>
              <w:t>409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3,154</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456</w:t>
            </w:r>
          </w:p>
        </w:tc>
        <w:tc>
          <w:tcPr>
            <w:tcW w:w="460" w:type="dxa"/>
            <w:vAlign w:val="bottom"/>
            <w:gridSpan w:val="3"/>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Europe/CIS/W. Africa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1,919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Middle East/Asia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tcPr>
          <w:p>
            <w:pPr>
              <w:ind w:left="140"/>
              <w:spacing w:after="0"/>
              <w:rPr>
                <w:sz w:val="20"/>
                <w:szCs w:val="20"/>
                <w:color w:val="auto"/>
              </w:rPr>
            </w:pPr>
            <w:r>
              <w:rPr>
                <w:rFonts w:ascii="Arial" w:cs="Arial" w:eastAsia="Arial" w:hAnsi="Arial"/>
                <w:sz w:val="18"/>
                <w:szCs w:val="18"/>
                <w:color w:val="auto"/>
              </w:rPr>
              <w:t>Eliminations/Other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97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2,762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11,302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SLSEMA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North &amp; South America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97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Europe/M. East/Africa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40"/>
              <w:spacing w:after="0"/>
              <w:rPr>
                <w:sz w:val="20"/>
                <w:szCs w:val="20"/>
                <w:color w:val="auto"/>
              </w:rPr>
            </w:pPr>
            <w:r>
              <w:rPr>
                <w:rFonts w:ascii="Arial" w:cs="Arial" w:eastAsia="Arial" w:hAnsi="Arial"/>
                <w:sz w:val="18"/>
                <w:szCs w:val="18"/>
                <w:color w:val="auto"/>
              </w:rPr>
              <w:t>Asia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Eliminations/Other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Corporate eliminations &amp; Other</w:t>
            </w: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(110)</w:t>
            </w:r>
          </w:p>
        </w:tc>
        <w:tc>
          <w:tcPr>
            <w:tcW w:w="10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970" w:type="dxa"/>
            <w:vAlign w:val="bottom"/>
            <w:gridSpan w:val="2"/>
          </w:tcPr>
          <w:p>
            <w:pPr>
              <w:jc w:val="right"/>
              <w:ind w:right="34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2,644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13,474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19,325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1,545</w:t>
            </w:r>
          </w:p>
        </w:tc>
        <w:tc>
          <w:tcPr>
            <w:tcW w:w="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5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970" w:type="dxa"/>
            <w:vAlign w:val="bottom"/>
            <w:gridSpan w:val="2"/>
          </w:tcPr>
          <w:p>
            <w:pPr>
              <w:jc w:val="right"/>
              <w:ind w:right="34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9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57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-887095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-887095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-887095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-887095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-887095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-887095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-887095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-887095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-887095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-887095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-887095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-887095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-887095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-887095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-887095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-887095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-887095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-887095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-887095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-887095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-887095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42" w:name="page43"/>
    <w:bookmarkEnd w:id="42"/>
    <w:tbl>
      <w:tblPr>
        <w:tblLayout w:type="fixed"/>
        <w:tblInd w:w="144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37"/>
        </w:trPr>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Income after</w:t>
            </w:r>
          </w:p>
        </w:tc>
        <w:tc>
          <w:tcPr>
            <w:tcW w:w="100" w:type="dxa"/>
            <w:vAlign w:val="bottom"/>
          </w:tcPr>
          <w:p>
            <w:pPr>
              <w:spacing w:after="0"/>
              <w:rPr>
                <w:sz w:val="20"/>
                <w:szCs w:val="20"/>
                <w:color w:val="auto"/>
              </w:rPr>
            </w:pPr>
          </w:p>
        </w:tc>
        <w:tc>
          <w:tcPr>
            <w:tcW w:w="6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9"/>
              </w:rPr>
              <w:t>Tax</w:t>
            </w: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Minority</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Depn. &amp;</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20"/>
                <w:szCs w:val="20"/>
                <w:color w:val="auto"/>
              </w:rPr>
            </w:pPr>
          </w:p>
        </w:tc>
      </w:tr>
      <w:tr>
        <w:trPr>
          <w:trHeight w:val="174"/>
        </w:trPr>
        <w:tc>
          <w:tcPr>
            <w:tcW w:w="202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5"/>
                <w:szCs w:val="15"/>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tax</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before tax</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Amortn.</w:t>
            </w:r>
          </w:p>
        </w:tc>
        <w:tc>
          <w:tcPr>
            <w:tcW w:w="2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6"/>
              </w:rPr>
              <w:t>Expenditure</w:t>
            </w:r>
          </w:p>
        </w:tc>
        <w:tc>
          <w:tcPr>
            <w:tcW w:w="20" w:type="dxa"/>
            <w:vAlign w:val="bottom"/>
          </w:tcPr>
          <w:p>
            <w:pPr>
              <w:spacing w:after="0"/>
              <w:rPr>
                <w:sz w:val="15"/>
                <w:szCs w:val="15"/>
                <w:color w:val="auto"/>
              </w:rPr>
            </w:pPr>
          </w:p>
        </w:tc>
      </w:tr>
      <w:tr>
        <w:trPr>
          <w:trHeight w:val="95"/>
        </w:trPr>
        <w:tc>
          <w:tcPr>
            <w:tcW w:w="2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6"/>
          </w:tcPr>
          <w:p>
            <w:pPr>
              <w:jc w:val="right"/>
              <w:ind w:right="580"/>
              <w:spacing w:after="0"/>
              <w:rPr>
                <w:sz w:val="20"/>
                <w:szCs w:val="20"/>
                <w:color w:val="auto"/>
              </w:rPr>
            </w:pPr>
            <w:r>
              <w:rPr>
                <w:rFonts w:ascii="Arial" w:cs="Arial" w:eastAsia="Arial" w:hAnsi="Arial"/>
                <w:sz w:val="14"/>
                <w:szCs w:val="14"/>
                <w:i w:val="1"/>
                <w:iCs w:val="1"/>
                <w:color w:val="auto"/>
                <w:w w:val="90"/>
              </w:rPr>
              <w:t>(Stated in millions)</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North America</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3,654</w:t>
            </w:r>
          </w:p>
        </w:tc>
        <w:tc>
          <w:tcPr>
            <w:tcW w:w="3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534</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60" w:type="dxa"/>
            <w:vAlign w:val="bottom"/>
            <w:gridSpan w:val="2"/>
          </w:tcPr>
          <w:p>
            <w:pPr>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852</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3,070</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20" w:type="dxa"/>
            <w:vAlign w:val="bottom"/>
          </w:tcPr>
          <w:p>
            <w:pPr>
              <w:spacing w:after="0"/>
              <w:rPr>
                <w:sz w:val="12"/>
                <w:szCs w:val="12"/>
                <w:color w:val="auto"/>
              </w:rPr>
            </w:pPr>
          </w:p>
        </w:tc>
      </w:tr>
      <w:tr>
        <w:trPr>
          <w:trHeight w:val="149"/>
        </w:trPr>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Latin America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20" w:type="dxa"/>
            <w:vAlign w:val="bottom"/>
          </w:tcPr>
          <w:p>
            <w:pPr>
              <w:spacing w:after="0"/>
              <w:rPr>
                <w:sz w:val="12"/>
                <w:szCs w:val="12"/>
                <w:color w:val="auto"/>
              </w:rPr>
            </w:pPr>
          </w:p>
        </w:tc>
      </w:tr>
      <w:tr>
        <w:trPr>
          <w:trHeight w:val="149"/>
        </w:trPr>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Europe/CIS/W. Africa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2,341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264</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2,022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20" w:type="dxa"/>
            <w:vAlign w:val="bottom"/>
          </w:tcPr>
          <w:p>
            <w:pPr>
              <w:spacing w:after="0"/>
              <w:rPr>
                <w:sz w:val="12"/>
                <w:szCs w:val="12"/>
                <w:color w:val="auto"/>
              </w:rPr>
            </w:pPr>
          </w:p>
        </w:tc>
      </w:tr>
      <w:tr>
        <w:trPr>
          <w:trHeight w:val="149"/>
        </w:trPr>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Middle East/Asia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20" w:type="dxa"/>
            <w:vAlign w:val="bottom"/>
          </w:tcPr>
          <w:p>
            <w:pPr>
              <w:spacing w:after="0"/>
              <w:rPr>
                <w:sz w:val="12"/>
                <w:szCs w:val="12"/>
                <w:color w:val="auto"/>
              </w:rPr>
            </w:pPr>
          </w:p>
        </w:tc>
      </w:tr>
      <w:tr>
        <w:trPr>
          <w:trHeight w:val="172"/>
        </w:trPr>
        <w:tc>
          <w:tcPr>
            <w:tcW w:w="2020" w:type="dxa"/>
            <w:vAlign w:val="bottom"/>
          </w:tcPr>
          <w:p>
            <w:pPr>
              <w:ind w:left="80"/>
              <w:spacing w:after="0"/>
              <w:rPr>
                <w:sz w:val="20"/>
                <w:szCs w:val="20"/>
                <w:color w:val="auto"/>
              </w:rPr>
            </w:pPr>
            <w:r>
              <w:rPr>
                <w:rFonts w:ascii="Arial" w:cs="Arial" w:eastAsia="Arial" w:hAnsi="Arial"/>
                <w:sz w:val="14"/>
                <w:szCs w:val="14"/>
                <w:color w:val="auto"/>
              </w:rPr>
              <w:t>Eliminations/Other</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(48)</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2,532</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159</w:t>
            </w:r>
          </w:p>
        </w:tc>
        <w:tc>
          <w:tcPr>
            <w:tcW w:w="20" w:type="dxa"/>
            <w:vAlign w:val="bottom"/>
          </w:tcPr>
          <w:p>
            <w:pPr>
              <w:spacing w:after="0"/>
              <w:rPr>
                <w:sz w:val="14"/>
                <w:szCs w:val="14"/>
                <w:color w:val="auto"/>
              </w:rPr>
            </w:pPr>
          </w:p>
        </w:tc>
      </w:tr>
      <w:tr>
        <w:trPr>
          <w:trHeight w:val="84"/>
        </w:trPr>
        <w:tc>
          <w:tcPr>
            <w:tcW w:w="20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1,254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10,947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w:t>
            </w:r>
          </w:p>
        </w:tc>
        <w:tc>
          <w:tcPr>
            <w:tcW w:w="20" w:type="dxa"/>
            <w:vAlign w:val="bottom"/>
          </w:tcPr>
          <w:p>
            <w:pPr>
              <w:spacing w:after="0"/>
              <w:rPr>
                <w:sz w:val="12"/>
                <w:szCs w:val="12"/>
                <w:color w:val="auto"/>
              </w:rPr>
            </w:pPr>
          </w:p>
        </w:tc>
      </w:tr>
      <w:tr>
        <w:trPr>
          <w:trHeight w:val="108"/>
        </w:trPr>
        <w:tc>
          <w:tcPr>
            <w:tcW w:w="2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North &amp; South America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6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2"/>
                <w:szCs w:val="12"/>
                <w:color w:val="auto"/>
              </w:rPr>
            </w:pPr>
          </w:p>
        </w:tc>
      </w:tr>
      <w:tr>
        <w:trPr>
          <w:trHeight w:val="149"/>
        </w:trPr>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Europe/M. East/Africa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r>
      <w:tr>
        <w:trPr>
          <w:trHeight w:val="149"/>
        </w:trPr>
        <w:tc>
          <w:tcPr>
            <w:tcW w:w="2020" w:type="dxa"/>
            <w:vAlign w:val="bottom"/>
          </w:tcPr>
          <w:p>
            <w:pPr>
              <w:ind w:left="80"/>
              <w:spacing w:after="0" w:line="149" w:lineRule="exact"/>
              <w:rPr>
                <w:sz w:val="20"/>
                <w:szCs w:val="20"/>
                <w:color w:val="auto"/>
              </w:rPr>
            </w:pPr>
            <w:r>
              <w:rPr>
                <w:rFonts w:ascii="Arial" w:cs="Arial" w:eastAsia="Arial" w:hAnsi="Arial"/>
                <w:sz w:val="14"/>
                <w:szCs w:val="14"/>
                <w:color w:val="auto"/>
              </w:rPr>
              <w:t>Asia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2"/>
                <w:szCs w:val="12"/>
                <w:color w:val="auto"/>
              </w:rPr>
            </w:pPr>
          </w:p>
        </w:tc>
      </w:tr>
      <w:tr>
        <w:trPr>
          <w:trHeight w:val="149"/>
        </w:trPr>
        <w:tc>
          <w:tcPr>
            <w:tcW w:w="20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Eliminations/Other</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08"/>
        </w:trPr>
        <w:tc>
          <w:tcPr>
            <w:tcW w:w="2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20" w:type="dxa"/>
            <w:vAlign w:val="bottom"/>
          </w:tcPr>
          <w:p>
            <w:pPr>
              <w:spacing w:after="0"/>
              <w:rPr>
                <w:sz w:val="12"/>
                <w:szCs w:val="12"/>
                <w:color w:val="auto"/>
              </w:rPr>
            </w:pPr>
          </w:p>
        </w:tc>
      </w:tr>
      <w:tr>
        <w:trPr>
          <w:trHeight w:val="108"/>
        </w:trPr>
        <w:tc>
          <w:tcPr>
            <w:tcW w:w="2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20" w:type="dxa"/>
            <w:vAlign w:val="bottom"/>
          </w:tcPr>
          <w:p>
            <w:pPr>
              <w:spacing w:after="0"/>
              <w:rPr>
                <w:sz w:val="12"/>
                <w:szCs w:val="12"/>
                <w:color w:val="auto"/>
              </w:rPr>
            </w:pPr>
          </w:p>
        </w:tc>
      </w:tr>
      <w:tr>
        <w:trPr>
          <w:trHeight w:val="172"/>
        </w:trPr>
        <w:tc>
          <w:tcPr>
            <w:tcW w:w="2020" w:type="dxa"/>
            <w:vAlign w:val="bottom"/>
          </w:tcPr>
          <w:p>
            <w:pPr>
              <w:spacing w:after="0"/>
              <w:rPr>
                <w:sz w:val="20"/>
                <w:szCs w:val="20"/>
                <w:color w:val="auto"/>
              </w:rPr>
            </w:pPr>
            <w:r>
              <w:rPr>
                <w:rFonts w:ascii="Arial" w:cs="Arial" w:eastAsia="Arial" w:hAnsi="Arial"/>
                <w:sz w:val="14"/>
                <w:szCs w:val="14"/>
                <w:color w:val="auto"/>
              </w:rPr>
              <w:t>Corporate eliminations &amp; Other</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(420)</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2,416</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356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4"/>
                <w:szCs w:val="14"/>
                <w:color w:val="auto"/>
              </w:rPr>
            </w:pPr>
          </w:p>
        </w:tc>
      </w:tr>
      <w:tr>
        <w:trPr>
          <w:trHeight w:val="84"/>
        </w:trPr>
        <w:tc>
          <w:tcPr>
            <w:tcW w:w="20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14,058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22,326</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2,460</w:t>
            </w:r>
          </w:p>
        </w:tc>
        <w:tc>
          <w:tcPr>
            <w:tcW w:w="20" w:type="dxa"/>
            <w:vAlign w:val="bottom"/>
          </w:tcPr>
          <w:p>
            <w:pPr>
              <w:spacing w:after="0"/>
              <w:rPr>
                <w:sz w:val="12"/>
                <w:szCs w:val="12"/>
                <w:color w:val="auto"/>
              </w:rPr>
            </w:pPr>
          </w:p>
        </w:tc>
      </w:tr>
      <w:tr>
        <w:trPr>
          <w:trHeight w:val="132"/>
        </w:trPr>
        <w:tc>
          <w:tcPr>
            <w:tcW w:w="2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05"/>
        </w:trPr>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(380)</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(143)</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2"/>
        </w:trPr>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-715010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2232660</wp:posOffset>
            </wp:positionH>
            <wp:positionV relativeFrom="paragraph">
              <wp:posOffset>-715010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-715010</wp:posOffset>
            </wp:positionV>
            <wp:extent cx="173672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3672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-715010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-715010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-715010</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-715010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-715010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-715010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-715010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-715010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-715010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89"/>
              </w:rPr>
              <w:t>2000</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1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37"/>
        </w:trPr>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Income after</w:t>
            </w:r>
          </w:p>
        </w:tc>
        <w:tc>
          <w:tcPr>
            <w:tcW w:w="100" w:type="dxa"/>
            <w:vAlign w:val="bottom"/>
          </w:tcPr>
          <w:p>
            <w:pPr>
              <w:spacing w:after="0"/>
              <w:rPr>
                <w:sz w:val="20"/>
                <w:szCs w:val="20"/>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Tax</w:t>
            </w: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Minority</w:t>
            </w:r>
          </w:p>
        </w:tc>
        <w:tc>
          <w:tcPr>
            <w:tcW w:w="24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Income before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Depn. &amp;</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20"/>
                <w:szCs w:val="20"/>
                <w:color w:val="auto"/>
              </w:rPr>
            </w:pPr>
          </w:p>
        </w:tc>
      </w:tr>
      <w:tr>
        <w:trPr>
          <w:trHeight w:val="174"/>
        </w:trPr>
        <w:tc>
          <w:tcPr>
            <w:tcW w:w="176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5"/>
                <w:szCs w:val="15"/>
                <w:color w:val="auto"/>
              </w:rPr>
            </w:pPr>
          </w:p>
        </w:tc>
        <w:tc>
          <w:tcPr>
            <w:tcW w:w="8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tax</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Expense</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5"/>
                <w:szCs w:val="15"/>
                <w:color w:val="auto"/>
              </w:rPr>
            </w:pPr>
          </w:p>
        </w:tc>
        <w:tc>
          <w:tcPr>
            <w:tcW w:w="520" w:type="dxa"/>
            <w:vAlign w:val="bottom"/>
          </w:tcPr>
          <w:p>
            <w:pPr>
              <w:ind w:left="320"/>
              <w:spacing w:after="0"/>
              <w:rPr>
                <w:sz w:val="20"/>
                <w:szCs w:val="20"/>
                <w:color w:val="auto"/>
              </w:rPr>
            </w:pPr>
            <w:r>
              <w:rPr>
                <w:rFonts w:ascii="Arial" w:cs="Arial" w:eastAsia="Arial" w:hAnsi="Arial"/>
                <w:sz w:val="14"/>
                <w:szCs w:val="14"/>
                <w:b w:val="1"/>
                <w:bCs w:val="1"/>
                <w:color w:val="auto"/>
                <w:w w:val="88"/>
              </w:rPr>
              <w:t>tax</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Amortn.</w:t>
            </w:r>
          </w:p>
        </w:tc>
        <w:tc>
          <w:tcPr>
            <w:tcW w:w="2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6"/>
              </w:rPr>
              <w:t>Expenditure</w:t>
            </w:r>
          </w:p>
        </w:tc>
        <w:tc>
          <w:tcPr>
            <w:tcW w:w="20" w:type="dxa"/>
            <w:vAlign w:val="bottom"/>
          </w:tcPr>
          <w:p>
            <w:pPr>
              <w:spacing w:after="0"/>
              <w:rPr>
                <w:sz w:val="15"/>
                <w:szCs w:val="15"/>
                <w:color w:val="auto"/>
              </w:rPr>
            </w:pPr>
          </w:p>
        </w:tc>
      </w:tr>
      <w:tr>
        <w:trPr>
          <w:trHeight w:val="95"/>
        </w:trPr>
        <w:tc>
          <w:tcPr>
            <w:tcW w:w="1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i w:val="1"/>
                <w:iCs w:val="1"/>
                <w:color w:val="auto"/>
                <w:w w:val="90"/>
              </w:rPr>
              <w:t>(Stated in millions)</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760" w:type="dxa"/>
            <w:vAlign w:val="bottom"/>
          </w:tcPr>
          <w:p>
            <w:pPr>
              <w:ind w:left="60"/>
              <w:spacing w:after="0" w:line="149" w:lineRule="exact"/>
              <w:rPr>
                <w:sz w:val="20"/>
                <w:szCs w:val="20"/>
                <w:color w:val="auto"/>
              </w:rPr>
            </w:pPr>
            <w:r>
              <w:rPr>
                <w:rFonts w:ascii="Arial" w:cs="Arial" w:eastAsia="Arial" w:hAnsi="Arial"/>
                <w:sz w:val="14"/>
                <w:szCs w:val="14"/>
                <w:color w:val="auto"/>
              </w:rPr>
              <w:t>North America</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2,459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235</w:t>
            </w:r>
          </w:p>
        </w:tc>
        <w:tc>
          <w:tcPr>
            <w:tcW w:w="2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28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2,985</w:t>
            </w:r>
          </w:p>
        </w:tc>
        <w:tc>
          <w:tcPr>
            <w:tcW w:w="3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608</w:t>
            </w:r>
          </w:p>
        </w:tc>
        <w:tc>
          <w:tcPr>
            <w:tcW w:w="20" w:type="dxa"/>
            <w:vAlign w:val="bottom"/>
          </w:tcPr>
          <w:p>
            <w:pPr>
              <w:spacing w:after="0"/>
              <w:rPr>
                <w:sz w:val="12"/>
                <w:szCs w:val="12"/>
                <w:color w:val="auto"/>
              </w:rPr>
            </w:pPr>
          </w:p>
        </w:tc>
      </w:tr>
      <w:tr>
        <w:trPr>
          <w:trHeight w:val="149"/>
        </w:trPr>
        <w:tc>
          <w:tcPr>
            <w:tcW w:w="17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Latin America</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20" w:type="dxa"/>
            <w:vAlign w:val="bottom"/>
          </w:tcPr>
          <w:p>
            <w:pPr>
              <w:spacing w:after="0"/>
              <w:rPr>
                <w:sz w:val="12"/>
                <w:szCs w:val="12"/>
                <w:color w:val="auto"/>
              </w:rPr>
            </w:pPr>
          </w:p>
        </w:tc>
      </w:tr>
      <w:tr>
        <w:trPr>
          <w:trHeight w:val="149"/>
        </w:trPr>
        <w:tc>
          <w:tcPr>
            <w:tcW w:w="1760" w:type="dxa"/>
            <w:vAlign w:val="bottom"/>
          </w:tcPr>
          <w:p>
            <w:pPr>
              <w:ind w:left="60"/>
              <w:spacing w:after="0" w:line="149" w:lineRule="exact"/>
              <w:rPr>
                <w:sz w:val="20"/>
                <w:szCs w:val="20"/>
                <w:color w:val="auto"/>
              </w:rPr>
            </w:pPr>
            <w:r>
              <w:rPr>
                <w:rFonts w:ascii="Arial" w:cs="Arial" w:eastAsia="Arial" w:hAnsi="Arial"/>
                <w:sz w:val="14"/>
                <w:szCs w:val="14"/>
                <w:color w:val="auto"/>
              </w:rPr>
              <w:t>Europe/CIS/W. Africa</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1,666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1,689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20" w:type="dxa"/>
            <w:vAlign w:val="bottom"/>
          </w:tcPr>
          <w:p>
            <w:pPr>
              <w:spacing w:after="0"/>
              <w:rPr>
                <w:sz w:val="12"/>
                <w:szCs w:val="12"/>
                <w:color w:val="auto"/>
              </w:rPr>
            </w:pPr>
          </w:p>
        </w:tc>
      </w:tr>
      <w:tr>
        <w:trPr>
          <w:trHeight w:val="149"/>
        </w:trPr>
        <w:tc>
          <w:tcPr>
            <w:tcW w:w="17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Middle East/Asia</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1,716</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0" w:type="dxa"/>
            <w:vAlign w:val="bottom"/>
          </w:tcPr>
          <w:p>
            <w:pPr>
              <w:spacing w:after="0"/>
              <w:rPr>
                <w:sz w:val="12"/>
                <w:szCs w:val="12"/>
                <w:color w:val="auto"/>
              </w:rPr>
            </w:pPr>
          </w:p>
        </w:tc>
      </w:tr>
      <w:tr>
        <w:trPr>
          <w:trHeight w:val="172"/>
        </w:trPr>
        <w:tc>
          <w:tcPr>
            <w:tcW w:w="1760" w:type="dxa"/>
            <w:vAlign w:val="bottom"/>
          </w:tcPr>
          <w:p>
            <w:pPr>
              <w:ind w:left="60"/>
              <w:spacing w:after="0"/>
              <w:rPr>
                <w:sz w:val="20"/>
                <w:szCs w:val="20"/>
                <w:color w:val="auto"/>
              </w:rPr>
            </w:pPr>
            <w:r>
              <w:rPr>
                <w:rFonts w:ascii="Arial" w:cs="Arial" w:eastAsia="Arial" w:hAnsi="Arial"/>
                <w:sz w:val="14"/>
                <w:szCs w:val="14"/>
                <w:color w:val="auto"/>
              </w:rPr>
              <w:t>Eliminations/Other</w:t>
            </w: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220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55</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1,585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r>
      <w:tr>
        <w:trPr>
          <w:trHeight w:val="84"/>
        </w:trPr>
        <w:tc>
          <w:tcPr>
            <w:tcW w:w="17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7,253</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1,041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w:t>
            </w:r>
          </w:p>
        </w:tc>
        <w:tc>
          <w:tcPr>
            <w:tcW w:w="20" w:type="dxa"/>
            <w:vAlign w:val="bottom"/>
          </w:tcPr>
          <w:p>
            <w:pPr>
              <w:spacing w:after="0"/>
              <w:rPr>
                <w:sz w:val="12"/>
                <w:szCs w:val="12"/>
                <w:color w:val="auto"/>
              </w:rPr>
            </w:pPr>
          </w:p>
        </w:tc>
      </w:tr>
      <w:tr>
        <w:trPr>
          <w:trHeight w:val="108"/>
        </w:trPr>
        <w:tc>
          <w:tcPr>
            <w:tcW w:w="1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SLSEMA</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760" w:type="dxa"/>
            <w:vAlign w:val="bottom"/>
          </w:tcPr>
          <w:p>
            <w:pPr>
              <w:ind w:left="60"/>
              <w:spacing w:after="0" w:line="149" w:lineRule="exact"/>
              <w:rPr>
                <w:sz w:val="20"/>
                <w:szCs w:val="20"/>
                <w:color w:val="auto"/>
              </w:rPr>
            </w:pPr>
            <w:r>
              <w:rPr>
                <w:rFonts w:ascii="Arial" w:cs="Arial" w:eastAsia="Arial" w:hAnsi="Arial"/>
                <w:sz w:val="14"/>
                <w:szCs w:val="14"/>
                <w:color w:val="auto"/>
              </w:rPr>
              <w:t>North &amp; South America</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10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r>
      <w:tr>
        <w:trPr>
          <w:trHeight w:val="149"/>
        </w:trPr>
        <w:tc>
          <w:tcPr>
            <w:tcW w:w="17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Europe/M. East/Africa</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r>
      <w:tr>
        <w:trPr>
          <w:trHeight w:val="149"/>
        </w:trPr>
        <w:tc>
          <w:tcPr>
            <w:tcW w:w="1760" w:type="dxa"/>
            <w:vAlign w:val="bottom"/>
          </w:tcPr>
          <w:p>
            <w:pPr>
              <w:ind w:left="60"/>
              <w:spacing w:after="0" w:line="149" w:lineRule="exact"/>
              <w:rPr>
                <w:sz w:val="20"/>
                <w:szCs w:val="20"/>
                <w:color w:val="auto"/>
              </w:rPr>
            </w:pPr>
            <w:r>
              <w:rPr>
                <w:rFonts w:ascii="Arial" w:cs="Arial" w:eastAsia="Arial" w:hAnsi="Arial"/>
                <w:sz w:val="14"/>
                <w:szCs w:val="14"/>
                <w:color w:val="auto"/>
              </w:rPr>
              <w:t>Asia</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r>
      <w:tr>
        <w:trPr>
          <w:trHeight w:val="149"/>
        </w:trPr>
        <w:tc>
          <w:tcPr>
            <w:tcW w:w="17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Eliminations/Other</w:t>
            </w: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08"/>
        </w:trPr>
        <w:tc>
          <w:tcPr>
            <w:tcW w:w="1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 w:type="dxa"/>
            <w:vAlign w:val="bottom"/>
          </w:tcPr>
          <w:p>
            <w:pPr>
              <w:spacing w:after="0"/>
              <w:rPr>
                <w:sz w:val="12"/>
                <w:szCs w:val="12"/>
                <w:color w:val="auto"/>
              </w:rPr>
            </w:pPr>
          </w:p>
        </w:tc>
      </w:tr>
      <w:tr>
        <w:trPr>
          <w:trHeight w:val="108"/>
        </w:trPr>
        <w:tc>
          <w:tcPr>
            <w:tcW w:w="1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2,468</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20" w:type="dxa"/>
            <w:vAlign w:val="bottom"/>
          </w:tcPr>
          <w:p>
            <w:pPr>
              <w:spacing w:after="0"/>
              <w:rPr>
                <w:sz w:val="12"/>
                <w:szCs w:val="12"/>
                <w:color w:val="auto"/>
              </w:rPr>
            </w:pPr>
          </w:p>
        </w:tc>
      </w:tr>
      <w:tr>
        <w:trPr>
          <w:trHeight w:val="138"/>
        </w:trPr>
        <w:tc>
          <w:tcPr>
            <w:tcW w:w="1760" w:type="dxa"/>
            <w:vAlign w:val="bottom"/>
          </w:tcPr>
          <w:p>
            <w:pPr>
              <w:spacing w:after="0" w:line="138" w:lineRule="exact"/>
              <w:rPr>
                <w:sz w:val="20"/>
                <w:szCs w:val="20"/>
                <w:color w:val="auto"/>
              </w:rPr>
            </w:pPr>
            <w:r>
              <w:rPr>
                <w:rFonts w:ascii="Arial" w:cs="Arial" w:eastAsia="Arial" w:hAnsi="Arial"/>
                <w:sz w:val="14"/>
                <w:szCs w:val="14"/>
                <w:color w:val="auto"/>
              </w:rPr>
              <w:t>Corporate eliminations &amp;</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2"/>
        </w:trPr>
        <w:tc>
          <w:tcPr>
            <w:tcW w:w="1760" w:type="dxa"/>
            <w:vAlign w:val="bottom"/>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(128)</w:t>
            </w:r>
          </w:p>
        </w:tc>
        <w:tc>
          <w:tcPr>
            <w:tcW w:w="18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(206)</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5,479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r>
      <w:tr>
        <w:trPr>
          <w:trHeight w:val="95"/>
        </w:trPr>
        <w:tc>
          <w:tcPr>
            <w:tcW w:w="1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9,831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17,173</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1,541</w:t>
            </w:r>
          </w:p>
        </w:tc>
        <w:tc>
          <w:tcPr>
            <w:tcW w:w="20" w:type="dxa"/>
            <w:vAlign w:val="bottom"/>
          </w:tcPr>
          <w:p>
            <w:pPr>
              <w:spacing w:after="0"/>
              <w:rPr>
                <w:sz w:val="12"/>
                <w:szCs w:val="12"/>
                <w:color w:val="auto"/>
              </w:rPr>
            </w:pPr>
          </w:p>
        </w:tc>
      </w:tr>
      <w:tr>
        <w:trPr>
          <w:trHeight w:val="132"/>
        </w:trPr>
        <w:tc>
          <w:tcPr>
            <w:tcW w:w="1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105"/>
        </w:trPr>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7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(273)</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2"/>
        </w:trPr>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-715010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-715010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-715010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-715010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-715010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-715010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-715010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-715010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-715010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-715010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-715010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-715010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-715010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-715010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-715010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-715010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-715010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-715010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-715010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-715010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-715010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Oilfield Services net income eliminations include certain headquarters administrative costs which are not allocated geographically, manufacturing and certain other operations, and costs maintained at the Oilfield Services level including the WesternGeco minority interest expense.</w:t>
      </w:r>
    </w:p>
    <w:p>
      <w:pPr>
        <w:spacing w:after="0" w:line="7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SchlumbergerSema net income eliminations include certain headquarters administrative costs which are not allocated geographically and other costs maintained at the SchlumbergerSema level.</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Corporate income eliminations principally comprise the amortization of goodwill (in 2001 and 2000) and other intangibles, as well as nonoperating expenses, such as certain intersegment charges and interest expense (except as</w:t>
      </w:r>
    </w:p>
    <w:p>
      <w:pPr>
        <w:sectPr>
          <w:pgSz w:w="11900" w:h="16838" w:orient="portrait"/>
          <w:cols w:equalWidth="0" w:num="1">
            <w:col w:w="11000"/>
          </w:cols>
          <w:pgMar w:left="240" w:top="424" w:right="659" w:bottom="1440" w:gutter="0" w:footer="0" w:header="0"/>
        </w:sectPr>
      </w:pPr>
    </w:p>
    <w:bookmarkStart w:id="43" w:name="page44"/>
    <w:bookmarkEnd w:id="4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shown above), which are not included in the segments’ income. Corporate assets largely comprise short-term investments and fixed income investments, held to maturity.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years ended December 31, 2002, no single customer exceeded 10% of consolidated revenue.</w:t>
      </w:r>
    </w:p>
    <w:p>
      <w:pPr>
        <w:spacing w:after="0" w:line="158"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Schlumberger did not have revenue from third-party customers in its country of domicile during the last three years. In each of the three years, only revenue in the US exceeded 10% of consolidated revenue. Revenue in the US in 2002, 2001 and 2000 was $4.0 billion, $5.1 billion and $3.5 billion, respectively.</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excludes amounts which are included in the segments’ income (2002—$4 million: 2001—$5 million: 2000—$5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Capital Expenditure include Multiclient seismic data costs.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and Other Benefit Plans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Pension Plans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Schlumberger and its US subsidiary sponsor several defined benefit pension plans that cover substantially all employees. The benefits are based on years of service and compensation on a career-average pay basis. These plans are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99"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assumed discount rate, compensation increases and return on plan assets used to determine pension expense in 2002 were 7.25%, 3% and 8.5%, respectively. In 2001, the assumptions were 7.5%, 4.5% and 9%, respectively. In 2000, the assumptions were 7.75%, 4.5% and 9%, respectively.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pension cost in the US for 2002, 2001 and 2000, included the following components:</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i w:val="1"/>
                <w:iCs w:val="1"/>
                <w:color w:val="auto"/>
                <w:w w:val="83"/>
              </w:rPr>
              <w:t>2002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i w:val="1"/>
                <w:iCs w:val="1"/>
                <w:color w:val="auto"/>
                <w:w w:val="96"/>
              </w:rPr>
              <w:t>2001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89"/>
              </w:rPr>
              <w:t>2000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w w:val="92"/>
              </w:rPr>
              <w:t>(Stated in millions)</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4"/>
              </w:rPr>
              <w:t>Expected return on plan assets (actual return: 2002—$(114); 2001—$(70); 2000</w:t>
            </w:r>
          </w:p>
        </w:tc>
        <w:tc>
          <w:tcPr>
            <w:tcW w:w="14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Amortization of transition assets</w:t>
            </w:r>
          </w:p>
        </w:tc>
        <w:tc>
          <w:tcPr>
            <w:tcW w:w="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cost/other</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40" w:type="dxa"/>
            <w:vAlign w:val="bottom"/>
          </w:tcPr>
          <w:p>
            <w:pPr>
              <w:spacing w:after="0"/>
              <w:rPr>
                <w:sz w:val="20"/>
                <w:szCs w:val="20"/>
                <w:color w:val="auto"/>
              </w:rPr>
            </w:pPr>
            <w:r>
              <w:rPr>
                <w:rFonts w:ascii="Arial" w:cs="Arial" w:eastAsia="Arial" w:hAnsi="Arial"/>
                <w:sz w:val="18"/>
                <w:szCs w:val="18"/>
                <w:color w:val="auto"/>
              </w:rPr>
              <w:t>Amortization of unrecognized net gain</w:t>
            </w:r>
          </w:p>
        </w:tc>
        <w:tc>
          <w:tcPr>
            <w:tcW w:w="1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96"/>
        </w:trPr>
        <w:tc>
          <w:tcPr>
            <w:tcW w:w="6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pension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-29210</wp:posOffset>
            </wp:positionV>
            <wp:extent cx="37274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3644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644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January 1, 2000, Schlumberger and its subsidiaries amended their pension plans to improve retirement benefits for active employees.</w:t>
      </w:r>
    </w:p>
    <w:p>
      <w:pPr>
        <w:sectPr>
          <w:pgSz w:w="11900" w:h="16838" w:orient="portrait"/>
          <w:cols w:equalWidth="0" w:num="1">
            <w:col w:w="11400"/>
          </w:cols>
          <w:pgMar w:left="240" w:top="280" w:right="259" w:bottom="1440" w:gutter="0" w:footer="0" w:header="0"/>
        </w:sectPr>
      </w:pPr>
    </w:p>
    <w:bookmarkStart w:id="44" w:name="page45"/>
    <w:bookmarkEnd w:id="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change in the projected benefit obligation, plan assets and funded status of the plans on December 31, 2002 and 2001, was as follows:</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i w:val="1"/>
                <w:iCs w:val="1"/>
                <w:color w:val="auto"/>
              </w:rPr>
              <w:t>2002</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ind w:right="213"/>
              <w:spacing w:after="0"/>
              <w:rPr>
                <w:sz w:val="20"/>
                <w:szCs w:val="20"/>
                <w:color w:val="auto"/>
              </w:rPr>
            </w:pPr>
            <w:r>
              <w:rPr>
                <w:rFonts w:ascii="Arial" w:cs="Arial" w:eastAsia="Arial" w:hAnsi="Arial"/>
                <w:sz w:val="14"/>
                <w:szCs w:val="14"/>
                <w:i w:val="1"/>
                <w:iCs w:val="1"/>
                <w:color w:val="auto"/>
                <w:w w:val="83"/>
              </w:rPr>
              <w:t>2001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5"/>
        </w:trPr>
        <w:tc>
          <w:tcPr>
            <w:tcW w:w="6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6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Actuarial losses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(77)</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108"/>
        </w:trPr>
        <w:tc>
          <w:tcPr>
            <w:tcW w:w="6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end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(114)</w:t>
            </w:r>
          </w:p>
        </w:tc>
        <w:tc>
          <w:tcPr>
            <w:tcW w:w="3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Contribution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(77)</w:t>
            </w:r>
          </w:p>
        </w:tc>
        <w:tc>
          <w:tcPr>
            <w:tcW w:w="30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r>
      <w:tr>
        <w:trPr>
          <w:trHeight w:val="96"/>
        </w:trPr>
        <w:tc>
          <w:tcPr>
            <w:tcW w:w="6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Excess of projected benefit obligation over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(489)</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Unrecognized net loss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8"/>
                <w:szCs w:val="18"/>
                <w:color w:val="auto"/>
              </w:rPr>
              <w:t>Contribution receivable</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w:t>
            </w:r>
          </w:p>
        </w:tc>
        <w:tc>
          <w:tcPr>
            <w:tcW w:w="30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96"/>
        </w:trPr>
        <w:tc>
          <w:tcPr>
            <w:tcW w:w="6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at end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(188)</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r>
      <w:tr>
        <w:trPr>
          <w:trHeight w:val="132"/>
        </w:trPr>
        <w:tc>
          <w:tcPr>
            <w:tcW w:w="6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8"/>
        </w:trPr>
        <w:tc>
          <w:tcPr>
            <w:tcW w:w="6220" w:type="dxa"/>
            <w:vAlign w:val="bottom"/>
          </w:tcPr>
          <w:p>
            <w:pPr>
              <w:spacing w:after="0"/>
              <w:rPr>
                <w:sz w:val="20"/>
                <w:szCs w:val="20"/>
                <w:color w:val="auto"/>
              </w:rPr>
            </w:pPr>
            <w:r>
              <w:rPr>
                <w:rFonts w:ascii="Arial" w:cs="Arial" w:eastAsia="Arial" w:hAnsi="Arial"/>
                <w:sz w:val="18"/>
                <w:szCs w:val="18"/>
                <w:color w:val="auto"/>
              </w:rPr>
              <w:t>Accumulated benefits obligation at end of the year</w:t>
            </w:r>
          </w:p>
        </w:tc>
        <w:tc>
          <w:tcPr>
            <w:tcW w:w="1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(1,336)</w:t>
            </w:r>
          </w:p>
        </w:tc>
        <w:tc>
          <w:tcPr>
            <w:tcW w:w="30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96"/>
        </w:trPr>
        <w:tc>
          <w:tcPr>
            <w:tcW w:w="6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Minimum liability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(434)</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Pension liability at end of the year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108"/>
        </w:trPr>
        <w:tc>
          <w:tcPr>
            <w:tcW w:w="6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Charged to other comprehensive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(224)</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132"/>
        </w:trPr>
        <w:tc>
          <w:tcPr>
            <w:tcW w:w="6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-3296920</wp:posOffset>
            </wp:positionV>
            <wp:extent cx="94742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4742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-3296920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-2301875</wp:posOffset>
            </wp:positionV>
            <wp:extent cx="94742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94742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-2301875</wp:posOffset>
            </wp:positionV>
            <wp:extent cx="3873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-1306830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-1306830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-1306830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-1306830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-1306830</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-1306830</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-29210</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market performance over the last two years has decreased the value of assets held in the US pension plans and has correspondingly increased the amount by which the pension plans are under-funded. As a result of the decline in the value of the pension plan assets and a decline in the interest rates, which increases the present value of the benefit obligations, Schlumberger recorded in the fourth quarter a non-cash charge to Stockholders Equity of $224 million. A recovery in market returns in future periods would reverse a portion of the charge.</w:t>
      </w:r>
    </w:p>
    <w:p>
      <w:pPr>
        <w:spacing w:after="0" w:line="99"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assumed discount rate, the rate of compensation increases and the expected long-term rate of return on plan assets used to determine the projected benefit obligations were 6.75%, 3% and 8.5%, respectively, in 2002, and 7.25%, 4.5% and 9%, respectively, in 2001. Plan assets, excluding the contribution receivable, on December 31, 2002, consisted of common stocks ($524 million), cash or cash equivalents ($98 million), fixed income investments ($228 million) and other investments ($52 million). On December 31, 2002, there is no investment of the plan assets in Schlumberger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Pension Plans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funded with trustees in respect to past and current service. For all defined benefit plans, pension expense was $58 million, $52 million and $23 million in 2002, 2001 and 2000, respectively. Based on plan assets and the projected benefit obligation, the only significant defined benefit plan is in the UK.</w:t>
      </w:r>
    </w:p>
    <w:p>
      <w:pPr>
        <w:sectPr>
          <w:pgSz w:w="11900" w:h="16838" w:orient="portrait"/>
          <w:cols w:equalWidth="0" w:num="1">
            <w:col w:w="11380"/>
          </w:cols>
          <w:pgMar w:left="240" w:top="428" w:right="279" w:bottom="1440" w:gutter="0" w:footer="0" w:header="0"/>
        </w:sectPr>
      </w:pPr>
    </w:p>
    <w:bookmarkStart w:id="45" w:name="page46"/>
    <w:bookmarkEnd w:id="45"/>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assumed discount rate, compensation increases and return on plan assets used to determine pension expense in 2002 were 5.75%, 4.0% and 9.0% respectively. In 2001, the assumptions were 6%, 4% and 9%, respectively.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pension cost in the UK plan for 2002, 2001 (including the Sema plc plans) and 2000 (translated into US dollars at the average exchange rate for the periods), included the following components: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w w:val="89"/>
              </w:rPr>
              <w:t>2002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i w:val="1"/>
                <w:iCs w:val="1"/>
                <w:color w:val="auto"/>
                <w:w w:val="89"/>
              </w:rPr>
              <w:t>2001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i w:val="1"/>
                <w:iCs w:val="1"/>
                <w:color w:val="auto"/>
                <w:w w:val="96"/>
              </w:rPr>
              <w:t>2000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i w:val="1"/>
                <w:iCs w:val="1"/>
                <w:color w:val="auto"/>
                <w:w w:val="93"/>
              </w:rPr>
              <w:t>(Stated in millions)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Service cost-benefits earned during the period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 on projected benefit obligation</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Pr>
          <w:p>
            <w:pPr>
              <w:spacing w:after="0"/>
              <w:rPr>
                <w:sz w:val="20"/>
                <w:szCs w:val="20"/>
                <w:color w:val="auto"/>
              </w:rPr>
            </w:pPr>
            <w:r>
              <w:rPr>
                <w:rFonts w:ascii="Arial" w:cs="Arial" w:eastAsia="Arial" w:hAnsi="Arial"/>
                <w:sz w:val="18"/>
                <w:szCs w:val="18"/>
                <w:color w:val="auto"/>
              </w:rPr>
              <w:t>Expected return on plan assets (actual return: 2001—($47);</w:t>
            </w:r>
          </w:p>
        </w:tc>
        <w:tc>
          <w:tcPr>
            <w:tcW w:w="120" w:type="dxa"/>
            <w:vAlign w:val="bottom"/>
          </w:tcPr>
          <w:p>
            <w:pPr>
              <w:spacing w:after="0"/>
              <w:rPr>
                <w:sz w:val="18"/>
                <w:szCs w:val="18"/>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120"/>
              <w:spacing w:after="0"/>
              <w:rPr>
                <w:sz w:val="20"/>
                <w:szCs w:val="20"/>
                <w:color w:val="auto"/>
              </w:rPr>
            </w:pPr>
            <w:r>
              <w:rPr>
                <w:rFonts w:ascii="Arial" w:cs="Arial" w:eastAsia="Arial" w:hAnsi="Arial"/>
                <w:sz w:val="18"/>
                <w:szCs w:val="18"/>
                <w:color w:val="auto"/>
              </w:rPr>
              <w:t>2000—($28); 1999—$106)</w:t>
            </w:r>
          </w:p>
        </w:tc>
        <w:tc>
          <w:tcPr>
            <w:tcW w:w="12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 asset and other</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60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pension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6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-29210</wp:posOffset>
            </wp:positionV>
            <wp:extent cx="37274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change in the projected benefit obligation, plan assets and funded status of the plan (translated into US dollars at year-end exchange rates) was as follows:</w:t>
      </w:r>
    </w:p>
    <w:p>
      <w:pPr>
        <w:sectPr>
          <w:pgSz w:w="11900" w:h="16838" w:orient="portrait"/>
          <w:cols w:equalWidth="0" w:num="1">
            <w:col w:w="11120"/>
          </w:cols>
          <w:pgMar w:left="240" w:top="428" w:right="539" w:bottom="1440" w:gutter="0" w:footer="0" w:header="0"/>
        </w:sectPr>
      </w:pPr>
    </w:p>
    <w:bookmarkStart w:id="46" w:name="page47"/>
    <w:bookmarkEnd w:id="46"/>
    <w:tbl>
      <w:tblPr>
        <w:tblLayout w:type="fixed"/>
        <w:tblInd w:w="1440" w:type="dxa"/>
        <w:tblCellMar>
          <w:top w:w="0" w:type="dxa"/>
          <w:left w:w="0" w:type="dxa"/>
          <w:bottom w:w="0" w:type="dxa"/>
          <w:right w:w="0" w:type="dxa"/>
        </w:tblCellMar>
      </w:tblPr>
      <w:tr>
        <w:trPr>
          <w:trHeight w:val="172"/>
        </w:trPr>
        <w:tc>
          <w:tcPr>
            <w:tcW w:w="6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i w:val="1"/>
                <w:iCs w:val="1"/>
                <w:color w:val="auto"/>
              </w:rPr>
              <w:t>2002</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i w:val="1"/>
                <w:iCs w:val="1"/>
                <w:color w:val="auto"/>
              </w:rPr>
              <w:t>2001</w:t>
            </w:r>
          </w:p>
        </w:tc>
        <w:tc>
          <w:tcPr>
            <w:tcW w:w="120" w:type="dxa"/>
            <w:vAlign w:val="bottom"/>
          </w:tcPr>
          <w:p>
            <w:pPr>
              <w:spacing w:after="0"/>
              <w:rPr>
                <w:sz w:val="14"/>
                <w:szCs w:val="14"/>
                <w:color w:val="auto"/>
              </w:rPr>
            </w:pPr>
          </w:p>
        </w:tc>
      </w:tr>
      <w:tr>
        <w:trPr>
          <w:trHeight w:val="95"/>
        </w:trPr>
        <w:tc>
          <w:tcPr>
            <w:tcW w:w="6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5"/>
          </w:tcPr>
          <w:p>
            <w:pPr>
              <w:jc w:val="right"/>
              <w:ind w:right="620"/>
              <w:spacing w:after="0"/>
              <w:rPr>
                <w:sz w:val="20"/>
                <w:szCs w:val="20"/>
                <w:color w:val="auto"/>
              </w:rPr>
            </w:pPr>
            <w:r>
              <w:rPr>
                <w:rFonts w:ascii="Arial" w:cs="Arial" w:eastAsia="Arial" w:hAnsi="Arial"/>
                <w:sz w:val="14"/>
                <w:szCs w:val="14"/>
                <w:i w:val="1"/>
                <w:iCs w:val="1"/>
                <w:color w:val="auto"/>
              </w:rPr>
              <w:t>(Stated in millions)</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Acquisition of Sema</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by Plan participants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(gain) on exchange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108"/>
        </w:trPr>
        <w:tc>
          <w:tcPr>
            <w:tcW w:w="6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6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end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8"/>
                <w:szCs w:val="18"/>
                <w:color w:val="auto"/>
              </w:rPr>
            </w:pPr>
          </w:p>
        </w:tc>
      </w:tr>
      <w:tr>
        <w:trPr>
          <w:trHeight w:val="132"/>
        </w:trPr>
        <w:tc>
          <w:tcPr>
            <w:tcW w:w="6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5"/>
        </w:trPr>
        <w:tc>
          <w:tcPr>
            <w:tcW w:w="6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Acquisition of Sema</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Gain (loss) on exchange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Employee contributions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8"/>
        </w:trPr>
        <w:tc>
          <w:tcPr>
            <w:tcW w:w="6380" w:type="dxa"/>
            <w:vAlign w:val="bottom"/>
          </w:tcPr>
          <w:p>
            <w:pPr>
              <w:spacing w:after="0"/>
              <w:rPr>
                <w:sz w:val="20"/>
                <w:szCs w:val="20"/>
                <w:color w:val="auto"/>
              </w:rPr>
            </w:pPr>
            <w:r>
              <w:rPr>
                <w:rFonts w:ascii="Arial" w:cs="Arial" w:eastAsia="Arial" w:hAnsi="Arial"/>
                <w:sz w:val="18"/>
                <w:szCs w:val="18"/>
                <w:color w:val="auto"/>
              </w:rPr>
              <w:t>Disposals</w:t>
            </w: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w:t>
            </w: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96"/>
        </w:trPr>
        <w:tc>
          <w:tcPr>
            <w:tcW w:w="6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6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Plan assets at market value at end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shd w:val="clear" w:color="auto" w:fill="CCEEFF"/>
          </w:tcPr>
          <w:p>
            <w:pPr>
              <w:spacing w:after="0"/>
              <w:rPr>
                <w:sz w:val="18"/>
                <w:szCs w:val="18"/>
                <w:color w:val="auto"/>
              </w:rPr>
            </w:pPr>
          </w:p>
        </w:tc>
      </w:tr>
      <w:tr>
        <w:trPr>
          <w:trHeight w:val="132"/>
        </w:trPr>
        <w:tc>
          <w:tcPr>
            <w:tcW w:w="6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05"/>
        </w:trPr>
        <w:tc>
          <w:tcPr>
            <w:tcW w:w="6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Excess of projected benefit obligation over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Unrecognized net loss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28"/>
        </w:trPr>
        <w:tc>
          <w:tcPr>
            <w:tcW w:w="6380" w:type="dxa"/>
            <w:vAlign w:val="bottom"/>
          </w:tcPr>
          <w:p>
            <w:pPr>
              <w:spacing w:after="0"/>
              <w:rPr>
                <w:sz w:val="20"/>
                <w:szCs w:val="20"/>
                <w:color w:val="auto"/>
              </w:rPr>
            </w:pPr>
            <w:r>
              <w:rPr>
                <w:rFonts w:ascii="Arial" w:cs="Arial" w:eastAsia="Arial" w:hAnsi="Arial"/>
                <w:sz w:val="18"/>
                <w:szCs w:val="18"/>
                <w:color w:val="auto"/>
              </w:rPr>
              <w:t>Unrecognized net asset at transition date</w:t>
            </w: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96"/>
        </w:trPr>
        <w:tc>
          <w:tcPr>
            <w:tcW w:w="6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6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Pension asset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132"/>
        </w:trPr>
        <w:tc>
          <w:tcPr>
            <w:tcW w:w="6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5"/>
        </w:trPr>
        <w:tc>
          <w:tcPr>
            <w:tcW w:w="6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Assets of under-funded plans at market value at end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8"/>
        </w:trPr>
        <w:tc>
          <w:tcPr>
            <w:tcW w:w="6380" w:type="dxa"/>
            <w:vAlign w:val="bottom"/>
          </w:tcPr>
          <w:p>
            <w:pPr>
              <w:spacing w:after="0"/>
              <w:rPr>
                <w:sz w:val="20"/>
                <w:szCs w:val="20"/>
                <w:color w:val="auto"/>
              </w:rPr>
            </w:pPr>
            <w:r>
              <w:rPr>
                <w:rFonts w:ascii="Arial" w:cs="Arial" w:eastAsia="Arial" w:hAnsi="Arial"/>
                <w:sz w:val="18"/>
                <w:szCs w:val="18"/>
                <w:color w:val="auto"/>
              </w:rPr>
              <w:t>Accumulated benefit obligation of under-funded plans at end of the year</w:t>
            </w:r>
          </w:p>
        </w:tc>
        <w:tc>
          <w:tcPr>
            <w:tcW w:w="1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(495)</w:t>
            </w:r>
          </w:p>
        </w:tc>
        <w:tc>
          <w:tcPr>
            <w:tcW w:w="1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96"/>
        </w:trPr>
        <w:tc>
          <w:tcPr>
            <w:tcW w:w="6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6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Minimum liability of under-funded plans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8"/>
        </w:trPr>
        <w:tc>
          <w:tcPr>
            <w:tcW w:w="6380" w:type="dxa"/>
            <w:vAlign w:val="bottom"/>
          </w:tcPr>
          <w:p>
            <w:pPr>
              <w:spacing w:after="0"/>
              <w:rPr>
                <w:sz w:val="20"/>
                <w:szCs w:val="20"/>
                <w:color w:val="auto"/>
              </w:rPr>
            </w:pPr>
            <w:r>
              <w:rPr>
                <w:rFonts w:ascii="Arial" w:cs="Arial" w:eastAsia="Arial" w:hAnsi="Arial"/>
                <w:sz w:val="18"/>
                <w:szCs w:val="18"/>
                <w:color w:val="auto"/>
              </w:rPr>
              <w:t>Pension liability of under-funded plans</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96"/>
        </w:trPr>
        <w:tc>
          <w:tcPr>
            <w:tcW w:w="6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102"/>
        </w:trPr>
        <w:tc>
          <w:tcPr>
            <w:tcW w:w="6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Charged to other comprehensive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132"/>
        </w:trPr>
        <w:tc>
          <w:tcPr>
            <w:tcW w:w="6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-3708400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-3708400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-3708400</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-3708400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-3708400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-3708400</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-2164715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-2164715</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-2164715</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-2164715</wp:posOffset>
            </wp:positionV>
            <wp:extent cx="51879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-1169670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-1169670</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-1169670</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-1169670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-1169670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-1169670</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market performance over the last two years has decreased the value of assets held in the UK pension plans and has correspondingly increased the amount by which the pension plans are under-funded. As a result of the decline in the value of the pension plan assets and a decline in the interest rates, which increased the present value of the benefit obligations, Schlumberger recorded in the fourth quarter a non-cash charge to Stockholders Equity of $90 million. A recovery in market returns in future periods would reverse a portion of the charge.</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assumed discount rate and rate of compensation increases used to determine the projected benefit obligation were 5.70% and 3.75-2.55% respectively in 2002, and 5.75% and 4%, respectively in 2001. Plan assets consisted of common stocks ($610 million), cash or cash equivalents ($64 million) and fixed income investments ($141 million). None of the segregated plan assets represented Schlumberger common stock.</w:t>
      </w:r>
    </w:p>
    <w:p>
      <w:pPr>
        <w:spacing w:after="0" w:line="9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defined contribution plans, funding and cost are generally based upon a predetermined percentage of employee compensation. Charges to expense in 2002, 2001 and 2000, were $44 million, $32 million and $22 million, respectively.</w:t>
      </w:r>
    </w:p>
    <w:p>
      <w:pPr>
        <w:sectPr>
          <w:pgSz w:w="11900" w:h="16838" w:orient="portrait"/>
          <w:cols w:equalWidth="0" w:num="1">
            <w:col w:w="11300"/>
          </w:cols>
          <w:pgMar w:left="240" w:top="27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Deferred Benefits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to providing pension benefits, Schlumberger and its subsidiaries have other deferred benefit programs, primarily profit sharing. Expenses for these programs were $143 million, $192 million and $114 million in 2002, 2001 and 2000,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Benefits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Schlumberger and its US subsidiary provide health care benefits for certain active employees. The cost of providing these benefits is recognized as expense when incurred and aggregated $79 million, $68 million and $60 million in 2002, 2001 and 2000, respectively. Outside the US, such benefits are mostly provided through government-sponsored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 Other than Pensions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Schlumberger and its US subsidiary provide certain health care benefits to former employees who have retired under the US pension plans.</w:t>
      </w:r>
    </w:p>
    <w:p>
      <w:pPr>
        <w:spacing w:after="0" w:line="18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principal actuarial assumptions used to measure costs were a discount rate of 7.25% in 2002, 7.5% in 2001 and 7.75% in 2000. The overall medical cost trend rate assumption is 9.5% graded to 5% over the next six years and 5% thereafter.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postretirement benefit cost in the US for 2002, 2001 and 2000, included the following components:</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i w:val="1"/>
                <w:iCs w:val="1"/>
                <w:color w:val="auto"/>
                <w:w w:val="89"/>
              </w:rPr>
              <w:t>2002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i w:val="1"/>
                <w:iCs w:val="1"/>
                <w:color w:val="auto"/>
                <w:w w:val="89"/>
              </w:rPr>
              <w:t>2001</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i w:val="1"/>
                <w:iCs w:val="1"/>
                <w:color w:val="auto"/>
                <w:w w:val="89"/>
              </w:rPr>
              <w:t>2000</w:t>
            </w:r>
          </w:p>
        </w:tc>
        <w:tc>
          <w:tcPr>
            <w:tcW w:w="120" w:type="dxa"/>
            <w:vAlign w:val="bottom"/>
          </w:tcPr>
          <w:p>
            <w:pPr>
              <w:spacing w:after="0"/>
              <w:rPr>
                <w:sz w:val="14"/>
                <w:szCs w:val="14"/>
                <w:color w:val="auto"/>
              </w:rPr>
            </w:pPr>
          </w:p>
        </w:tc>
      </w:tr>
      <w:tr>
        <w:trPr>
          <w:trHeight w:val="95"/>
        </w:trPr>
        <w:tc>
          <w:tcPr>
            <w:tcW w:w="6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250"/>
        </w:trPr>
        <w:tc>
          <w:tcPr>
            <w:tcW w:w="6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5"/>
              </w:rPr>
              <w:t>(Stated in millions)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gain and 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108"/>
        </w:trPr>
        <w:tc>
          <w:tcPr>
            <w:tcW w:w="6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6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132"/>
        </w:trPr>
        <w:tc>
          <w:tcPr>
            <w:tcW w:w="6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accumulated postretirement benefit obligation and funded status on December 31, 2002 and 2001, was as follows:</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50" w:type="dxa"/>
            <w:vAlign w:val="bottom"/>
          </w:tcPr>
          <w:p>
            <w:pPr>
              <w:jc w:val="right"/>
              <w:ind w:right="176"/>
              <w:spacing w:after="0"/>
              <w:rPr>
                <w:sz w:val="20"/>
                <w:szCs w:val="20"/>
                <w:color w:val="auto"/>
              </w:rPr>
            </w:pPr>
            <w:r>
              <w:rPr>
                <w:rFonts w:ascii="Arial" w:cs="Arial" w:eastAsia="Arial" w:hAnsi="Arial"/>
                <w:sz w:val="14"/>
                <w:szCs w:val="14"/>
                <w:b w:val="1"/>
                <w:bCs w:val="1"/>
                <w:i w:val="1"/>
                <w:iCs w:val="1"/>
                <w:color w:val="auto"/>
              </w:rPr>
              <w:t>2002</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i w:val="1"/>
                <w:iCs w:val="1"/>
                <w:color w:val="auto"/>
              </w:rPr>
              <w:t>2001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95"/>
        </w:trPr>
        <w:tc>
          <w:tcPr>
            <w:tcW w:w="64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360" w:type="dxa"/>
            <w:vAlign w:val="bottom"/>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648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910" w:type="dxa"/>
            <w:vAlign w:val="bottom"/>
            <w:gridSpan w:val="7"/>
          </w:tcPr>
          <w:p>
            <w:pPr>
              <w:jc w:val="right"/>
              <w:ind w:right="560"/>
              <w:spacing w:after="0"/>
              <w:rPr>
                <w:sz w:val="20"/>
                <w:szCs w:val="20"/>
                <w:color w:val="auto"/>
              </w:rPr>
            </w:pPr>
            <w:r>
              <w:rPr>
                <w:rFonts w:ascii="Arial" w:cs="Arial" w:eastAsia="Arial" w:hAnsi="Arial"/>
                <w:sz w:val="14"/>
                <w:szCs w:val="14"/>
                <w:i w:val="1"/>
                <w:iCs w:val="1"/>
                <w:color w:val="auto"/>
              </w:rPr>
              <w:t>(Stated in millions)</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the year</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Service cost</w:t>
            </w:r>
          </w:p>
        </w:tc>
        <w:tc>
          <w:tcPr>
            <w:tcW w:w="15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5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Actuarial losses (gains)</w:t>
            </w:r>
          </w:p>
        </w:tc>
        <w:tc>
          <w:tcPr>
            <w:tcW w:w="15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5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8"/>
        </w:trPr>
        <w:tc>
          <w:tcPr>
            <w:tcW w:w="6480" w:type="dxa"/>
            <w:vAlign w:val="bottom"/>
          </w:tcPr>
          <w:p>
            <w:pPr>
              <w:spacing w:after="0"/>
              <w:rPr>
                <w:sz w:val="20"/>
                <w:szCs w:val="20"/>
                <w:color w:val="auto"/>
              </w:rPr>
            </w:pPr>
            <w:r>
              <w:rPr>
                <w:rFonts w:ascii="Arial" w:cs="Arial" w:eastAsia="Arial" w:hAnsi="Arial"/>
                <w:sz w:val="18"/>
                <w:szCs w:val="18"/>
                <w:color w:val="auto"/>
              </w:rPr>
              <w:t>Other</w:t>
            </w:r>
          </w:p>
        </w:tc>
        <w:tc>
          <w:tcPr>
            <w:tcW w:w="150" w:type="dxa"/>
            <w:vAlign w:val="bottom"/>
          </w:tcPr>
          <w:p>
            <w:pPr>
              <w:spacing w:after="0"/>
              <w:rPr>
                <w:sz w:val="19"/>
                <w:szCs w:val="19"/>
                <w:color w:val="auto"/>
              </w:rPr>
            </w:pPr>
          </w:p>
        </w:tc>
        <w:tc>
          <w:tcPr>
            <w:tcW w:w="65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96"/>
        </w:trPr>
        <w:tc>
          <w:tcPr>
            <w:tcW w:w="64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the end of the year</w:t>
            </w:r>
          </w:p>
        </w:tc>
        <w:tc>
          <w:tcPr>
            <w:tcW w:w="15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Unrecognized net gain</w:t>
            </w:r>
          </w:p>
        </w:tc>
        <w:tc>
          <w:tcPr>
            <w:tcW w:w="150" w:type="dxa"/>
            <w:vAlign w:val="bottom"/>
          </w:tcPr>
          <w:p>
            <w:pPr>
              <w:spacing w:after="0"/>
              <w:rPr>
                <w:sz w:val="18"/>
                <w:szCs w:val="18"/>
                <w:color w:val="auto"/>
              </w:rPr>
            </w:pPr>
          </w:p>
        </w:tc>
        <w:tc>
          <w:tcPr>
            <w:tcW w:w="99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cost/other</w:t>
            </w:r>
          </w:p>
        </w:tc>
        <w:tc>
          <w:tcPr>
            <w:tcW w:w="15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8"/>
        </w:trPr>
        <w:tc>
          <w:tcPr>
            <w:tcW w:w="6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5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 liability on December 31</w:t>
            </w:r>
          </w:p>
        </w:tc>
        <w:tc>
          <w:tcPr>
            <w:tcW w:w="15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64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accumulated postretirement benefit obligation on December 31, 2002 and 2001, were as follows:</w:t>
      </w:r>
    </w:p>
    <w:p>
      <w:pPr>
        <w:sectPr>
          <w:pgSz w:w="11900" w:h="16838" w:orient="portrait"/>
          <w:cols w:equalWidth="0" w:num="1">
            <w:col w:w="11380"/>
          </w:cols>
          <w:pgMar w:left="240" w:top="422" w:right="279" w:bottom="1440" w:gutter="0" w:footer="0" w:header="0"/>
        </w:sectPr>
      </w:pPr>
    </w:p>
    <w:bookmarkStart w:id="48" w:name="page49"/>
    <w:bookmarkEnd w:id="48"/>
    <w:tbl>
      <w:tblPr>
        <w:tblLayout w:type="fixed"/>
        <w:tblInd w:w="1440" w:type="dxa"/>
        <w:tblCellMar>
          <w:top w:w="0" w:type="dxa"/>
          <w:left w:w="0" w:type="dxa"/>
          <w:bottom w:w="0" w:type="dxa"/>
          <w:right w:w="0" w:type="dxa"/>
        </w:tblCellMar>
      </w:tblPr>
      <w:tr>
        <w:trPr>
          <w:trHeight w:val="172"/>
        </w:trPr>
        <w:tc>
          <w:tcPr>
            <w:tcW w:w="6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2002</w:t>
            </w:r>
          </w:p>
        </w:tc>
        <w:tc>
          <w:tcPr>
            <w:tcW w:w="3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2001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95"/>
        </w:trPr>
        <w:tc>
          <w:tcPr>
            <w:tcW w:w="648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480" w:type="dxa"/>
            <w:vAlign w:val="bottom"/>
          </w:tcPr>
          <w:p>
            <w:pPr>
              <w:spacing w:after="0"/>
              <w:rPr>
                <w:sz w:val="21"/>
                <w:szCs w:val="21"/>
                <w:color w:val="auto"/>
              </w:rPr>
            </w:pPr>
          </w:p>
        </w:tc>
        <w:tc>
          <w:tcPr>
            <w:tcW w:w="1780" w:type="dxa"/>
            <w:vAlign w:val="bottom"/>
            <w:gridSpan w:val="4"/>
          </w:tcPr>
          <w:p>
            <w:pPr>
              <w:jc w:val="right"/>
              <w:ind w:right="220"/>
              <w:spacing w:after="0"/>
              <w:rPr>
                <w:sz w:val="20"/>
                <w:szCs w:val="20"/>
                <w:color w:val="auto"/>
              </w:rPr>
            </w:pPr>
            <w:r>
              <w:rPr>
                <w:rFonts w:ascii="Arial" w:cs="Arial" w:eastAsia="Arial" w:hAnsi="Arial"/>
                <w:sz w:val="14"/>
                <w:szCs w:val="14"/>
                <w:i w:val="1"/>
                <w:iCs w:val="1"/>
                <w:color w:val="auto"/>
              </w:rPr>
              <w:t>(Stated in millions)</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Retirees</w:t>
            </w: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277</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Fully eligible</w:t>
            </w:r>
          </w:p>
        </w:tc>
        <w:tc>
          <w:tcPr>
            <w:tcW w:w="6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110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Actives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289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w:t>
            </w:r>
          </w:p>
        </w:tc>
        <w:tc>
          <w:tcPr>
            <w:tcW w:w="20" w:type="dxa"/>
            <w:vAlign w:val="bottom"/>
          </w:tcPr>
          <w:p>
            <w:pPr>
              <w:spacing w:after="0"/>
              <w:rPr>
                <w:sz w:val="18"/>
                <w:szCs w:val="18"/>
                <w:color w:val="auto"/>
              </w:rPr>
            </w:pPr>
          </w:p>
        </w:tc>
      </w:tr>
      <w:tr>
        <w:trPr>
          <w:trHeight w:val="108"/>
        </w:trPr>
        <w:tc>
          <w:tcPr>
            <w:tcW w:w="64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6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64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676</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478</w:t>
            </w:r>
          </w:p>
        </w:tc>
        <w:tc>
          <w:tcPr>
            <w:tcW w:w="20" w:type="dxa"/>
            <w:vAlign w:val="bottom"/>
          </w:tcPr>
          <w:p>
            <w:pPr>
              <w:spacing w:after="0"/>
              <w:rPr>
                <w:sz w:val="18"/>
                <w:szCs w:val="18"/>
                <w:color w:val="auto"/>
              </w:rPr>
            </w:pPr>
          </w:p>
        </w:tc>
      </w:tr>
      <w:tr>
        <w:trPr>
          <w:trHeight w:val="132"/>
        </w:trPr>
        <w:tc>
          <w:tcPr>
            <w:tcW w:w="64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assumed discount rate used to determine the accumulated postretirement benefit obligation was 6.75% for 2002 and 7.25% for 2001.</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 assumed medical cost trend rate was increased by one percentage point, health care cost in 2002 would have been $76 million, and the accumulated postretirement benefit obligation would have been $806 million on December 31, 2002.</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the assumed medical cost trend rate was decreased by one percentage point, health care cost in 2002 would have been $52 million, and the accumulated postretirement benefit obligation would have been $574 million on December 31,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Supplementary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revenue and related cost of goods sold and services for continuing operations comprised the following:</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9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9"/>
          </w:tcPr>
          <w:p>
            <w:pPr>
              <w:jc w:val="center"/>
              <w:ind w:left="212"/>
              <w:spacing w:after="0"/>
              <w:rPr>
                <w:sz w:val="20"/>
                <w:szCs w:val="20"/>
                <w:color w:val="auto"/>
              </w:rPr>
            </w:pPr>
            <w:r>
              <w:rPr>
                <w:rFonts w:ascii="Arial" w:cs="Arial" w:eastAsia="Arial" w:hAnsi="Arial"/>
                <w:sz w:val="14"/>
                <w:szCs w:val="14"/>
                <w:i w:val="1"/>
                <w:iCs w:val="1"/>
                <w:color w:val="auto"/>
                <w:w w:val="85"/>
              </w:rPr>
              <w:t>Year ended December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232"/>
              <w:spacing w:after="0"/>
              <w:rPr>
                <w:sz w:val="20"/>
                <w:szCs w:val="20"/>
                <w:color w:val="auto"/>
              </w:rPr>
            </w:pPr>
            <w:r>
              <w:rPr>
                <w:rFonts w:ascii="Arial" w:cs="Arial" w:eastAsia="Arial" w:hAnsi="Arial"/>
                <w:sz w:val="14"/>
                <w:szCs w:val="14"/>
                <w:b w:val="1"/>
                <w:bCs w:val="1"/>
                <w:i w:val="1"/>
                <w:iCs w:val="1"/>
                <w:color w:val="auto"/>
              </w:rPr>
              <w:t>2002</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3"/>
          </w:tcPr>
          <w:p>
            <w:pPr>
              <w:jc w:val="right"/>
              <w:ind w:right="214"/>
              <w:spacing w:after="0"/>
              <w:rPr>
                <w:sz w:val="20"/>
                <w:szCs w:val="20"/>
                <w:color w:val="auto"/>
              </w:rPr>
            </w:pPr>
            <w:r>
              <w:rPr>
                <w:rFonts w:ascii="Arial" w:cs="Arial" w:eastAsia="Arial" w:hAnsi="Arial"/>
                <w:sz w:val="14"/>
                <w:szCs w:val="14"/>
                <w:i w:val="1"/>
                <w:iCs w:val="1"/>
                <w:color w:val="auto"/>
              </w:rPr>
              <w:t>2001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156"/>
              <w:spacing w:after="0"/>
              <w:rPr>
                <w:sz w:val="20"/>
                <w:szCs w:val="20"/>
                <w:color w:val="auto"/>
              </w:rPr>
            </w:pPr>
            <w:r>
              <w:rPr>
                <w:rFonts w:ascii="Arial" w:cs="Arial" w:eastAsia="Arial" w:hAnsi="Arial"/>
                <w:sz w:val="14"/>
                <w:szCs w:val="14"/>
                <w:i w:val="1"/>
                <w:iCs w:val="1"/>
                <w:color w:val="auto"/>
                <w:w w:val="89"/>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8"/>
          </w:tcPr>
          <w:p>
            <w:pPr>
              <w:jc w:val="center"/>
              <w:ind w:right="80"/>
              <w:spacing w:after="0"/>
              <w:rPr>
                <w:sz w:val="20"/>
                <w:szCs w:val="20"/>
                <w:color w:val="auto"/>
              </w:rPr>
            </w:pPr>
            <w:r>
              <w:rPr>
                <w:rFonts w:ascii="Arial" w:cs="Arial" w:eastAsia="Arial" w:hAnsi="Arial"/>
                <w:sz w:val="14"/>
                <w:szCs w:val="14"/>
                <w:i w:val="1"/>
                <w:iCs w:val="1"/>
                <w:color w:val="auto"/>
                <w:w w:val="90"/>
              </w:rPr>
              <w:t>(Stated in millions)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3,898</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4,651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9,576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13,474</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14,058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8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operating costs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gridSpan w:val="2"/>
          </w:tcPr>
          <w:p>
            <w:pPr>
              <w:ind w:left="220"/>
              <w:spacing w:after="0"/>
              <w:rPr>
                <w:sz w:val="20"/>
                <w:szCs w:val="20"/>
                <w:color w:val="auto"/>
              </w:rPr>
            </w:pPr>
            <w:r>
              <w:rPr>
                <w:rFonts w:ascii="Arial" w:cs="Arial" w:eastAsia="Arial" w:hAnsi="Arial"/>
                <w:sz w:val="18"/>
                <w:szCs w:val="18"/>
                <w:color w:val="auto"/>
              </w:rPr>
              <w:t>Goods sold</w:t>
            </w: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1,950</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8,474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10,424</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Cash paid for interest and income taxes for continuing operations was as follows:</w:t>
            </w: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5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10"/>
          </w:tcPr>
          <w:p>
            <w:pPr>
              <w:jc w:val="right"/>
              <w:spacing w:after="0"/>
              <w:rPr>
                <w:sz w:val="20"/>
                <w:szCs w:val="20"/>
                <w:color w:val="auto"/>
              </w:rPr>
            </w:pPr>
            <w:r>
              <w:rPr>
                <w:rFonts w:ascii="Arial" w:cs="Arial" w:eastAsia="Arial" w:hAnsi="Arial"/>
                <w:sz w:val="14"/>
                <w:szCs w:val="14"/>
                <w:i w:val="1"/>
                <w:iCs w:val="1"/>
                <w:color w:val="auto"/>
                <w:w w:val="96"/>
              </w:rPr>
              <w:t>Year ended December 31,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57"/>
              <w:spacing w:after="0"/>
              <w:rPr>
                <w:sz w:val="20"/>
                <w:szCs w:val="20"/>
                <w:color w:val="auto"/>
              </w:rPr>
            </w:pPr>
            <w:r>
              <w:rPr>
                <w:rFonts w:ascii="Arial" w:cs="Arial" w:eastAsia="Arial" w:hAnsi="Arial"/>
                <w:sz w:val="14"/>
                <w:szCs w:val="14"/>
                <w:b w:val="1"/>
                <w:bCs w:val="1"/>
                <w:i w:val="1"/>
                <w:iCs w:val="1"/>
                <w:color w:val="auto"/>
              </w:rPr>
              <w:t>2002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i w:val="1"/>
                <w:iCs w:val="1"/>
                <w:color w:val="auto"/>
              </w:rPr>
              <w:t>2001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i w:val="1"/>
                <w:iCs w:val="1"/>
                <w:color w:val="auto"/>
                <w:w w:val="96"/>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auto"/>
            </w:tcBorders>
            <w:gridSpan w:val="3"/>
          </w:tcPr>
          <w:p>
            <w:pPr>
              <w:spacing w:after="0"/>
              <w:rPr>
                <w:sz w:val="8"/>
                <w:szCs w:val="8"/>
                <w:color w:val="auto"/>
              </w:rPr>
            </w:pPr>
          </w:p>
        </w:tc>
        <w:tc>
          <w:tcPr>
            <w:tcW w:w="24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7"/>
          </w:tcPr>
          <w:p>
            <w:pPr>
              <w:jc w:val="right"/>
              <w:ind w:right="180"/>
              <w:spacing w:after="0"/>
              <w:rPr>
                <w:sz w:val="20"/>
                <w:szCs w:val="20"/>
                <w:color w:val="auto"/>
              </w:rPr>
            </w:pPr>
            <w:r>
              <w:rPr>
                <w:rFonts w:ascii="Arial" w:cs="Arial" w:eastAsia="Arial" w:hAnsi="Arial"/>
                <w:sz w:val="14"/>
                <w:szCs w:val="14"/>
                <w:i w:val="1"/>
                <w:iCs w:val="1"/>
                <w:color w:val="auto"/>
                <w:w w:val="90"/>
              </w:rPr>
              <w:t>(Stated in millions)</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373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7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6"/>
              </w:rPr>
              <w:t>251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9"/>
                <w:szCs w:val="1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-2136140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-2136140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-2136140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-2136140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-2136140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-2136140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-2136140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-2136140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-2136140</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-1278255</wp:posOffset>
            </wp:positionV>
            <wp:extent cx="191643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916430" cy="29845"/>
                    </a:xfrm>
                    <a:prstGeom prst="rect">
                      <a:avLst/>
                    </a:prstGeom>
                    <a:noFill/>
                  </pic:spPr>
                </pic:pic>
              </a:graphicData>
            </a:graphic>
          </wp:anchor>
        </w:drawing>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p>
      <w:pPr>
        <w:sectPr>
          <w:pgSz w:w="11900" w:h="16838" w:orient="portrait"/>
          <w:cols w:equalWidth="0" w:num="1">
            <w:col w:w="11280"/>
          </w:cols>
          <w:pgMar w:left="240" w:top="574" w:right="3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11"/>
          </w:tcPr>
          <w:p>
            <w:pPr>
              <w:jc w:val="center"/>
              <w:spacing w:after="0"/>
              <w:rPr>
                <w:sz w:val="20"/>
                <w:szCs w:val="20"/>
                <w:color w:val="auto"/>
              </w:rPr>
            </w:pPr>
            <w:r>
              <w:rPr>
                <w:rFonts w:ascii="Arial" w:cs="Arial" w:eastAsia="Arial" w:hAnsi="Arial"/>
                <w:sz w:val="14"/>
                <w:szCs w:val="14"/>
                <w:i w:val="1"/>
                <w:iCs w:val="1"/>
                <w:color w:val="auto"/>
                <w:w w:val="84"/>
              </w:rPr>
              <w:t>Year ended 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rPr>
              <w:t>2002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gridSpan w:val="2"/>
          </w:tcPr>
          <w:p>
            <w:pPr>
              <w:jc w:val="right"/>
              <w:ind w:right="152"/>
              <w:spacing w:after="0"/>
              <w:rPr>
                <w:sz w:val="20"/>
                <w:szCs w:val="20"/>
                <w:color w:val="auto"/>
              </w:rPr>
            </w:pPr>
            <w:r>
              <w:rPr>
                <w:rFonts w:ascii="Arial" w:cs="Arial" w:eastAsia="Arial" w:hAnsi="Arial"/>
                <w:sz w:val="14"/>
                <w:szCs w:val="14"/>
                <w:i w:val="1"/>
                <w:iCs w:val="1"/>
                <w:color w:val="auto"/>
                <w:w w:val="96"/>
              </w:rPr>
              <w:t>2001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11"/>
          </w:tcPr>
          <w:p>
            <w:pPr>
              <w:jc w:val="center"/>
              <w:spacing w:after="0"/>
              <w:rPr>
                <w:sz w:val="20"/>
                <w:szCs w:val="20"/>
                <w:color w:val="auto"/>
              </w:rPr>
            </w:pPr>
            <w:r>
              <w:rPr>
                <w:rFonts w:ascii="Arial" w:cs="Arial" w:eastAsia="Arial" w:hAnsi="Arial"/>
                <w:sz w:val="14"/>
                <w:szCs w:val="14"/>
                <w:i w:val="1"/>
                <w:iCs w:val="1"/>
                <w:color w:val="auto"/>
                <w:w w:val="90"/>
              </w:rPr>
              <w:t>(Stated in millions)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Payroll, vacation and employee benefits</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957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Trade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999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1,266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4,581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4,507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7480" w:type="dxa"/>
            <w:vAlign w:val="bottom"/>
            <w:gridSpan w:val="3"/>
            <w:vMerge w:val="restart"/>
          </w:tcPr>
          <w:p>
            <w:pPr>
              <w:ind w:left="460"/>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74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4"/>
          </w:tcPr>
          <w:p>
            <w:pPr>
              <w:jc w:val="right"/>
              <w:ind w:right="200"/>
              <w:spacing w:after="0"/>
              <w:rPr>
                <w:sz w:val="20"/>
                <w:szCs w:val="20"/>
                <w:color w:val="auto"/>
              </w:rPr>
            </w:pPr>
            <w:r>
              <w:rPr>
                <w:rFonts w:ascii="Arial" w:cs="Arial" w:eastAsia="Arial" w:hAnsi="Arial"/>
                <w:sz w:val="14"/>
                <w:szCs w:val="14"/>
                <w:b w:val="1"/>
                <w:bCs w:val="1"/>
                <w:i w:val="1"/>
                <w:iCs w:val="1"/>
                <w:color w:val="auto"/>
                <w:w w:val="96"/>
              </w:rPr>
              <w:t>2002</w:t>
            </w:r>
          </w:p>
        </w:tc>
        <w:tc>
          <w:tcPr>
            <w:tcW w:w="800" w:type="dxa"/>
            <w:vAlign w:val="bottom"/>
            <w:gridSpan w:val="6"/>
          </w:tcPr>
          <w:p>
            <w:pPr>
              <w:jc w:val="right"/>
              <w:ind w:right="12"/>
              <w:spacing w:after="0"/>
              <w:rPr>
                <w:sz w:val="20"/>
                <w:szCs w:val="20"/>
                <w:color w:val="auto"/>
              </w:rPr>
            </w:pPr>
            <w:r>
              <w:rPr>
                <w:rFonts w:ascii="Arial" w:cs="Arial" w:eastAsia="Arial" w:hAnsi="Arial"/>
                <w:sz w:val="14"/>
                <w:szCs w:val="14"/>
                <w:i w:val="1"/>
                <w:iCs w:val="1"/>
                <w:color w:val="auto"/>
              </w:rPr>
              <w:t>2001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i w:val="1"/>
                <w:iCs w:val="1"/>
                <w:color w:val="auto"/>
              </w:rPr>
              <w:t>2000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4"/>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gridSpan w:val="10"/>
            <w:shd w:val="clear" w:color="auto" w:fill="CCEEFF"/>
          </w:tcPr>
          <w:p>
            <w:pPr>
              <w:jc w:val="center"/>
              <w:spacing w:after="0" w:line="149" w:lineRule="exact"/>
              <w:rPr>
                <w:sz w:val="20"/>
                <w:szCs w:val="20"/>
                <w:color w:val="auto"/>
              </w:rPr>
            </w:pPr>
            <w:r>
              <w:rPr>
                <w:rFonts w:ascii="Arial" w:cs="Arial" w:eastAsia="Arial" w:hAnsi="Arial"/>
                <w:sz w:val="14"/>
                <w:szCs w:val="14"/>
                <w:i w:val="1"/>
                <w:iCs w:val="1"/>
                <w:color w:val="auto"/>
                <w:w w:val="90"/>
              </w:rPr>
              <w:t>(Stated in millions)</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69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4"/>
          </w:tcPr>
          <w:p>
            <w:pPr>
              <w:jc w:val="right"/>
              <w:ind w:right="80"/>
              <w:spacing w:after="0"/>
              <w:rPr>
                <w:sz w:val="20"/>
                <w:szCs w:val="20"/>
                <w:color w:val="auto"/>
              </w:rPr>
            </w:pPr>
            <w:r>
              <w:rPr>
                <w:rFonts w:ascii="Arial" w:cs="Arial" w:eastAsia="Arial" w:hAnsi="Arial"/>
                <w:sz w:val="18"/>
                <w:szCs w:val="18"/>
                <w:color w:val="auto"/>
                <w:w w:val="93"/>
              </w:rPr>
              <w:t>159</w:t>
            </w:r>
          </w:p>
        </w:tc>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1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Gain on sale of business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financial instruments</w:t>
            </w:r>
          </w:p>
        </w:tc>
        <w:tc>
          <w:tcPr>
            <w:tcW w:w="1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24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3"/>
              </w:rPr>
              <w:t>242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6520" w:type="dxa"/>
            <w:vAlign w:val="bottom"/>
            <w:gridSpan w:val="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480" w:type="dxa"/>
            <w:vAlign w:val="bottom"/>
            <w:gridSpan w:val="3"/>
          </w:tcPr>
          <w:p>
            <w:pPr>
              <w:ind w:left="460"/>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w w:val="83"/>
              </w:rPr>
              <w:t>2002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4"/>
                <w:szCs w:val="14"/>
                <w:i w:val="1"/>
                <w:iCs w:val="1"/>
                <w:color w:val="auto"/>
                <w:w w:val="83"/>
              </w:rPr>
              <w:t>2001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3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11"/>
          </w:tcPr>
          <w:p>
            <w:pPr>
              <w:jc w:val="center"/>
              <w:spacing w:after="0"/>
              <w:rPr>
                <w:sz w:val="20"/>
                <w:szCs w:val="20"/>
                <w:color w:val="auto"/>
              </w:rPr>
            </w:pPr>
            <w:r>
              <w:rPr>
                <w:rFonts w:ascii="Arial" w:cs="Arial" w:eastAsia="Arial" w:hAnsi="Arial"/>
                <w:sz w:val="14"/>
                <w:szCs w:val="14"/>
                <w:i w:val="1"/>
                <w:iCs w:val="1"/>
                <w:color w:val="auto"/>
                <w:w w:val="88"/>
              </w:rPr>
              <w:t>(Stated in millions)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left="36"/>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Provision in year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66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Written off in year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5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4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left="36"/>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9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-3577590</wp:posOffset>
            </wp:positionV>
            <wp:extent cx="142748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42748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-1828165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-1828165</wp:posOffset>
            </wp:positionV>
            <wp:extent cx="149606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49606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-172720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-172720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-172720</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-172720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-172720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-172720</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Includes business acquisitions and divestitures</w:t>
      </w:r>
    </w:p>
    <w:p>
      <w:pPr>
        <w:sectPr>
          <w:pgSz w:w="11900" w:h="16838" w:orient="portrait"/>
          <w:cols w:equalWidth="0" w:num="1">
            <w:col w:w="10219"/>
          </w:cols>
          <w:pgMar w:left="240" w:top="426" w:right="1440"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2002 and 2001, and the results of their operations and their cash flows for each of the three years in the period ended December 31,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As discussed in the note </w:t>
      </w:r>
      <w:r>
        <w:rPr>
          <w:rFonts w:ascii="Arial" w:cs="Arial" w:eastAsia="Arial" w:hAnsi="Arial"/>
          <w:sz w:val="18"/>
          <w:szCs w:val="18"/>
          <w:i w:val="1"/>
          <w:iCs w:val="1"/>
          <w:color w:val="auto"/>
        </w:rPr>
        <w:t>New Accounting Standards</w:t>
      </w:r>
      <w:r>
        <w:rPr>
          <w:rFonts w:ascii="Arial" w:cs="Arial" w:eastAsia="Arial" w:hAnsi="Arial"/>
          <w:sz w:val="18"/>
          <w:szCs w:val="18"/>
          <w:color w:val="auto"/>
        </w:rPr>
        <w:t xml:space="preserve"> to the Consolidated Financial Statements, in 2002 the Company changed its accounting method for goodwill.</w:t>
      </w:r>
    </w:p>
    <w:p>
      <w:pPr>
        <w:spacing w:after="0" w:line="11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22, 2003</w:t>
      </w:r>
    </w:p>
    <w:p>
      <w:pPr>
        <w:sectPr>
          <w:pgSz w:w="11900" w:h="16838" w:orient="portrait"/>
          <w:cols w:equalWidth="0" w:num="1">
            <w:col w:w="11400"/>
          </w:cols>
          <w:pgMar w:left="240" w:top="428"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Schlumberger’s results for each of the four quarters for the years ended December 31, 2002 and 2001. Revenue and Gross margin, which equals operating revenue less cost of goods sold and services, has been restated to exclude discontinued operations.</w:t>
      </w:r>
    </w:p>
    <w:p>
      <w:pPr>
        <w:spacing w:after="0" w:line="62" w:lineRule="exact"/>
        <w:rPr>
          <w:sz w:val="20"/>
          <w:szCs w:val="20"/>
          <w:color w:val="auto"/>
        </w:rPr>
      </w:pPr>
    </w:p>
    <w:tbl>
      <w:tblPr>
        <w:tblLayout w:type="fixed"/>
        <w:tblInd w:w="1440" w:type="dxa"/>
        <w:tblCellMar>
          <w:top w:w="0" w:type="dxa"/>
          <w:left w:w="0" w:type="dxa"/>
          <w:bottom w:w="0" w:type="dxa"/>
          <w:right w:w="0" w:type="dxa"/>
        </w:tblCellMar>
      </w:tblPr>
      <w:tr>
        <w:trPr>
          <w:trHeight w:val="295"/>
        </w:trPr>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87"/>
              </w:rPr>
              <w:t xml:space="preserve">Earnings per share </w:t>
            </w:r>
            <w:r>
              <w:rPr>
                <w:rFonts w:ascii="Arial" w:cs="Arial" w:eastAsia="Arial" w:hAnsi="Arial"/>
                <w:sz w:val="22"/>
                <w:szCs w:val="22"/>
                <w:b w:val="1"/>
                <w:bCs w:val="1"/>
                <w:color w:val="auto"/>
                <w:w w:val="87"/>
                <w:vertAlign w:val="superscript"/>
              </w:rPr>
              <w:t>7</w:t>
            </w:r>
          </w:p>
        </w:tc>
      </w:tr>
      <w:tr>
        <w:trPr>
          <w:trHeight w:val="244"/>
        </w:trPr>
        <w:tc>
          <w:tcPr>
            <w:tcW w:w="4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8"/>
              </w:rPr>
              <w:t>Gross</w:t>
            </w:r>
          </w:p>
        </w:tc>
        <w:tc>
          <w:tcPr>
            <w:tcW w:w="100" w:type="dxa"/>
            <w:vAlign w:val="bottom"/>
          </w:tcPr>
          <w:p>
            <w:pPr>
              <w:spacing w:after="0"/>
              <w:rPr>
                <w:sz w:val="21"/>
                <w:szCs w:val="21"/>
                <w:color w:val="auto"/>
              </w:rPr>
            </w:pPr>
          </w:p>
        </w:tc>
        <w:tc>
          <w:tcPr>
            <w:tcW w:w="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Net</w:t>
            </w:r>
          </w:p>
        </w:tc>
        <w:tc>
          <w:tcPr>
            <w:tcW w:w="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4"/>
        </w:trPr>
        <w:tc>
          <w:tcPr>
            <w:tcW w:w="43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5"/>
                <w:szCs w:val="15"/>
                <w:color w:val="auto"/>
              </w:rPr>
            </w:pPr>
          </w:p>
        </w:tc>
        <w:tc>
          <w:tcPr>
            <w:tcW w:w="9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Margin</w:t>
            </w:r>
          </w:p>
        </w:tc>
        <w:tc>
          <w:tcPr>
            <w:tcW w:w="9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5"/>
                <w:szCs w:val="15"/>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Basic</w:t>
            </w:r>
          </w:p>
        </w:tc>
        <w:tc>
          <w:tcPr>
            <w:tcW w:w="100" w:type="dxa"/>
            <w:vAlign w:val="bottom"/>
          </w:tcPr>
          <w:p>
            <w:pPr>
              <w:spacing w:after="0"/>
              <w:rPr>
                <w:sz w:val="15"/>
                <w:szCs w:val="15"/>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8"/>
              </w:rPr>
              <w:t>Diluted</w:t>
            </w:r>
          </w:p>
        </w:tc>
      </w:tr>
      <w:tr>
        <w:trPr>
          <w:trHeight w:val="95"/>
        </w:trPr>
        <w:tc>
          <w:tcPr>
            <w:tcW w:w="4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900" w:type="dxa"/>
            <w:vAlign w:val="bottom"/>
            <w:gridSpan w:val="11"/>
          </w:tcPr>
          <w:p>
            <w:pPr>
              <w:ind w:left="240"/>
              <w:spacing w:after="0"/>
              <w:rPr>
                <w:sz w:val="20"/>
                <w:szCs w:val="20"/>
                <w:color w:val="auto"/>
              </w:rPr>
            </w:pPr>
            <w:r>
              <w:rPr>
                <w:rFonts w:ascii="Arial" w:cs="Arial" w:eastAsia="Arial" w:hAnsi="Arial"/>
                <w:sz w:val="14"/>
                <w:szCs w:val="14"/>
                <w:i w:val="1"/>
                <w:iCs w:val="1"/>
                <w:color w:val="auto"/>
                <w:w w:val="93"/>
              </w:rPr>
              <w:t>(Stated in millions except per share amounts)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Quarters-2002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ind w:left="160"/>
              <w:spacing w:after="0" w:line="217" w:lineRule="exact"/>
              <w:rPr>
                <w:sz w:val="20"/>
                <w:szCs w:val="20"/>
                <w:color w:val="auto"/>
              </w:rPr>
            </w:pPr>
            <w:r>
              <w:rPr>
                <w:rFonts w:ascii="Arial" w:cs="Arial" w:eastAsia="Arial" w:hAnsi="Arial"/>
                <w:sz w:val="18"/>
                <w:szCs w:val="18"/>
                <w:color w:val="auto"/>
              </w:rPr>
              <w:t xml:space="preserve">First </w:t>
            </w:r>
            <w:r>
              <w:rPr>
                <w:rFonts w:ascii="Arial" w:cs="Arial" w:eastAsia="Arial" w:hAnsi="Arial"/>
                <w:sz w:val="22"/>
                <w:szCs w:val="22"/>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3,257</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ind w:left="160"/>
              <w:spacing w:after="0"/>
              <w:rPr>
                <w:sz w:val="20"/>
                <w:szCs w:val="20"/>
                <w:color w:val="auto"/>
              </w:rPr>
            </w:pPr>
            <w:r>
              <w:rPr>
                <w:rFonts w:ascii="Arial" w:cs="Arial" w:eastAsia="Arial" w:hAnsi="Arial"/>
                <w:sz w:val="18"/>
                <w:szCs w:val="18"/>
                <w:color w:val="auto"/>
              </w:rPr>
              <w:t>Third</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ind w:left="160"/>
              <w:spacing w:after="0" w:line="217" w:lineRule="exact"/>
              <w:rPr>
                <w:sz w:val="20"/>
                <w:szCs w:val="20"/>
                <w:color w:val="auto"/>
              </w:rPr>
            </w:pPr>
            <w:r>
              <w:rPr>
                <w:rFonts w:ascii="Arial" w:cs="Arial" w:eastAsia="Arial" w:hAnsi="Arial"/>
                <w:sz w:val="18"/>
                <w:szCs w:val="18"/>
                <w:color w:val="auto"/>
              </w:rPr>
              <w:t xml:space="preserve">Fourth </w:t>
            </w:r>
            <w:r>
              <w:rPr>
                <w:rFonts w:ascii="Arial" w:cs="Arial" w:eastAsia="Arial" w:hAnsi="Arial"/>
                <w:sz w:val="22"/>
                <w:szCs w:val="22"/>
                <w:color w:val="auto"/>
                <w:vertAlign w:val="superscript"/>
              </w:rPr>
              <w:t>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(2,433)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(2,861)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r>
      <w:tr>
        <w:trPr>
          <w:trHeight w:val="108"/>
        </w:trPr>
        <w:tc>
          <w:tcPr>
            <w:tcW w:w="4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13,474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(2,320)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(4.01)</w:t>
            </w:r>
          </w:p>
        </w:tc>
      </w:tr>
      <w:tr>
        <w:trPr>
          <w:trHeight w:val="132"/>
        </w:trPr>
        <w:tc>
          <w:tcPr>
            <w:tcW w:w="4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4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Quarters-2001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40" w:type="dxa"/>
            <w:vAlign w:val="bottom"/>
          </w:tcPr>
          <w:p>
            <w:pPr>
              <w:ind w:left="160"/>
              <w:spacing w:after="0" w:line="217" w:lineRule="exact"/>
              <w:rPr>
                <w:sz w:val="20"/>
                <w:szCs w:val="20"/>
                <w:color w:val="auto"/>
              </w:rPr>
            </w:pPr>
            <w:r>
              <w:rPr>
                <w:rFonts w:ascii="Arial" w:cs="Arial" w:eastAsia="Arial" w:hAnsi="Arial"/>
                <w:sz w:val="18"/>
                <w:szCs w:val="18"/>
                <w:color w:val="auto"/>
              </w:rPr>
              <w:t xml:space="preserve">First </w:t>
            </w:r>
            <w:r>
              <w:rPr>
                <w:rFonts w:ascii="Arial" w:cs="Arial" w:eastAsia="Arial" w:hAnsi="Arial"/>
                <w:sz w:val="22"/>
                <w:szCs w:val="22"/>
                <w:color w:val="auto"/>
                <w:vertAlign w:val="superscript"/>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2,951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ind w:left="160"/>
              <w:spacing w:after="0" w:line="217" w:lineRule="exact"/>
              <w:rPr>
                <w:sz w:val="20"/>
                <w:szCs w:val="20"/>
                <w:color w:val="auto"/>
              </w:rPr>
            </w:pPr>
            <w:r>
              <w:rPr>
                <w:rFonts w:ascii="Arial" w:cs="Arial" w:eastAsia="Arial" w:hAnsi="Arial"/>
                <w:sz w:val="18"/>
                <w:szCs w:val="18"/>
                <w:color w:val="auto"/>
              </w:rPr>
              <w:t xml:space="preserve">Second </w:t>
            </w:r>
            <w:r>
              <w:rPr>
                <w:rFonts w:ascii="Arial" w:cs="Arial" w:eastAsia="Arial" w:hAnsi="Arial"/>
                <w:sz w:val="22"/>
                <w:szCs w:val="22"/>
                <w:color w:val="auto"/>
                <w:vertAlign w:val="superscript"/>
              </w:rPr>
              <w:t>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r>
      <w:tr>
        <w:trPr>
          <w:trHeight w:val="216"/>
        </w:trPr>
        <w:tc>
          <w:tcPr>
            <w:tcW w:w="4340" w:type="dxa"/>
            <w:vAlign w:val="bottom"/>
          </w:tcPr>
          <w:p>
            <w:pPr>
              <w:ind w:left="160"/>
              <w:spacing w:after="0" w:line="217" w:lineRule="exact"/>
              <w:rPr>
                <w:sz w:val="20"/>
                <w:szCs w:val="20"/>
                <w:color w:val="auto"/>
              </w:rPr>
            </w:pPr>
            <w:r>
              <w:rPr>
                <w:rFonts w:ascii="Arial" w:cs="Arial" w:eastAsia="Arial" w:hAnsi="Arial"/>
                <w:sz w:val="18"/>
                <w:szCs w:val="18"/>
                <w:color w:val="auto"/>
              </w:rPr>
              <w:t xml:space="preserve">Third </w:t>
            </w:r>
            <w:r>
              <w:rPr>
                <w:rFonts w:ascii="Arial" w:cs="Arial" w:eastAsia="Arial" w:hAnsi="Arial"/>
                <w:sz w:val="22"/>
                <w:szCs w:val="22"/>
                <w:color w:val="auto"/>
                <w:vertAlign w:val="superscript"/>
              </w:rPr>
              <w:t>5</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18"/>
                <w:szCs w:val="18"/>
                <w:color w:val="auto"/>
              </w:rPr>
            </w:pPr>
          </w:p>
        </w:tc>
      </w:tr>
      <w:tr>
        <w:trPr>
          <w:trHeight w:val="216"/>
        </w:trPr>
        <w:tc>
          <w:tcPr>
            <w:tcW w:w="4340" w:type="dxa"/>
            <w:vAlign w:val="bottom"/>
            <w:shd w:val="clear" w:color="auto" w:fill="CCEEFF"/>
          </w:tcPr>
          <w:p>
            <w:pPr>
              <w:ind w:left="160"/>
              <w:spacing w:after="0" w:line="217" w:lineRule="exact"/>
              <w:rPr>
                <w:sz w:val="20"/>
                <w:szCs w:val="20"/>
                <w:color w:val="auto"/>
              </w:rPr>
            </w:pPr>
            <w:r>
              <w:rPr>
                <w:rFonts w:ascii="Arial" w:cs="Arial" w:eastAsia="Arial" w:hAnsi="Arial"/>
                <w:sz w:val="18"/>
                <w:szCs w:val="18"/>
                <w:color w:val="auto"/>
              </w:rPr>
              <w:t xml:space="preserve">Fourth </w:t>
            </w:r>
            <w:r>
              <w:rPr>
                <w:rFonts w:ascii="Arial" w:cs="Arial" w:eastAsia="Arial" w:hAnsi="Arial"/>
                <w:sz w:val="22"/>
                <w:szCs w:val="22"/>
                <w:color w:val="auto"/>
                <w:vertAlign w:val="superscript"/>
              </w:rPr>
              <w:t>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r>
      <w:tr>
        <w:trPr>
          <w:trHeight w:val="108"/>
        </w:trPr>
        <w:tc>
          <w:tcPr>
            <w:tcW w:w="4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4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4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14,058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8"/>
                <w:szCs w:val="18"/>
                <w:color w:val="auto"/>
              </w:rPr>
            </w:pPr>
          </w:p>
        </w:tc>
      </w:tr>
      <w:tr>
        <w:trPr>
          <w:trHeight w:val="132"/>
        </w:trPr>
        <w:tc>
          <w:tcPr>
            <w:tcW w:w="4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-1161415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-1161415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-1161415</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-1161415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-1161415</wp:posOffset>
            </wp:positionV>
            <wp:extent cx="2159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-1161415</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-1161415</wp:posOffset>
            </wp:positionV>
            <wp:extent cx="40703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-1161415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-1161415</wp:posOffset>
            </wp:positionV>
            <wp:extent cx="2159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-1161415</wp:posOffset>
            </wp:positionV>
            <wp:extent cx="3873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-1161415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-1161415</wp:posOffset>
            </wp:positionV>
            <wp:extent cx="2159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-1161415</wp:posOffset>
            </wp:positionV>
            <wp:extent cx="3873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3898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54749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547495" cy="29845"/>
                    </a:xfrm>
                    <a:prstGeom prst="rect">
                      <a:avLst/>
                    </a:prstGeom>
                    <a:noFill/>
                  </pic:spPr>
                </pic:pic>
              </a:graphicData>
            </a:graphic>
          </wp:anchor>
        </w:drawing>
      </w:r>
    </w:p>
    <w:p>
      <w:pPr>
        <w:spacing w:after="0" w:line="191"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Includes an after-tax charge of $29 million ($0.05 per share—diluted).</w:t>
      </w:r>
    </w:p>
    <w:p>
      <w:pPr>
        <w:ind w:left="220" w:hanging="212"/>
        <w:spacing w:after="0" w:line="205" w:lineRule="auto"/>
        <w:tabs>
          <w:tab w:leader="none" w:pos="22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charge of $3,081 million ($5.30 per share).</w:t>
      </w:r>
    </w:p>
    <w:p>
      <w:pPr>
        <w:ind w:left="220" w:hanging="212"/>
        <w:spacing w:after="0" w:line="205" w:lineRule="auto"/>
        <w:tabs>
          <w:tab w:leader="none" w:pos="22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Includes a $25 million (pretax and after tax) in-process R&amp;D charge ($0.04 per share—diluted).</w:t>
      </w:r>
    </w:p>
    <w:p>
      <w:pPr>
        <w:ind w:left="220" w:hanging="212"/>
        <w:spacing w:after="0" w:line="205" w:lineRule="auto"/>
        <w:tabs>
          <w:tab w:leader="none" w:pos="22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charge of $280 million ($0.48 per share—diluted).</w:t>
      </w:r>
    </w:p>
    <w:p>
      <w:pPr>
        <w:ind w:left="220" w:hanging="212"/>
        <w:spacing w:after="0" w:line="205" w:lineRule="auto"/>
        <w:tabs>
          <w:tab w:leader="none" w:pos="22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credit of $3 million ($0.00 per share—diluted).</w:t>
      </w:r>
    </w:p>
    <w:p>
      <w:pPr>
        <w:ind w:left="220" w:hanging="212"/>
        <w:spacing w:after="0" w:line="205" w:lineRule="auto"/>
        <w:tabs>
          <w:tab w:leader="none" w:pos="22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Includes a net, after-tax credit of $5 million ($0.01 per share—diluted).</w:t>
      </w:r>
    </w:p>
    <w:p>
      <w:pPr>
        <w:ind w:left="220" w:hanging="212"/>
        <w:spacing w:after="0" w:line="208" w:lineRule="auto"/>
        <w:tabs>
          <w:tab w:leader="none" w:pos="22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The addition of earnings per share by quarter may not equal total earnings per share for the year.</w:t>
      </w:r>
    </w:p>
    <w:p>
      <w:pPr>
        <w:sectPr>
          <w:pgSz w:w="11900" w:h="16838" w:orient="portrait"/>
          <w:cols w:equalWidth="0" w:num="1">
            <w:col w:w="11340"/>
          </w:cols>
          <w:pgMar w:left="240" w:top="422"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322"/>
        </w:trPr>
        <w:tc>
          <w:tcPr>
            <w:tcW w:w="340" w:type="dxa"/>
            <w:vAlign w:val="bottom"/>
          </w:tcPr>
          <w:p>
            <w:pPr>
              <w:spacing w:after="0"/>
              <w:rPr>
                <w:sz w:val="24"/>
                <w:szCs w:val="24"/>
                <w:color w:val="auto"/>
              </w:rPr>
            </w:pPr>
          </w:p>
        </w:tc>
        <w:tc>
          <w:tcPr>
            <w:tcW w:w="11020" w:type="dxa"/>
            <w:vAlign w:val="bottom"/>
          </w:tcPr>
          <w:p>
            <w:pPr>
              <w:jc w:val="center"/>
              <w:ind w:right="187"/>
              <w:spacing w:after="0"/>
              <w:rPr>
                <w:sz w:val="20"/>
                <w:szCs w:val="20"/>
                <w:color w:val="auto"/>
              </w:rPr>
            </w:pPr>
            <w:r>
              <w:rPr>
                <w:rFonts w:ascii="Arial" w:cs="Arial" w:eastAsia="Arial" w:hAnsi="Arial"/>
                <w:sz w:val="24"/>
                <w:szCs w:val="24"/>
                <w:b w:val="1"/>
                <w:bCs w:val="1"/>
                <w:color w:val="auto"/>
              </w:rPr>
              <w:t>Schlumberger Limited (Schlumberger N.V.)</w:t>
            </w:r>
          </w:p>
        </w:tc>
        <w:tc>
          <w:tcPr>
            <w:tcW w:w="0" w:type="dxa"/>
            <w:vAlign w:val="bottom"/>
          </w:tcPr>
          <w:p>
            <w:pPr>
              <w:spacing w:after="0"/>
              <w:rPr>
                <w:sz w:val="1"/>
                <w:szCs w:val="1"/>
                <w:color w:val="auto"/>
              </w:rPr>
            </w:pPr>
          </w:p>
        </w:tc>
      </w:tr>
      <w:tr>
        <w:trPr>
          <w:trHeight w:val="277"/>
        </w:trPr>
        <w:tc>
          <w:tcPr>
            <w:tcW w:w="340" w:type="dxa"/>
            <w:vAlign w:val="bottom"/>
          </w:tcPr>
          <w:p>
            <w:pPr>
              <w:spacing w:after="0"/>
              <w:rPr>
                <w:sz w:val="24"/>
                <w:szCs w:val="24"/>
                <w:color w:val="auto"/>
              </w:rPr>
            </w:pPr>
          </w:p>
        </w:tc>
        <w:tc>
          <w:tcPr>
            <w:tcW w:w="11020" w:type="dxa"/>
            <w:vAlign w:val="bottom"/>
          </w:tcPr>
          <w:p>
            <w:pPr>
              <w:jc w:val="center"/>
              <w:ind w:right="187"/>
              <w:spacing w:after="0"/>
              <w:rPr>
                <w:sz w:val="20"/>
                <w:szCs w:val="20"/>
                <w:color w:val="auto"/>
              </w:rPr>
            </w:pPr>
            <w:r>
              <w:rPr>
                <w:rFonts w:ascii="Arial" w:cs="Arial" w:eastAsia="Arial" w:hAnsi="Arial"/>
                <w:sz w:val="18"/>
                <w:szCs w:val="18"/>
                <w:b w:val="1"/>
                <w:bCs w:val="1"/>
                <w:color w:val="auto"/>
                <w:w w:val="97"/>
              </w:rPr>
              <w:t>Proxy Solicitation on Behalf of the Board of Directors</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1020" w:type="dxa"/>
            <w:vAlign w:val="bottom"/>
          </w:tcPr>
          <w:p>
            <w:pPr>
              <w:jc w:val="center"/>
              <w:ind w:right="187"/>
              <w:spacing w:after="0"/>
              <w:rPr>
                <w:sz w:val="20"/>
                <w:szCs w:val="20"/>
                <w:color w:val="auto"/>
              </w:rPr>
            </w:pPr>
            <w:r>
              <w:rPr>
                <w:rFonts w:ascii="Arial" w:cs="Arial" w:eastAsia="Arial" w:hAnsi="Arial"/>
                <w:sz w:val="18"/>
                <w:szCs w:val="18"/>
                <w:b w:val="1"/>
                <w:bCs w:val="1"/>
                <w:color w:val="auto"/>
                <w:w w:val="97"/>
              </w:rPr>
              <w:t>Annual General Meeting of Stockholders</w:t>
            </w:r>
          </w:p>
        </w:tc>
        <w:tc>
          <w:tcPr>
            <w:tcW w:w="0" w:type="dxa"/>
            <w:vAlign w:val="bottom"/>
          </w:tcPr>
          <w:p>
            <w:pPr>
              <w:spacing w:after="0"/>
              <w:rPr>
                <w:sz w:val="1"/>
                <w:szCs w:val="1"/>
                <w:color w:val="auto"/>
              </w:rPr>
            </w:pPr>
          </w:p>
        </w:tc>
      </w:tr>
      <w:tr>
        <w:trPr>
          <w:trHeight w:val="262"/>
        </w:trPr>
        <w:tc>
          <w:tcPr>
            <w:tcW w:w="340" w:type="dxa"/>
            <w:vAlign w:val="bottom"/>
          </w:tcPr>
          <w:p>
            <w:pPr>
              <w:spacing w:after="0"/>
              <w:rPr>
                <w:sz w:val="20"/>
                <w:szCs w:val="20"/>
                <w:color w:val="auto"/>
              </w:rPr>
            </w:pPr>
            <w:r>
              <w:rPr>
                <w:rFonts w:ascii="Arial" w:cs="Arial" w:eastAsia="Arial" w:hAnsi="Arial"/>
                <w:sz w:val="22"/>
                <w:szCs w:val="22"/>
                <w:color w:val="auto"/>
              </w:rPr>
              <w:t>P</w:t>
            </w:r>
          </w:p>
        </w:tc>
        <w:tc>
          <w:tcPr>
            <w:tcW w:w="11020" w:type="dxa"/>
            <w:vAlign w:val="bottom"/>
          </w:tcPr>
          <w:p>
            <w:pPr>
              <w:ind w:left="600"/>
              <w:spacing w:after="0"/>
              <w:rPr>
                <w:sz w:val="20"/>
                <w:szCs w:val="20"/>
                <w:color w:val="auto"/>
              </w:rPr>
            </w:pPr>
            <w:r>
              <w:rPr>
                <w:rFonts w:ascii="Arial" w:cs="Arial" w:eastAsia="Arial" w:hAnsi="Arial"/>
                <w:sz w:val="18"/>
                <w:szCs w:val="18"/>
                <w:color w:val="auto"/>
              </w:rPr>
              <w:t>The undersigned, having received the Notice and Proxy Statement of the Annual General Meeting of Stockholders and the 2002</w:t>
            </w:r>
          </w:p>
        </w:tc>
        <w:tc>
          <w:tcPr>
            <w:tcW w:w="0" w:type="dxa"/>
            <w:vAlign w:val="bottom"/>
          </w:tcPr>
          <w:p>
            <w:pPr>
              <w:spacing w:after="0"/>
              <w:rPr>
                <w:sz w:val="1"/>
                <w:szCs w:val="1"/>
                <w:color w:val="auto"/>
              </w:rPr>
            </w:pPr>
          </w:p>
        </w:tc>
      </w:tr>
      <w:tr>
        <w:trPr>
          <w:trHeight w:val="203"/>
        </w:trPr>
        <w:tc>
          <w:tcPr>
            <w:tcW w:w="340" w:type="dxa"/>
            <w:vAlign w:val="bottom"/>
            <w:vMerge w:val="restart"/>
          </w:tcPr>
          <w:p>
            <w:pPr>
              <w:spacing w:after="0"/>
              <w:rPr>
                <w:sz w:val="20"/>
                <w:szCs w:val="20"/>
                <w:color w:val="auto"/>
              </w:rPr>
            </w:pPr>
            <w:r>
              <w:rPr>
                <w:rFonts w:ascii="Arial" w:cs="Arial" w:eastAsia="Arial" w:hAnsi="Arial"/>
                <w:sz w:val="22"/>
                <w:szCs w:val="22"/>
                <w:color w:val="auto"/>
              </w:rPr>
              <w:t>R</w:t>
            </w:r>
          </w:p>
        </w:tc>
        <w:tc>
          <w:tcPr>
            <w:tcW w:w="11020" w:type="dxa"/>
            <w:vAlign w:val="bottom"/>
          </w:tcPr>
          <w:p>
            <w:pPr>
              <w:ind w:left="160"/>
              <w:spacing w:after="0" w:line="202" w:lineRule="exact"/>
              <w:rPr>
                <w:sz w:val="20"/>
                <w:szCs w:val="20"/>
                <w:color w:val="auto"/>
              </w:rPr>
            </w:pPr>
            <w:r>
              <w:rPr>
                <w:rFonts w:ascii="Arial" w:cs="Arial" w:eastAsia="Arial" w:hAnsi="Arial"/>
                <w:sz w:val="18"/>
                <w:szCs w:val="18"/>
                <w:color w:val="auto"/>
                <w:w w:val="97"/>
              </w:rPr>
              <w:t>Annual Report to Stockholders, hereby appoints Jan A. Konig, Olette H.S. Pierik, Gerard C.A. Smeets and Willem van Bokhorst and each of</w:t>
            </w:r>
          </w:p>
        </w:tc>
        <w:tc>
          <w:tcPr>
            <w:tcW w:w="0" w:type="dxa"/>
            <w:vAlign w:val="bottom"/>
          </w:tcPr>
          <w:p>
            <w:pPr>
              <w:spacing w:after="0"/>
              <w:rPr>
                <w:sz w:val="1"/>
                <w:szCs w:val="1"/>
                <w:color w:val="auto"/>
              </w:rPr>
            </w:pPr>
          </w:p>
        </w:tc>
      </w:tr>
      <w:tr>
        <w:trPr>
          <w:trHeight w:val="155"/>
        </w:trPr>
        <w:tc>
          <w:tcPr>
            <w:tcW w:w="340" w:type="dxa"/>
            <w:vAlign w:val="bottom"/>
            <w:vMerge w:val="continue"/>
          </w:tcPr>
          <w:p>
            <w:pPr>
              <w:spacing w:after="0"/>
              <w:rPr>
                <w:sz w:val="13"/>
                <w:szCs w:val="13"/>
                <w:color w:val="auto"/>
              </w:rPr>
            </w:pPr>
          </w:p>
        </w:tc>
        <w:tc>
          <w:tcPr>
            <w:tcW w:w="110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w w:val="99"/>
              </w:rPr>
              <w:t>them proxies, with power of substitution, to vote in the manner indicated on the reverse side hereof, and with discretionary authority as to</w:t>
            </w:r>
          </w:p>
        </w:tc>
        <w:tc>
          <w:tcPr>
            <w:tcW w:w="0" w:type="dxa"/>
            <w:vAlign w:val="bottom"/>
          </w:tcPr>
          <w:p>
            <w:pPr>
              <w:spacing w:after="0"/>
              <w:rPr>
                <w:sz w:val="1"/>
                <w:szCs w:val="1"/>
                <w:color w:val="auto"/>
              </w:rPr>
            </w:pPr>
          </w:p>
        </w:tc>
      </w:tr>
      <w:tr>
        <w:trPr>
          <w:trHeight w:val="47"/>
        </w:trPr>
        <w:tc>
          <w:tcPr>
            <w:tcW w:w="340" w:type="dxa"/>
            <w:vAlign w:val="bottom"/>
          </w:tcPr>
          <w:p>
            <w:pPr>
              <w:spacing w:after="0"/>
              <w:rPr>
                <w:sz w:val="4"/>
                <w:szCs w:val="4"/>
                <w:color w:val="auto"/>
              </w:rPr>
            </w:pPr>
          </w:p>
        </w:tc>
        <w:tc>
          <w:tcPr>
            <w:tcW w:w="1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500" w:hanging="492"/>
        <w:spacing w:after="0" w:line="192" w:lineRule="auto"/>
        <w:tabs>
          <w:tab w:leader="none" w:pos="500" w:val="left"/>
        </w:tabs>
        <w:numPr>
          <w:ilvl w:val="0"/>
          <w:numId w:val="30"/>
        </w:numPr>
        <w:rPr>
          <w:rFonts w:ascii="Arial" w:cs="Arial" w:eastAsia="Arial" w:hAnsi="Arial"/>
          <w:sz w:val="22"/>
          <w:szCs w:val="22"/>
          <w:color w:val="auto"/>
          <w:vertAlign w:val="subscript"/>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other matters that may properly come before the meeting, all my (our) shares of record of Schlumberger Limited (Schlumberger N.V.) at</w:t>
      </w:r>
    </w:p>
    <w:p>
      <w:pPr>
        <w:ind w:left="500"/>
        <w:spacing w:after="0" w:line="194" w:lineRule="auto"/>
        <w:rPr>
          <w:sz w:val="20"/>
          <w:szCs w:val="20"/>
          <w:color w:val="auto"/>
        </w:rPr>
      </w:pPr>
      <w:r>
        <w:rPr>
          <w:rFonts w:ascii="Arial" w:cs="Arial" w:eastAsia="Arial" w:hAnsi="Arial"/>
          <w:sz w:val="12"/>
          <w:szCs w:val="12"/>
          <w:color w:val="auto"/>
        </w:rPr>
        <w:t>the Annual General Meeting of Stockholders to be held at the Avila Beach Hotel, Penstraat 130, Willemstad, Curaçao, Netherlands Antilles</w:t>
      </w:r>
    </w:p>
    <w:p>
      <w:pPr>
        <w:ind w:left="500" w:hanging="492"/>
        <w:spacing w:after="0" w:line="180" w:lineRule="auto"/>
        <w:tabs>
          <w:tab w:leader="none" w:pos="500" w:val="left"/>
        </w:tabs>
        <w:numPr>
          <w:ilvl w:val="0"/>
          <w:numId w:val="31"/>
        </w:numPr>
        <w:rPr>
          <w:rFonts w:ascii="Arial" w:cs="Arial" w:eastAsia="Arial" w:hAnsi="Arial"/>
          <w:sz w:val="35"/>
          <w:szCs w:val="35"/>
          <w:color w:val="auto"/>
          <w:vertAlign w:val="superscript"/>
        </w:rPr>
      </w:pPr>
      <w:r>
        <w:rPr>
          <w:rFonts w:ascii="Arial" w:cs="Arial" w:eastAsia="Arial" w:hAnsi="Arial"/>
          <w:sz w:val="15"/>
          <w:szCs w:val="15"/>
          <w:color w:val="auto"/>
        </w:rPr>
        <w:t>on April 11, 2003, and at any adjournment or adjournments thereof.</w:t>
      </w:r>
    </w:p>
    <w:p>
      <w:pPr>
        <w:ind w:left="500" w:hanging="492"/>
        <w:spacing w:after="0" w:line="183" w:lineRule="auto"/>
        <w:tabs>
          <w:tab w:leader="none" w:pos="500" w:val="left"/>
        </w:tabs>
        <w:numPr>
          <w:ilvl w:val="0"/>
          <w:numId w:val="32"/>
        </w:numPr>
        <w:rPr>
          <w:rFonts w:ascii="Arial" w:cs="Arial" w:eastAsia="Arial" w:hAnsi="Arial"/>
          <w:sz w:val="40"/>
          <w:szCs w:val="40"/>
          <w:color w:val="auto"/>
          <w:vertAlign w:val="superscript"/>
        </w:rPr>
      </w:pPr>
      <w:r>
        <w:rPr>
          <w:rFonts w:ascii="Arial" w:cs="Arial" w:eastAsia="Arial" w:hAnsi="Arial"/>
          <w:sz w:val="17"/>
          <w:szCs w:val="17"/>
          <w:b w:val="1"/>
          <w:bCs w:val="1"/>
          <w:color w:val="auto"/>
        </w:rPr>
        <w:t>If no other indication is made, the proxies will vote FOR the election of the director nominees and FOR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92646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327660</wp:posOffset>
            </wp:positionV>
            <wp:extent cx="10033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7"/>
              </w:rPr>
              <w:t>SEE REVERSE</w:t>
            </w:r>
          </w:p>
        </w:tc>
        <w:tc>
          <w:tcPr>
            <w:tcW w:w="8380" w:type="dxa"/>
            <w:vAlign w:val="bottom"/>
          </w:tcPr>
          <w:p>
            <w:pPr>
              <w:ind w:left="2540"/>
              <w:spacing w:after="0"/>
              <w:rPr>
                <w:sz w:val="20"/>
                <w:szCs w:val="20"/>
                <w:color w:val="auto"/>
              </w:rPr>
            </w:pPr>
            <w:r>
              <w:rPr>
                <w:rFonts w:ascii="Arial" w:cs="Arial" w:eastAsia="Arial" w:hAnsi="Arial"/>
                <w:sz w:val="18"/>
                <w:szCs w:val="18"/>
                <w:b w:val="1"/>
                <w:bCs w:val="1"/>
                <w:color w:val="auto"/>
              </w:rPr>
              <w:t>Continued and to be signed on reverse side</w:t>
            </w:r>
          </w:p>
        </w:tc>
        <w:tc>
          <w:tcPr>
            <w:tcW w:w="1580" w:type="dxa"/>
            <w:vAlign w:val="bottom"/>
          </w:tcPr>
          <w:p>
            <w:pPr>
              <w:jc w:val="center"/>
              <w:ind w:left="252"/>
              <w:spacing w:after="0"/>
              <w:rPr>
                <w:sz w:val="20"/>
                <w:szCs w:val="20"/>
                <w:color w:val="auto"/>
              </w:rPr>
            </w:pPr>
            <w:r>
              <w:rPr>
                <w:rFonts w:ascii="Arial" w:cs="Arial" w:eastAsia="Arial" w:hAnsi="Arial"/>
                <w:sz w:val="18"/>
                <w:szCs w:val="18"/>
                <w:b w:val="1"/>
                <w:bCs w:val="1"/>
                <w:color w:val="auto"/>
                <w:w w:val="97"/>
              </w:rPr>
              <w:t>SEE REVERSE</w:t>
            </w:r>
          </w:p>
        </w:tc>
      </w:tr>
      <w:tr>
        <w:trPr>
          <w:trHeight w:val="233"/>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SIDE</w:t>
            </w:r>
          </w:p>
        </w:tc>
        <w:tc>
          <w:tcPr>
            <w:tcW w:w="8380" w:type="dxa"/>
            <w:vAlign w:val="bottom"/>
          </w:tcPr>
          <w:p>
            <w:pPr>
              <w:spacing w:after="0"/>
              <w:rPr>
                <w:sz w:val="20"/>
                <w:szCs w:val="20"/>
                <w:color w:val="auto"/>
              </w:rPr>
            </w:pPr>
          </w:p>
        </w:tc>
        <w:tc>
          <w:tcPr>
            <w:tcW w:w="1580" w:type="dxa"/>
            <w:vAlign w:val="bottom"/>
          </w:tcPr>
          <w:p>
            <w:pPr>
              <w:jc w:val="center"/>
              <w:ind w:left="252"/>
              <w:spacing w:after="0"/>
              <w:rPr>
                <w:sz w:val="20"/>
                <w:szCs w:val="20"/>
                <w:color w:val="auto"/>
              </w:rPr>
            </w:pPr>
            <w:r>
              <w:rPr>
                <w:rFonts w:ascii="Arial" w:cs="Arial" w:eastAsia="Arial" w:hAnsi="Arial"/>
                <w:sz w:val="18"/>
                <w:szCs w:val="18"/>
                <w:b w:val="1"/>
                <w:bCs w:val="1"/>
                <w:color w:val="auto"/>
                <w:w w:val="95"/>
              </w:rPr>
              <w:t>SIDE</w:t>
            </w:r>
          </w:p>
        </w:tc>
      </w:tr>
      <w:tr>
        <w:trPr>
          <w:trHeight w:val="97"/>
        </w:trPr>
        <w:tc>
          <w:tcPr>
            <w:tcW w:w="1460" w:type="dxa"/>
            <w:vAlign w:val="bottom"/>
            <w:tcBorders>
              <w:bottom w:val="single" w:sz="8" w:color="auto"/>
            </w:tcBorders>
          </w:tcPr>
          <w:p>
            <w:pPr>
              <w:spacing w:after="0"/>
              <w:rPr>
                <w:sz w:val="8"/>
                <w:szCs w:val="8"/>
                <w:color w:val="auto"/>
              </w:rPr>
            </w:pPr>
          </w:p>
        </w:tc>
        <w:tc>
          <w:tcPr>
            <w:tcW w:w="838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403" w:right="239" w:bottom="1440" w:gutter="0" w:footer="0" w:header="0"/>
        </w:sectPr>
      </w:pPr>
    </w:p>
    <w:bookmarkStart w:id="53" w:name="page54"/>
    <w:bookmarkEnd w:id="53"/>
    <w:p>
      <w:pPr>
        <w:ind w:left="592" w:right="9840" w:hanging="592"/>
        <w:spacing w:after="0" w:line="185" w:lineRule="auto"/>
        <w:tabs>
          <w:tab w:leader="none" w:pos="592" w:val="left"/>
        </w:tabs>
        <w:numPr>
          <w:ilvl w:val="0"/>
          <w:numId w:val="33"/>
        </w:numPr>
        <w:rPr>
          <w:rFonts w:ascii="MS PGothic" w:cs="MS PGothic" w:eastAsia="MS PGothic" w:hAnsi="MS PGothic"/>
          <w:sz w:val="45"/>
          <w:szCs w:val="45"/>
          <w:color w:val="auto"/>
          <w:vertAlign w:val="subscript"/>
        </w:rPr>
      </w:pPr>
      <w:r>
        <w:rPr>
          <w:rFonts w:ascii="Arial" w:cs="Arial" w:eastAsia="Arial" w:hAnsi="Arial"/>
          <w:sz w:val="15"/>
          <w:szCs w:val="15"/>
          <w:color w:val="auto"/>
        </w:rPr>
        <w:t>Please mark votes as in this example</w:t>
      </w:r>
    </w:p>
    <w:p>
      <w:pPr>
        <w:spacing w:after="0" w:line="130" w:lineRule="exact"/>
        <w:rPr>
          <w:rFonts w:ascii="MS PGothic" w:cs="MS PGothic" w:eastAsia="MS PGothic" w:hAnsi="MS PGothic"/>
          <w:sz w:val="45"/>
          <w:szCs w:val="45"/>
          <w:color w:val="auto"/>
          <w:vertAlign w:val="subscript"/>
        </w:rPr>
      </w:pPr>
    </w:p>
    <w:p>
      <w:pPr>
        <w:ind w:left="592" w:right="1840"/>
        <w:spacing w:after="0" w:line="239" w:lineRule="auto"/>
        <w:rPr>
          <w:rFonts w:ascii="MS PGothic" w:cs="MS PGothic" w:eastAsia="MS PGothic" w:hAnsi="MS PGothic"/>
          <w:sz w:val="45"/>
          <w:szCs w:val="45"/>
          <w:color w:val="auto"/>
          <w:vertAlign w:val="subscript"/>
        </w:rPr>
      </w:pPr>
      <w:r>
        <w:rPr>
          <w:rFonts w:ascii="Arial" w:cs="Arial" w:eastAsia="Arial" w:hAnsi="Arial"/>
          <w:sz w:val="18"/>
          <w:szCs w:val="18"/>
          <w:color w:val="auto"/>
        </w:rPr>
        <w:t>Unless you indicate otherwise, this proxy will be voted in accordance with the Board of Directors’ recommendations. Directors recommend a vote FOR items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-923290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1">
            <w:col w:w="11412"/>
          </w:cols>
          <w:pgMar w:left="248" w:top="440"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892" w:hanging="298"/>
        <w:spacing w:after="0"/>
        <w:tabs>
          <w:tab w:leader="none" w:pos="8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Election of 10 Directors</w:t>
      </w:r>
    </w:p>
    <w:p>
      <w:pPr>
        <w:ind w:left="892"/>
        <w:spacing w:after="0"/>
        <w:rPr>
          <w:rFonts w:ascii="Arial" w:cs="Arial" w:eastAsia="Arial" w:hAnsi="Arial"/>
          <w:sz w:val="18"/>
          <w:szCs w:val="18"/>
          <w:color w:val="auto"/>
        </w:rPr>
      </w:pPr>
      <w:r>
        <w:rPr>
          <w:rFonts w:ascii="Arial" w:cs="Arial" w:eastAsia="Arial" w:hAnsi="Arial"/>
          <w:sz w:val="16"/>
          <w:szCs w:val="16"/>
          <w:b w:val="1"/>
          <w:bCs w:val="1"/>
          <w:color w:val="auto"/>
        </w:rPr>
        <w:t>Nominees</w:t>
      </w:r>
      <w:r>
        <w:rPr>
          <w:rFonts w:ascii="Arial" w:cs="Arial" w:eastAsia="Arial" w:hAnsi="Arial"/>
          <w:sz w:val="16"/>
          <w:szCs w:val="16"/>
          <w:color w:val="auto"/>
        </w:rPr>
        <w:t>: J. Deutch, J.S. Gorelick,</w:t>
      </w:r>
    </w:p>
    <w:p>
      <w:pPr>
        <w:spacing w:after="0" w:line="18" w:lineRule="exact"/>
        <w:rPr>
          <w:rFonts w:ascii="Arial" w:cs="Arial" w:eastAsia="Arial" w:hAnsi="Arial"/>
          <w:sz w:val="18"/>
          <w:szCs w:val="18"/>
          <w:color w:val="auto"/>
        </w:rPr>
      </w:pPr>
    </w:p>
    <w:p>
      <w:pPr>
        <w:ind w:left="1092" w:hanging="215"/>
        <w:spacing w:after="0" w:line="234" w:lineRule="auto"/>
        <w:tabs>
          <w:tab w:leader="none" w:pos="10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Gould, T. Isaac, A. Lajous,</w:t>
      </w:r>
    </w:p>
    <w:p>
      <w:pPr>
        <w:ind w:left="1092" w:hanging="215"/>
        <w:spacing w:after="0" w:line="234" w:lineRule="auto"/>
        <w:tabs>
          <w:tab w:leader="none" w:pos="10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Lévy-Lang, D. Primat,</w:t>
      </w:r>
    </w:p>
    <w:p>
      <w:pPr>
        <w:ind w:left="1112" w:hanging="225"/>
        <w:spacing w:after="0"/>
        <w:tabs>
          <w:tab w:leader="none" w:pos="1112" w:val="left"/>
        </w:tabs>
        <w:numPr>
          <w:ilvl w:val="1"/>
          <w:numId w:val="36"/>
        </w:numPr>
        <w:rPr>
          <w:rFonts w:ascii="Arial" w:cs="Arial" w:eastAsia="Arial" w:hAnsi="Arial"/>
          <w:sz w:val="18"/>
          <w:szCs w:val="18"/>
          <w:color w:val="auto"/>
        </w:rPr>
      </w:pPr>
      <w:r>
        <w:rPr>
          <w:rFonts w:ascii="Arial" w:cs="Arial" w:eastAsia="Arial" w:hAnsi="Arial"/>
          <w:sz w:val="18"/>
          <w:szCs w:val="18"/>
          <w:color w:val="auto"/>
        </w:rPr>
        <w:t>Seydoux, L.G. Stuntz, S. Ullring</w:t>
      </w:r>
    </w:p>
    <w:p>
      <w:pPr>
        <w:spacing w:after="0" w:line="87" w:lineRule="exact"/>
        <w:rPr>
          <w:sz w:val="20"/>
          <w:szCs w:val="20"/>
          <w:color w:val="auto"/>
        </w:rPr>
      </w:pPr>
    </w:p>
    <w:p>
      <w:pPr>
        <w:ind w:left="592"/>
        <w:spacing w:after="0" w:line="207" w:lineRule="exact"/>
        <w:tabs>
          <w:tab w:leader="none" w:pos="2492" w:val="left"/>
        </w:tabs>
        <w:rPr>
          <w:sz w:val="20"/>
          <w:szCs w:val="20"/>
          <w:color w:val="auto"/>
        </w:rPr>
      </w:pPr>
      <w:r>
        <w:rPr>
          <w:rFonts w:ascii="Arial" w:cs="Arial" w:eastAsia="Arial" w:hAnsi="Arial"/>
          <w:sz w:val="18"/>
          <w:szCs w:val="18"/>
          <w:color w:val="auto"/>
        </w:rPr>
        <w:t>FOR ALL NOMINEES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286" w:right="380" w:hanging="286"/>
        <w:spacing w:after="0" w:line="239" w:lineRule="auto"/>
        <w:tabs>
          <w:tab w:leader="none" w:pos="2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Adoption and approval of Financials and Dividends</w:t>
      </w:r>
    </w:p>
    <w:p>
      <w:pPr>
        <w:spacing w:after="0" w:line="127" w:lineRule="exact"/>
        <w:rPr>
          <w:rFonts w:ascii="Arial" w:cs="Arial" w:eastAsia="Arial" w:hAnsi="Arial"/>
          <w:sz w:val="18"/>
          <w:szCs w:val="18"/>
          <w:color w:val="auto"/>
        </w:rPr>
      </w:pPr>
    </w:p>
    <w:p>
      <w:pPr>
        <w:ind w:left="226" w:hanging="226"/>
        <w:spacing w:after="0"/>
        <w:tabs>
          <w:tab w:leader="none" w:pos="2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Approval of Auditors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tabs>
          <w:tab w:leader="none" w:pos="900" w:val="left"/>
          <w:tab w:leader="none" w:pos="188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6"/>
          <w:szCs w:val="16"/>
          <w:color w:val="auto"/>
        </w:rPr>
        <w:t>ABSTAIN</w:t>
      </w:r>
    </w:p>
    <w:p>
      <w:pPr>
        <w:spacing w:after="0" w:line="127" w:lineRule="exact"/>
        <w:rPr>
          <w:sz w:val="20"/>
          <w:szCs w:val="20"/>
          <w:color w:val="auto"/>
        </w:rPr>
      </w:pPr>
    </w:p>
    <w:p>
      <w:pPr>
        <w:ind w:left="20"/>
        <w:spacing w:after="0" w:line="181" w:lineRule="exact"/>
        <w:tabs>
          <w:tab w:leader="none" w:pos="1080" w:val="left"/>
          <w:tab w:leader="none" w:pos="21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320" w:lineRule="exact"/>
        <w:rPr>
          <w:sz w:val="20"/>
          <w:szCs w:val="20"/>
          <w:color w:val="auto"/>
        </w:rPr>
      </w:pPr>
    </w:p>
    <w:p>
      <w:pPr>
        <w:ind w:left="20"/>
        <w:spacing w:after="0" w:line="181" w:lineRule="exact"/>
        <w:tabs>
          <w:tab w:leader="none" w:pos="1080" w:val="left"/>
          <w:tab w:leader="none" w:pos="21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872" w:lineRule="exact"/>
        <w:rPr>
          <w:sz w:val="20"/>
          <w:szCs w:val="20"/>
          <w:color w:val="auto"/>
        </w:rPr>
      </w:pPr>
    </w:p>
    <w:p>
      <w:pPr>
        <w:sectPr>
          <w:pgSz w:w="11900" w:h="16838" w:orient="portrait"/>
          <w:cols w:equalWidth="0" w:num="3">
            <w:col w:w="3926" w:space="720"/>
            <w:col w:w="3406" w:space="720"/>
            <w:col w:w="2640"/>
          </w:cols>
          <w:pgMar w:left="248" w:top="440" w:right="239" w:bottom="1440" w:gutter="0" w:footer="0" w:header="0"/>
          <w:type w:val="continuous"/>
        </w:sectPr>
      </w:pPr>
    </w:p>
    <w:p>
      <w:pPr>
        <w:ind w:left="592"/>
        <w:spacing w:after="0"/>
        <w:rPr>
          <w:sz w:val="20"/>
          <w:szCs w:val="20"/>
          <w:color w:val="auto"/>
        </w:rPr>
      </w:pPr>
      <w:r>
        <w:rPr>
          <w:rFonts w:ascii="Arial" w:cs="Arial" w:eastAsia="Arial" w:hAnsi="Arial"/>
          <w:sz w:val="18"/>
          <w:szCs w:val="18"/>
          <w:color w:val="auto"/>
        </w:rPr>
        <w:t>WITHHELD</w:t>
      </w:r>
    </w:p>
    <w:p>
      <w:pPr>
        <w:ind w:left="592"/>
        <w:spacing w:after="0" w:line="230" w:lineRule="auto"/>
        <w:rPr>
          <w:sz w:val="20"/>
          <w:szCs w:val="20"/>
          <w:color w:val="auto"/>
        </w:rPr>
      </w:pPr>
      <w:r>
        <w:rPr>
          <w:rFonts w:ascii="Arial" w:cs="Arial" w:eastAsia="Arial" w:hAnsi="Arial"/>
          <w:sz w:val="18"/>
          <w:szCs w:val="18"/>
          <w:color w:val="auto"/>
        </w:rPr>
        <w:t>FROM ALL</w:t>
      </w:r>
    </w:p>
    <w:p>
      <w:pPr>
        <w:ind w:left="592"/>
        <w:spacing w:after="0" w:line="207" w:lineRule="exact"/>
        <w:tabs>
          <w:tab w:leader="none" w:pos="1752" w:val="left"/>
        </w:tabs>
        <w:rPr>
          <w:sz w:val="20"/>
          <w:szCs w:val="20"/>
          <w:color w:val="auto"/>
        </w:rPr>
      </w:pPr>
      <w:r>
        <w:rPr>
          <w:rFonts w:ascii="Arial" w:cs="Arial" w:eastAsia="Arial" w:hAnsi="Arial"/>
          <w:sz w:val="18"/>
          <w:szCs w:val="18"/>
          <w:color w:val="auto"/>
        </w:rPr>
        <w:t>NOMINEES</w:t>
      </w:r>
      <w:r>
        <w:rPr>
          <w:sz w:val="20"/>
          <w:szCs w:val="20"/>
          <w:color w:val="auto"/>
        </w:rPr>
        <w:tab/>
      </w:r>
      <w:r>
        <w:rPr>
          <w:rFonts w:ascii="MS PGothic" w:cs="MS PGothic" w:eastAsia="MS PGothic" w:hAnsi="MS PGothic"/>
          <w:sz w:val="18"/>
          <w:szCs w:val="18"/>
          <w:color w:val="auto"/>
        </w:rPr>
        <w:t>☐</w:t>
      </w:r>
    </w:p>
    <w:p>
      <w:pPr>
        <w:spacing w:after="0" w:line="100" w:lineRule="exact"/>
        <w:rPr>
          <w:sz w:val="20"/>
          <w:szCs w:val="20"/>
          <w:color w:val="auto"/>
        </w:rPr>
      </w:pPr>
    </w:p>
    <w:tbl>
      <w:tblPr>
        <w:tblLayout w:type="fixed"/>
        <w:tblInd w:w="12"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4280" w:type="dxa"/>
            <w:vAlign w:val="bottom"/>
            <w:gridSpan w:val="9"/>
          </w:tcPr>
          <w:p>
            <w:pPr>
              <w:ind w:left="360"/>
              <w:spacing w:after="0"/>
              <w:rPr>
                <w:sz w:val="20"/>
                <w:szCs w:val="20"/>
                <w:color w:val="auto"/>
              </w:rPr>
            </w:pPr>
            <w:r>
              <w:rPr>
                <w:rFonts w:ascii="Arial" w:cs="Arial" w:eastAsia="Arial" w:hAnsi="Arial"/>
                <w:sz w:val="18"/>
                <w:szCs w:val="18"/>
                <w:color w:val="auto"/>
              </w:rPr>
              <w:t>FOR ALL NOMINEES EXCEPT THOSE</w:t>
            </w: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420" w:type="dxa"/>
            <w:vAlign w:val="bottom"/>
            <w:gridSpan w:val="4"/>
          </w:tcPr>
          <w:p>
            <w:pPr>
              <w:ind w:left="360"/>
              <w:spacing w:after="0"/>
              <w:rPr>
                <w:sz w:val="20"/>
                <w:szCs w:val="20"/>
                <w:color w:val="auto"/>
              </w:rPr>
            </w:pPr>
            <w:r>
              <w:rPr>
                <w:rFonts w:ascii="Arial" w:cs="Arial" w:eastAsia="Arial" w:hAnsi="Arial"/>
                <w:sz w:val="18"/>
                <w:szCs w:val="18"/>
                <w:color w:val="auto"/>
              </w:rPr>
              <w:t>NOTED IN THE BLANK</w:t>
            </w:r>
          </w:p>
        </w:tc>
        <w:tc>
          <w:tcPr>
            <w:tcW w:w="1860" w:type="dxa"/>
            <w:vAlign w:val="bottom"/>
            <w:gridSpan w:val="5"/>
          </w:tcPr>
          <w:p>
            <w:pPr>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gridSpan w:val="4"/>
            <w:vMerge w:val="restart"/>
          </w:tcPr>
          <w:p>
            <w:pPr>
              <w:ind w:left="140"/>
              <w:spacing w:after="0"/>
              <w:rPr>
                <w:sz w:val="20"/>
                <w:szCs w:val="20"/>
                <w:color w:val="auto"/>
              </w:rPr>
            </w:pPr>
            <w:r>
              <w:rPr>
                <w:rFonts w:ascii="Arial" w:cs="Arial" w:eastAsia="Arial" w:hAnsi="Arial"/>
                <w:sz w:val="18"/>
                <w:szCs w:val="18"/>
                <w:color w:val="auto"/>
              </w:rPr>
              <w:t>MARK HERE FOR ADDRESS CHANGE AND NOTE AT LEFT</w:t>
            </w:r>
          </w:p>
        </w:tc>
        <w:tc>
          <w:tcPr>
            <w:tcW w:w="13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180" w:type="dxa"/>
            <w:vAlign w:val="bottom"/>
            <w:gridSpan w:val="4"/>
            <w:vMerge w:val="continue"/>
          </w:tcPr>
          <w:p>
            <w:pPr>
              <w:spacing w:after="0"/>
              <w:rPr>
                <w:sz w:val="22"/>
                <w:szCs w:val="22"/>
                <w:color w:val="auto"/>
              </w:rPr>
            </w:pPr>
          </w:p>
        </w:tc>
        <w:tc>
          <w:tcPr>
            <w:tcW w:w="1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80" w:type="dxa"/>
            <w:vAlign w:val="bottom"/>
            <w:gridSpan w:val="5"/>
          </w:tcPr>
          <w:p>
            <w:pPr>
              <w:ind w:left="140"/>
              <w:spacing w:after="0"/>
              <w:rPr>
                <w:sz w:val="20"/>
                <w:szCs w:val="20"/>
                <w:color w:val="auto"/>
              </w:rPr>
            </w:pPr>
            <w:r>
              <w:rPr>
                <w:rFonts w:ascii="Arial" w:cs="Arial" w:eastAsia="Arial" w:hAnsi="Arial"/>
                <w:sz w:val="18"/>
                <w:szCs w:val="18"/>
                <w:color w:val="auto"/>
                <w:w w:val="96"/>
              </w:rPr>
              <w:t>Please sign names exactly as printed hereon. If signing as attorney, administrator,</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8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executor, guardian or trustee, please give full title as such.</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4"/>
          </w:tcPr>
          <w:p>
            <w:pPr>
              <w:ind w:left="140"/>
              <w:spacing w:after="0"/>
              <w:rPr>
                <w:sz w:val="20"/>
                <w:szCs w:val="20"/>
                <w:color w:val="auto"/>
              </w:rPr>
            </w:pPr>
            <w:r>
              <w:rPr>
                <w:rFonts w:ascii="Arial" w:cs="Arial" w:eastAsia="Arial" w:hAnsi="Arial"/>
                <w:sz w:val="18"/>
                <w:szCs w:val="18"/>
                <w:color w:val="auto"/>
              </w:rPr>
              <w:t>Please sign, date and return in the enclosed envelope.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800" w:type="dxa"/>
            <w:vAlign w:val="bottom"/>
            <w:gridSpan w:val="3"/>
          </w:tcPr>
          <w:p>
            <w:pPr>
              <w:spacing w:after="0"/>
              <w:rPr>
                <w:sz w:val="20"/>
                <w:szCs w:val="20"/>
                <w:color w:val="auto"/>
              </w:rPr>
            </w:pPr>
            <w:r>
              <w:rPr>
                <w:rFonts w:ascii="Arial" w:cs="Arial" w:eastAsia="Arial" w:hAnsi="Arial"/>
                <w:sz w:val="18"/>
                <w:szCs w:val="18"/>
                <w:color w:val="auto"/>
                <w:w w:val="95"/>
              </w:rPr>
              <w:t>Signature:</w:t>
            </w:r>
          </w:p>
        </w:tc>
        <w:tc>
          <w:tcPr>
            <w:tcW w:w="18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gridSpan w:val="3"/>
          </w:tcPr>
          <w:p>
            <w:pPr>
              <w:ind w:left="100"/>
              <w:spacing w:after="0"/>
              <w:rPr>
                <w:sz w:val="20"/>
                <w:szCs w:val="20"/>
                <w:color w:val="auto"/>
              </w:rPr>
            </w:pPr>
            <w:r>
              <w:rPr>
                <w:rFonts w:ascii="Arial" w:cs="Arial" w:eastAsia="Arial" w:hAnsi="Arial"/>
                <w:sz w:val="18"/>
                <w:szCs w:val="18"/>
                <w:color w:val="auto"/>
              </w:rPr>
              <w:t>Date:</w:t>
            </w:r>
          </w:p>
        </w:tc>
        <w:tc>
          <w:tcPr>
            <w:tcW w:w="1440" w:type="dxa"/>
            <w:vAlign w:val="bottom"/>
          </w:tcPr>
          <w:p>
            <w:pPr>
              <w:spacing w:after="0"/>
              <w:rPr>
                <w:sz w:val="24"/>
                <w:szCs w:val="24"/>
                <w:color w:val="auto"/>
              </w:rPr>
            </w:pPr>
          </w:p>
        </w:tc>
        <w:tc>
          <w:tcPr>
            <w:tcW w:w="3740" w:type="dxa"/>
            <w:vAlign w:val="bottom"/>
            <w:gridSpan w:val="3"/>
          </w:tcPr>
          <w:p>
            <w:pPr>
              <w:ind w:left="100"/>
              <w:spacing w:after="0"/>
              <w:rPr>
                <w:sz w:val="20"/>
                <w:szCs w:val="20"/>
                <w:color w:val="auto"/>
              </w:rPr>
            </w:pPr>
            <w:r>
              <w:rPr>
                <w:rFonts w:ascii="Arial" w:cs="Arial" w:eastAsia="Arial" w:hAnsi="Arial"/>
                <w:sz w:val="18"/>
                <w:szCs w:val="18"/>
                <w:color w:val="auto"/>
              </w:rPr>
              <w:t>Signature: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4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Date:</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12"/>
      </w:cols>
      <w:pgMar w:left="248" w:top="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2)"/>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lvl w:ilvl="1">
      <w:lvlJc w:val="left"/>
      <w:lvlText w:val="(%2)"/>
      <w:numFmt w:val="lowerLetter"/>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bullet"/>
      <w:start w:val="1"/>
    </w:lvl>
  </w:abstractNum>
  <w:abstractNum w:abstractNumId="13">
    <w:nsid w:val="4353D0CD"/>
    <w:multiLevelType w:val="hybridMultilevel"/>
    <w:lvl w:ilvl="0">
      <w:lvlJc w:val="left"/>
      <w:lvlText w:val="1"/>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bullet"/>
      <w:start w:val="1"/>
    </w:lvl>
  </w:abstractNum>
  <w:abstractNum w:abstractNumId="23">
    <w:nsid w:val="1E7FF521"/>
    <w:multiLevelType w:val="hybridMultilevel"/>
    <w:lvl w:ilvl="0">
      <w:lvlJc w:val="left"/>
      <w:lvlText w:val="2"/>
      <w:numFmt w:val="bullet"/>
      <w:start w:val="1"/>
    </w:lvl>
  </w:abstractNum>
  <w:abstractNum w:abstractNumId="24">
    <w:nsid w:val="7C3DBD3D"/>
    <w:multiLevelType w:val="hybridMultilevel"/>
    <w:lvl w:ilvl="0">
      <w:lvlJc w:val="left"/>
      <w:lvlText w:val="3"/>
      <w:numFmt w:val="bullet"/>
      <w:start w:val="1"/>
    </w:lvl>
  </w:abstractNum>
  <w:abstractNum w:abstractNumId="25">
    <w:nsid w:val="737B8DDC"/>
    <w:multiLevelType w:val="hybridMultilevel"/>
    <w:lvl w:ilvl="0">
      <w:lvlJc w:val="left"/>
      <w:lvlText w:val="4"/>
      <w:numFmt w:val="bullet"/>
      <w:start w:val="1"/>
    </w:lvl>
  </w:abstractNum>
  <w:abstractNum w:abstractNumId="26">
    <w:nsid w:val="6CEAF087"/>
    <w:multiLevelType w:val="hybridMultilevel"/>
    <w:lvl w:ilvl="0">
      <w:lvlJc w:val="left"/>
      <w:lvlText w:val="5"/>
      <w:numFmt w:val="bullet"/>
      <w:start w:val="1"/>
    </w:lvl>
  </w:abstractNum>
  <w:abstractNum w:abstractNumId="27">
    <w:nsid w:val="22221A70"/>
    <w:multiLevelType w:val="hybridMultilevel"/>
    <w:lvl w:ilvl="0">
      <w:lvlJc w:val="left"/>
      <w:lvlText w:val="6"/>
      <w:numFmt w:val="bullet"/>
      <w:start w:val="1"/>
    </w:lvl>
  </w:abstractNum>
  <w:abstractNum w:abstractNumId="28">
    <w:nsid w:val="4516DDE9"/>
    <w:multiLevelType w:val="hybridMultilevel"/>
    <w:lvl w:ilvl="0">
      <w:lvlJc w:val="left"/>
      <w:lvlText w:val="7"/>
      <w:numFmt w:val="bullet"/>
      <w:start w:val="1"/>
    </w:lvl>
  </w:abstractNum>
  <w:abstractNum w:abstractNumId="29">
    <w:nsid w:val="3006C83E"/>
    <w:multiLevelType w:val="hybridMultilevel"/>
    <w:lvl w:ilvl="0">
      <w:lvlJc w:val="left"/>
      <w:lvlText w:val="O"/>
      <w:numFmt w:val="bullet"/>
      <w:start w:val="1"/>
    </w:lvl>
  </w:abstractNum>
  <w:abstractNum w:abstractNumId="30">
    <w:nsid w:val="614FD4A1"/>
    <w:multiLevelType w:val="hybridMultilevel"/>
    <w:lvl w:ilvl="0">
      <w:lvlJc w:val="left"/>
      <w:lvlText w:val="X"/>
      <w:numFmt w:val="bullet"/>
      <w:start w:val="1"/>
    </w:lvl>
  </w:abstractNum>
  <w:abstractNum w:abstractNumId="31">
    <w:nsid w:val="419AC241"/>
    <w:multiLevelType w:val="hybridMultilevel"/>
    <w:lvl w:ilvl="0">
      <w:lvlJc w:val="left"/>
      <w:lvlText w:val="Y"/>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34">
    <w:nsid w:val="5072367"/>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35">
    <w:nsid w:val="3804823E"/>
    <w:multiLevelType w:val="hybridMultilevel"/>
    <w:lvl w:ilvl="0">
      <w:lvlJc w:val="left"/>
      <w:lvlText w:val="%1"/>
      <w:numFmt w:val="decimal"/>
      <w:start w:val="1"/>
    </w:lvl>
    <w:lvl w:ilvl="1">
      <w:lvlJc w:val="left"/>
      <w:lvlText w:val="%2."/>
      <w:numFmt w:val="upperLetter"/>
      <w:start w:val="14"/>
    </w:lvl>
    <w:lvl w:ilvl="2">
      <w:lvlJc w:val="left"/>
      <w:lvlText w:val="%3"/>
      <w:numFmt w:val="upperLetter"/>
      <w:start w:val="1"/>
    </w:lvl>
  </w:abstractNum>
  <w:abstractNum w:abstractNumId="36">
    <w:nsid w:val="77465F0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2019-12-12T10:19:13Z</dcterms:created>
  <dcterms:modified xsi:type="dcterms:W3CDTF">2019-12-12T10:19:13Z</dcterms:modified>
</cp:coreProperties>
</file>