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2021</w:t>
      </w:r>
    </w:p>
    <w:p>
      <w:pPr>
        <w:jc w:val="center"/>
        <w:ind w:right="-19"/>
        <w:spacing w:after="0" w:line="225"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4540" w:right="1580" w:hanging="4532"/>
        <w:spacing w:after="0" w:line="344"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29210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1"/>
              </w:rPr>
              <w:t>Curaçao</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5000" w:type="dxa"/>
            <w:vAlign w:val="bottom"/>
          </w:tcPr>
          <w:p>
            <w:pPr>
              <w:jc w:val="center"/>
              <w:ind w:right="1715"/>
              <w:spacing w:after="0" w:line="149" w:lineRule="exact"/>
              <w:rPr>
                <w:sz w:val="20"/>
                <w:szCs w:val="20"/>
                <w:color w:val="auto"/>
              </w:rPr>
            </w:pPr>
            <w:r>
              <w:rPr>
                <w:rFonts w:ascii="Arial" w:cs="Arial" w:eastAsia="Arial" w:hAnsi="Arial"/>
                <w:sz w:val="14"/>
                <w:szCs w:val="14"/>
                <w:color w:val="auto"/>
                <w:w w:val="95"/>
              </w:rPr>
              <w:t>(State or other jurisdiction of</w:t>
            </w:r>
          </w:p>
        </w:tc>
        <w:tc>
          <w:tcPr>
            <w:tcW w:w="2860" w:type="dxa"/>
            <w:vAlign w:val="bottom"/>
          </w:tcPr>
          <w:p>
            <w:pPr>
              <w:jc w:val="center"/>
              <w:ind w:left="1737"/>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incorporation or organization)</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7"/>
              </w:rPr>
              <w:t>Identification No.)</w:t>
            </w:r>
          </w:p>
        </w:tc>
      </w:tr>
      <w:tr>
        <w:trPr>
          <w:trHeight w:val="30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42 rue Saint-Dominique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Paris, France</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8"/>
              </w:rPr>
              <w:t>5599 San Felipe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86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5000" w:type="dxa"/>
            <w:vAlign w:val="bottom"/>
          </w:tcPr>
          <w:p>
            <w:pPr>
              <w:jc w:val="center"/>
              <w:ind w:right="1695"/>
              <w:spacing w:after="0"/>
              <w:rPr>
                <w:sz w:val="20"/>
                <w:szCs w:val="20"/>
                <w:color w:val="auto"/>
              </w:rPr>
            </w:pPr>
            <w:r>
              <w:rPr>
                <w:rFonts w:ascii="Arial" w:cs="Arial" w:eastAsia="Arial" w:hAnsi="Arial"/>
                <w:sz w:val="18"/>
                <w:szCs w:val="18"/>
                <w:b w:val="1"/>
                <w:bCs w:val="1"/>
                <w:color w:val="auto"/>
                <w:w w:val="90"/>
              </w:rPr>
              <w:t>62 Buckingham Gate</w:t>
            </w:r>
          </w:p>
        </w:tc>
        <w:tc>
          <w:tcPr>
            <w:tcW w:w="2860" w:type="dxa"/>
            <w:vAlign w:val="bottom"/>
          </w:tcPr>
          <w:p>
            <w:pPr>
              <w:spacing w:after="0"/>
              <w:rPr>
                <w:sz w:val="24"/>
                <w:szCs w:val="24"/>
                <w:color w:val="auto"/>
              </w:rPr>
            </w:pPr>
          </w:p>
        </w:tc>
      </w:tr>
      <w:tr>
        <w:trPr>
          <w:trHeight w:val="234"/>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London, United Kingdom</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2"/>
              </w:rPr>
              <w:t>Parkstraat 83, The Hague,</w:t>
            </w:r>
          </w:p>
        </w:tc>
        <w:tc>
          <w:tcPr>
            <w:tcW w:w="2860" w:type="dxa"/>
            <w:vAlign w:val="bottom"/>
          </w:tcPr>
          <w:p>
            <w:pPr>
              <w:spacing w:after="0"/>
              <w:rPr>
                <w:sz w:val="24"/>
                <w:szCs w:val="24"/>
                <w:color w:val="auto"/>
              </w:rPr>
            </w:pPr>
          </w:p>
        </w:tc>
      </w:tr>
      <w:tr>
        <w:trPr>
          <w:trHeight w:val="216"/>
        </w:trPr>
        <w:tc>
          <w:tcPr>
            <w:tcW w:w="50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0"/>
              </w:rPr>
              <w:t>The Netherlands</w:t>
            </w:r>
          </w:p>
        </w:tc>
        <w:tc>
          <w:tcPr>
            <w:tcW w:w="2860" w:type="dxa"/>
            <w:vAlign w:val="bottom"/>
          </w:tcPr>
          <w:p>
            <w:pPr>
              <w:jc w:val="center"/>
              <w:ind w:left="1737"/>
              <w:spacing w:after="0"/>
              <w:rPr>
                <w:sz w:val="20"/>
                <w:szCs w:val="20"/>
                <w:color w:val="auto"/>
              </w:rPr>
            </w:pPr>
            <w:r>
              <w:rPr>
                <w:rFonts w:ascii="Arial" w:cs="Arial" w:eastAsia="Arial" w:hAnsi="Arial"/>
                <w:sz w:val="18"/>
                <w:szCs w:val="18"/>
                <w:b w:val="1"/>
                <w:bCs w:val="1"/>
                <w:color w:val="auto"/>
                <w:w w:val="92"/>
              </w:rPr>
              <w:t>2514 JG</w:t>
            </w:r>
          </w:p>
        </w:tc>
      </w:tr>
      <w:tr>
        <w:trPr>
          <w:trHeight w:val="182"/>
        </w:trPr>
        <w:tc>
          <w:tcPr>
            <w:tcW w:w="5000" w:type="dxa"/>
            <w:vAlign w:val="bottom"/>
          </w:tcPr>
          <w:p>
            <w:pPr>
              <w:jc w:val="center"/>
              <w:ind w:right="1715"/>
              <w:spacing w:after="0"/>
              <w:rPr>
                <w:sz w:val="20"/>
                <w:szCs w:val="20"/>
                <w:color w:val="auto"/>
              </w:rPr>
            </w:pPr>
            <w:r>
              <w:rPr>
                <w:rFonts w:ascii="Arial" w:cs="Arial" w:eastAsia="Arial" w:hAnsi="Arial"/>
                <w:sz w:val="14"/>
                <w:szCs w:val="14"/>
                <w:color w:val="auto"/>
                <w:w w:val="94"/>
              </w:rPr>
              <w:t>(Addresses of principal executive offices)</w:t>
            </w:r>
          </w:p>
        </w:tc>
        <w:tc>
          <w:tcPr>
            <w:tcW w:w="2860" w:type="dxa"/>
            <w:vAlign w:val="bottom"/>
          </w:tcPr>
          <w:p>
            <w:pPr>
              <w:jc w:val="center"/>
              <w:ind w:left="1717"/>
              <w:spacing w:after="0"/>
              <w:rPr>
                <w:sz w:val="20"/>
                <w:szCs w:val="20"/>
                <w:color w:val="auto"/>
              </w:rPr>
            </w:pPr>
            <w:r>
              <w:rPr>
                <w:rFonts w:ascii="Arial" w:cs="Arial" w:eastAsia="Arial" w:hAnsi="Arial"/>
                <w:sz w:val="14"/>
                <w:szCs w:val="14"/>
                <w:color w:val="auto"/>
                <w:w w:val="95"/>
              </w:rPr>
              <w:t>(Zip Codes)</w:t>
            </w:r>
          </w:p>
        </w:tc>
      </w:tr>
    </w:tbl>
    <w:p>
      <w:pPr>
        <w:spacing w:after="0" w:line="75"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8"/>
          <w:szCs w:val="18"/>
          <w:b w:val="1"/>
          <w:bCs w:val="1"/>
          <w:color w:val="auto"/>
        </w:rPr>
        <w:t>Registrant’s telephone number in the United States, including area code, is:</w:t>
      </w:r>
      <w:r>
        <w:rPr>
          <w:sz w:val="20"/>
          <w:szCs w:val="20"/>
          <w:color w:val="auto"/>
        </w:rPr>
        <w:tab/>
      </w:r>
      <w:r>
        <w:rPr>
          <w:rFonts w:ascii="Arial" w:cs="Arial" w:eastAsia="Arial" w:hAnsi="Arial"/>
          <w:sz w:val="16"/>
          <w:szCs w:val="16"/>
          <w:b w:val="1"/>
          <w:bCs w:val="1"/>
          <w:color w:val="auto"/>
        </w:rPr>
        <w:t>(713) 513-2000</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00" w:type="dxa"/>
            <w:vAlign w:val="bottom"/>
          </w:tcPr>
          <w:p>
            <w:pPr>
              <w:spacing w:after="0"/>
              <w:rPr>
                <w:sz w:val="17"/>
                <w:szCs w:val="17"/>
                <w:color w:val="auto"/>
              </w:rPr>
            </w:pPr>
          </w:p>
        </w:tc>
      </w:tr>
      <w:tr>
        <w:trPr>
          <w:trHeight w:val="290"/>
        </w:trPr>
        <w:tc>
          <w:tcPr>
            <w:tcW w:w="720" w:type="dxa"/>
            <w:vAlign w:val="bottom"/>
          </w:tcPr>
          <w:p>
            <w:pPr>
              <w:spacing w:after="0"/>
              <w:rPr>
                <w:sz w:val="24"/>
                <w:szCs w:val="24"/>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spacing w:after="0"/>
              <w:rPr>
                <w:sz w:val="24"/>
                <w:szCs w:val="24"/>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b w:val="1"/>
                <w:bCs w:val="1"/>
                <w:color w:val="auto"/>
                <w:w w:val="92"/>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17"/>
        </w:trPr>
        <w:tc>
          <w:tcPr>
            <w:tcW w:w="2760" w:type="dxa"/>
            <w:vAlign w:val="bottom"/>
            <w:gridSpan w:val="3"/>
          </w:tcPr>
          <w:p>
            <w:pPr>
              <w:jc w:val="center"/>
              <w:ind w:right="100"/>
              <w:spacing w:after="0"/>
              <w:rPr>
                <w:sz w:val="20"/>
                <w:szCs w:val="20"/>
                <w:color w:val="auto"/>
              </w:rPr>
            </w:pPr>
            <w:r>
              <w:rPr>
                <w:rFonts w:ascii="Arial" w:cs="Arial" w:eastAsia="Arial" w:hAnsi="Arial"/>
                <w:sz w:val="16"/>
                <w:szCs w:val="16"/>
                <w:color w:val="auto"/>
                <w:w w:val="90"/>
              </w:rPr>
              <w:t>common stock, par value $0.01 per share</w:t>
            </w:r>
          </w:p>
        </w:tc>
        <w:tc>
          <w:tcPr>
            <w:tcW w:w="1300" w:type="dxa"/>
            <w:vAlign w:val="bottom"/>
          </w:tcPr>
          <w:p>
            <w:pPr>
              <w:spacing w:after="0"/>
              <w:rPr>
                <w:sz w:val="18"/>
                <w:szCs w:val="18"/>
                <w:color w:val="auto"/>
              </w:rPr>
            </w:pPr>
          </w:p>
        </w:tc>
        <w:tc>
          <w:tcPr>
            <w:tcW w:w="2520" w:type="dxa"/>
            <w:vAlign w:val="bottom"/>
            <w:gridSpan w:val="2"/>
          </w:tcPr>
          <w:p>
            <w:pPr>
              <w:jc w:val="center"/>
              <w:ind w:right="1220"/>
              <w:spacing w:after="0"/>
              <w:rPr>
                <w:sz w:val="20"/>
                <w:szCs w:val="20"/>
                <w:color w:val="auto"/>
              </w:rPr>
            </w:pPr>
            <w:r>
              <w:rPr>
                <w:rFonts w:ascii="Arial" w:cs="Arial" w:eastAsia="Arial" w:hAnsi="Arial"/>
                <w:sz w:val="16"/>
                <w:szCs w:val="16"/>
                <w:color w:val="auto"/>
                <w:w w:val="99"/>
              </w:rPr>
              <w:t>SLB</w:t>
            </w: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04" w:lineRule="exact"/>
        <w:rPr>
          <w:sz w:val="24"/>
          <w:szCs w:val="24"/>
          <w:color w:val="auto"/>
        </w:r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Exchange Act).  Yes </w:t>
            </w:r>
            <w:r>
              <w:rPr>
                <w:rFonts w:ascii="MS PGothic" w:cs="MS PGothic" w:eastAsia="MS PGothic" w:hAnsi="MS PGothic"/>
                <w:sz w:val="16"/>
                <w:szCs w:val="16"/>
                <w:color w:val="auto"/>
                <w:w w:val="93"/>
              </w:rPr>
              <w:t>☐</w:t>
            </w:r>
          </w:p>
        </w:tc>
        <w:tc>
          <w:tcPr>
            <w:tcW w:w="2720" w:type="dxa"/>
            <w:vAlign w:val="bottom"/>
            <w:gridSpan w:val="2"/>
          </w:tcPr>
          <w:p>
            <w:pPr>
              <w:jc w:val="right"/>
              <w:ind w:right="211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Arial" w:cs="Arial" w:eastAsia="Arial" w:hAnsi="Arial"/>
                <w:sz w:val="16"/>
                <w:szCs w:val="16"/>
                <w:b w:val="1"/>
                <w:bCs w:val="1"/>
                <w:color w:val="auto"/>
              </w:rPr>
              <w:t>Class</w:t>
            </w:r>
          </w:p>
        </w:tc>
        <w:tc>
          <w:tcPr>
            <w:tcW w:w="280" w:type="dxa"/>
            <w:vAlign w:val="bottom"/>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Outstanding at September 30, 2021</w:t>
            </w:r>
          </w:p>
        </w:tc>
      </w:tr>
      <w:tr>
        <w:trPr>
          <w:trHeight w:val="223"/>
        </w:trPr>
        <w:tc>
          <w:tcPr>
            <w:tcW w:w="806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720" w:type="dxa"/>
            <w:vAlign w:val="bottom"/>
            <w:gridSpan w:val="2"/>
          </w:tcPr>
          <w:p>
            <w:pPr>
              <w:jc w:val="right"/>
              <w:ind w:right="719"/>
              <w:spacing w:after="0"/>
              <w:rPr>
                <w:sz w:val="20"/>
                <w:szCs w:val="20"/>
                <w:color w:val="auto"/>
              </w:rPr>
            </w:pPr>
            <w:r>
              <w:rPr>
                <w:rFonts w:ascii="Arial" w:cs="Arial" w:eastAsia="Arial" w:hAnsi="Arial"/>
                <w:sz w:val="16"/>
                <w:szCs w:val="16"/>
                <w:color w:val="auto"/>
              </w:rPr>
              <w:t>1,402,632,586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1405255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2021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960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0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20" w:type="dxa"/>
            <w:vAlign w:val="bottom"/>
            <w:tcBorders>
              <w:top w:val="single" w:sz="8" w:color="0000EE"/>
            </w:tcBorders>
            <w:gridSpan w:val="2"/>
          </w:tcPr>
          <w:p>
            <w:pPr>
              <w:spacing w:after="0"/>
              <w:rPr>
                <w:sz w:val="24"/>
                <w:szCs w:val="24"/>
                <w:color w:val="auto"/>
              </w:rPr>
            </w:pPr>
          </w:p>
        </w:tc>
        <w:tc>
          <w:tcPr>
            <w:tcW w:w="5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82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6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52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2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82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53"/>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44"/>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Third Quarter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Services</w:t>
            </w:r>
          </w:p>
        </w:tc>
        <w:tc>
          <w:tcPr>
            <w:tcW w:w="12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11,291</w:t>
            </w:r>
          </w:p>
        </w:tc>
        <w:tc>
          <w:tcPr>
            <w:tcW w:w="26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1,827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5,413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16,704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4,547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General &amp;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Tax expense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1,317</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1,280</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income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0.92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income (loss) per share of Schlumberger</w:t>
            </w:r>
          </w:p>
        </w:tc>
        <w:tc>
          <w:tcPr>
            <w:tcW w:w="12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0.90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w:t>
            </w: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1,399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8"/>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562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w:t>
            </w: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(gain) loss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(17)</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Impact of curtailment</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Income taxes on pension and other postretirement benefit plans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4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641</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1,504</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629</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Sept. 30,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Dec. 31,</w:t>
            </w:r>
          </w:p>
        </w:tc>
      </w:t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37"/>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(2021 - $320; 2020 - $301)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6,375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12,990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3,911</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FF0FC"/>
          </w:tcPr>
          <w:p>
            <w:pPr>
              <w:spacing w:after="0"/>
              <w:rPr>
                <w:sz w:val="19"/>
                <w:szCs w:val="19"/>
                <w:color w:val="auto"/>
              </w:rPr>
            </w:pPr>
          </w:p>
        </w:tc>
      </w:tr>
      <w:tr>
        <w:trPr>
          <w:trHeight w:val="263"/>
        </w:trPr>
        <w:tc>
          <w:tcPr>
            <w:tcW w:w="76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41,038</w:t>
            </w:r>
          </w:p>
        </w:tc>
        <w:tc>
          <w:tcPr>
            <w:tcW w:w="3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Borders>
              <w:bottom w:val="single" w:sz="8" w:color="CFF0FC"/>
            </w:tcBorders>
          </w:tcPr>
          <w:p>
            <w:pPr>
              <w:spacing w:after="0"/>
              <w:rPr>
                <w:sz w:val="22"/>
                <w:szCs w:val="22"/>
                <w:color w:val="auto"/>
              </w:rPr>
            </w:pPr>
          </w:p>
        </w:tc>
      </w:tr>
      <w:tr>
        <w:trPr>
          <w:trHeight w:val="210"/>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7,615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9,735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14,370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27,373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12,571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(2,287)</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7,775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(4,697)</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(4,884)</w:t>
            </w:r>
          </w:p>
        </w:tc>
      </w:tr>
      <w:tr>
        <w:trPr>
          <w:trHeight w:val="223"/>
        </w:trPr>
        <w:tc>
          <w:tcPr>
            <w:tcW w:w="7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13,362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13,665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41,038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60"/>
        </w:trPr>
        <w:tc>
          <w:tcPr>
            <w:tcW w:w="6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206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1,317</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(10,868)</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Impairments and other charges &amp; credits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(33)</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(Increase) decrease in receivables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(97)</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inventories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other current assets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assets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(660)</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(124)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3"/>
        </w:trPr>
        <w:tc>
          <w:tcPr>
            <w:tcW w:w="6680" w:type="dxa"/>
            <w:vAlign w:val="bottom"/>
          </w:tcPr>
          <w:p>
            <w:pPr>
              <w:ind w:left="620"/>
              <w:spacing w:after="0"/>
              <w:rPr>
                <w:sz w:val="20"/>
                <w:szCs w:val="20"/>
                <w:color w:val="auto"/>
              </w:rPr>
            </w:pPr>
            <w:r>
              <w:rPr>
                <w:rFonts w:ascii="Arial" w:cs="Arial" w:eastAsia="Arial" w:hAnsi="Arial"/>
                <w:sz w:val="16"/>
                <w:szCs w:val="16"/>
                <w:color w:val="auto"/>
              </w:rPr>
              <w:t>Increase (decrease) in other liabilities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2,719</w:t>
            </w:r>
          </w:p>
        </w:tc>
        <w:tc>
          <w:tcPr>
            <w:tcW w:w="3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(694)</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(305)</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(134)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divestitures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 (purchase) of investments, net</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(393)</w:t>
            </w: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(524)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(1,076)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13"/>
        </w:trPr>
        <w:tc>
          <w:tcPr>
            <w:tcW w:w="6680" w:type="dxa"/>
            <w:vAlign w:val="bottom"/>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(94)</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(81)</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(1,604)</w:t>
            </w:r>
          </w:p>
        </w:tc>
        <w:tc>
          <w:tcPr>
            <w:tcW w:w="3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before translation effect</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end of period</w:t>
            </w:r>
          </w:p>
        </w:tc>
        <w:tc>
          <w:tcPr>
            <w:tcW w:w="1000" w:type="dxa"/>
            <w:vAlign w:val="bottom"/>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1,569</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2021 – September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(3,033)</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7,018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(4,884)</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($0.375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Deconsolidation of subsidiary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(123)</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(123)</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September 30, 2021</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13,665</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2020 – September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(10,892)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(10,868)</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(183)</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(183)</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A"/>
          </w:tcPr>
          <w:p>
            <w:pPr>
              <w:spacing w:after="0"/>
              <w:rPr>
                <w:sz w:val="14"/>
                <w:szCs w:val="14"/>
                <w:color w:val="auto"/>
              </w:rPr>
            </w:pPr>
          </w:p>
        </w:tc>
        <w:tc>
          <w:tcPr>
            <w:tcW w:w="800" w:type="dxa"/>
            <w:vAlign w:val="bottom"/>
            <w:shd w:val="clear" w:color="auto" w:fill="CFF0FA"/>
          </w:tcPr>
          <w:p>
            <w:pPr>
              <w:jc w:val="right"/>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6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220" w:type="dxa"/>
            <w:vAlign w:val="bottom"/>
            <w:shd w:val="clear" w:color="auto" w:fill="CFF0FA"/>
          </w:tcPr>
          <w:p>
            <w:pPr>
              <w:spacing w:after="0"/>
              <w:rPr>
                <w:sz w:val="14"/>
                <w:szCs w:val="14"/>
                <w:color w:val="auto"/>
              </w:rPr>
            </w:pPr>
          </w:p>
        </w:tc>
        <w:tc>
          <w:tcPr>
            <w:tcW w:w="820" w:type="dxa"/>
            <w:vAlign w:val="bottom"/>
            <w:shd w:val="clear" w:color="auto" w:fill="CFF0FA"/>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FF0FA"/>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($0.75 per share)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(1,041)</w:t>
            </w:r>
          </w:p>
        </w:tc>
      </w:tr>
      <w:tr>
        <w:trPr>
          <w:trHeight w:val="162"/>
        </w:trPr>
        <w:tc>
          <w:tcPr>
            <w:tcW w:w="3780" w:type="dxa"/>
            <w:vAlign w:val="bottom"/>
            <w:gridSpan w:val="2"/>
            <w:shd w:val="clear" w:color="auto" w:fill="CFF0FA"/>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A"/>
          </w:tcPr>
          <w:p>
            <w:pPr>
              <w:spacing w:after="0"/>
              <w:rPr>
                <w:sz w:val="14"/>
                <w:szCs w:val="14"/>
                <w:color w:val="auto"/>
              </w:rPr>
            </w:pPr>
          </w:p>
        </w:tc>
        <w:tc>
          <w:tcPr>
            <w:tcW w:w="960" w:type="dxa"/>
            <w:vAlign w:val="bottom"/>
            <w:gridSpan w:val="2"/>
            <w:shd w:val="clear" w:color="auto" w:fill="CFF0FA"/>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00" w:type="dxa"/>
            <w:vAlign w:val="bottom"/>
            <w:shd w:val="clear" w:color="auto" w:fill="CFF0FA"/>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880" w:type="dxa"/>
            <w:vAlign w:val="bottom"/>
            <w:shd w:val="clear" w:color="auto" w:fill="CFF0FA"/>
          </w:tcPr>
          <w:p>
            <w:pPr>
              <w:spacing w:after="0"/>
              <w:rPr>
                <w:sz w:val="14"/>
                <w:szCs w:val="14"/>
                <w:color w:val="auto"/>
              </w:rPr>
            </w:pPr>
          </w:p>
        </w:tc>
        <w:tc>
          <w:tcPr>
            <w:tcW w:w="240" w:type="dxa"/>
            <w:vAlign w:val="bottom"/>
            <w:shd w:val="clear" w:color="auto" w:fill="CFF0FA"/>
          </w:tcPr>
          <w:p>
            <w:pPr>
              <w:spacing w:after="0"/>
              <w:rPr>
                <w:sz w:val="14"/>
                <w:szCs w:val="14"/>
                <w:color w:val="auto"/>
              </w:rPr>
            </w:pPr>
          </w:p>
        </w:tc>
        <w:tc>
          <w:tcPr>
            <w:tcW w:w="100" w:type="dxa"/>
            <w:vAlign w:val="bottom"/>
            <w:shd w:val="clear" w:color="auto" w:fill="CFF0FA"/>
          </w:tcPr>
          <w:p>
            <w:pPr>
              <w:spacing w:after="0"/>
              <w:rPr>
                <w:sz w:val="14"/>
                <w:szCs w:val="14"/>
                <w:color w:val="auto"/>
              </w:rPr>
            </w:pPr>
          </w:p>
        </w:tc>
        <w:tc>
          <w:tcPr>
            <w:tcW w:w="920" w:type="dxa"/>
            <w:vAlign w:val="bottom"/>
            <w:shd w:val="clear" w:color="auto" w:fill="CFF0FA"/>
          </w:tcPr>
          <w:p>
            <w:pPr>
              <w:spacing w:after="0"/>
              <w:rPr>
                <w:sz w:val="14"/>
                <w:szCs w:val="14"/>
                <w:color w:val="auto"/>
              </w:rPr>
            </w:pPr>
          </w:p>
        </w:tc>
        <w:tc>
          <w:tcPr>
            <w:tcW w:w="260" w:type="dxa"/>
            <w:vAlign w:val="bottom"/>
            <w:shd w:val="clear" w:color="auto" w:fill="CFF0FA"/>
          </w:tcPr>
          <w:p>
            <w:pPr>
              <w:spacing w:after="0"/>
              <w:rPr>
                <w:sz w:val="14"/>
                <w:szCs w:val="14"/>
                <w:color w:val="auto"/>
              </w:rPr>
            </w:pPr>
          </w:p>
        </w:tc>
        <w:tc>
          <w:tcPr>
            <w:tcW w:w="140" w:type="dxa"/>
            <w:vAlign w:val="bottom"/>
            <w:shd w:val="clear" w:color="auto" w:fill="CFF0FA"/>
          </w:tcPr>
          <w:p>
            <w:pPr>
              <w:spacing w:after="0"/>
              <w:rPr>
                <w:sz w:val="14"/>
                <w:szCs w:val="14"/>
                <w:color w:val="auto"/>
              </w:rPr>
            </w:pPr>
          </w:p>
        </w:tc>
        <w:tc>
          <w:tcPr>
            <w:tcW w:w="1120" w:type="dxa"/>
            <w:vAlign w:val="bottom"/>
            <w:gridSpan w:val="2"/>
            <w:shd w:val="clear" w:color="auto" w:fill="CFF0FA"/>
          </w:tcPr>
          <w:p>
            <w:pPr>
              <w:jc w:val="right"/>
              <w:ind w:right="200"/>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A"/>
          </w:tcPr>
          <w:p>
            <w:pPr>
              <w:spacing w:after="0"/>
              <w:rPr>
                <w:sz w:val="14"/>
                <w:szCs w:val="14"/>
                <w:color w:val="auto"/>
              </w:rPr>
            </w:pPr>
          </w:p>
        </w:tc>
        <w:tc>
          <w:tcPr>
            <w:tcW w:w="920" w:type="dxa"/>
            <w:vAlign w:val="bottom"/>
            <w:gridSpan w:val="2"/>
            <w:shd w:val="clear" w:color="auto" w:fill="CFF0FA"/>
          </w:tcPr>
          <w:p>
            <w:pPr>
              <w:jc w:val="right"/>
              <w:ind w:right="60"/>
              <w:spacing w:after="0"/>
              <w:rPr>
                <w:sz w:val="20"/>
                <w:szCs w:val="20"/>
                <w:color w:val="auto"/>
              </w:rPr>
            </w:pPr>
            <w:r>
              <w:rPr>
                <w:rFonts w:ascii="Arial" w:cs="Arial" w:eastAsia="Arial" w:hAnsi="Arial"/>
                <w:sz w:val="14"/>
                <w:szCs w:val="14"/>
                <w:color w:val="auto"/>
              </w:rPr>
              <w:t>(33)</w:t>
            </w: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September 30, 2020</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(3,055)</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6,818</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(4,743)</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428</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12,369</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6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1, 2021 – September 30, 2021</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July 1, 2021</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12,730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7,399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13,059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($0.125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Deconsolidation of subsidiary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September 30, 2021</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12,571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(4,697)</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13,665</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1, 2020 – September 30,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3"/>
                <w:szCs w:val="13"/>
                <w:color w:val="auto"/>
              </w:rPr>
            </w:pPr>
          </w:p>
        </w:tc>
        <w:tc>
          <w:tcPr>
            <w:tcW w:w="9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July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13,044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(3,339)</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7,073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(4,738)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12,456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($0.125 per share)</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(173)</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r>
      <w:tr>
        <w:trPr>
          <w:trHeight w:val="156"/>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2020</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12,921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(3,055)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6,818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(4,743)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428</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12,369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r>
      <w:tr>
        <w:trPr>
          <w:trHeight w:val="234"/>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 Treasury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2021</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7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September 30, 2021</w:t>
            </w:r>
          </w:p>
        </w:tc>
        <w:tc>
          <w:tcPr>
            <w:tcW w:w="9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2021 are not necessarily indicative of the results that may be expected for the full year ending December 31, 2021. The December 31, 2020 balance sheet information has been derived from the Schlumberger 2020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2020, filed with the Securities and Exchange Commission on January 27, 2021.</w:t>
      </w:r>
    </w:p>
    <w:p>
      <w:pPr>
        <w:spacing w:after="0" w:line="270"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($36 million after-tax) to increase the carrying value of this investment to its estimated fair value of approximately $55 million. This unrealized gain is reflected in </w:t>
      </w: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During the first nine months of 2020, Schlumberger recorded the following charges and credits, all of which are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4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Intangible assets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North American pressure pumping</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Workforce reductions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Fixed asset impairments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Inventory write-downs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Right-of-use asset impairments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associated with exiting certain activities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Multiclient seismic data impairment</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bonds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Postretirement benefits curtailment gain</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 exit charges</w:t>
            </w:r>
          </w:p>
        </w:tc>
        <w:tc>
          <w:tcPr>
            <w:tcW w:w="2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Workforce reductions</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80" w:type="dxa"/>
            <w:vAlign w:val="bottom"/>
            <w:vMerge w:val="restart"/>
          </w:tcPr>
          <w:p>
            <w:pPr>
              <w:jc w:val="right"/>
              <w:ind w:right="85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5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First quarter 2020:</w:t>
      </w:r>
    </w:p>
    <w:p>
      <w:pPr>
        <w:spacing w:after="0" w:line="225" w:lineRule="exact"/>
        <w:rPr>
          <w:sz w:val="20"/>
          <w:szCs w:val="20"/>
          <w:color w:val="auto"/>
        </w:rPr>
      </w:pPr>
    </w:p>
    <w:p>
      <w:pPr>
        <w:jc w:val="both"/>
        <w:ind w:left="740" w:hanging="368"/>
        <w:spacing w:after="0" w:line="25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 less than their carrying value. Therefore, Schlumberger performed an interim goodwill impairment test that resulted in a $3.1 billion goodwill impairment charge.</w:t>
      </w:r>
    </w:p>
    <w:p>
      <w:pPr>
        <w:spacing w:after="0" w:line="194" w:lineRule="exact"/>
        <w:rPr>
          <w:rFonts w:ascii="Arial" w:cs="Arial" w:eastAsia="Arial" w:hAnsi="Arial"/>
          <w:sz w:val="18"/>
          <w:szCs w:val="18"/>
          <w:color w:val="auto"/>
        </w:rPr>
      </w:pPr>
    </w:p>
    <w:p>
      <w:pPr>
        <w:jc w:val="both"/>
        <w:ind w:left="760"/>
        <w:spacing w:after="0" w:line="275" w:lineRule="auto"/>
        <w:rPr>
          <w:rFonts w:ascii="Arial" w:cs="Arial" w:eastAsia="Arial" w:hAnsi="Arial"/>
          <w:sz w:val="18"/>
          <w:szCs w:val="18"/>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16" w:lineRule="exact"/>
        <w:rPr>
          <w:rFonts w:ascii="Arial" w:cs="Arial" w:eastAsia="Arial" w:hAnsi="Arial"/>
          <w:sz w:val="18"/>
          <w:szCs w:val="18"/>
          <w:color w:val="auto"/>
        </w:rPr>
      </w:pPr>
    </w:p>
    <w:p>
      <w:pPr>
        <w:jc w:val="both"/>
        <w:ind w:left="760"/>
        <w:spacing w:after="0" w:line="255" w:lineRule="auto"/>
        <w:rPr>
          <w:rFonts w:ascii="Arial" w:cs="Arial" w:eastAsia="Arial" w:hAnsi="Arial"/>
          <w:sz w:val="18"/>
          <w:szCs w:val="18"/>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 results may differ from those used in Schlumberger’s valuations which could result in additional impairment charges in the future.</w:t>
      </w:r>
    </w:p>
    <w:p>
      <w:pPr>
        <w:spacing w:after="0" w:line="219" w:lineRule="exact"/>
        <w:rPr>
          <w:rFonts w:ascii="Arial" w:cs="Arial" w:eastAsia="Arial" w:hAnsi="Arial"/>
          <w:sz w:val="18"/>
          <w:szCs w:val="18"/>
          <w:color w:val="auto"/>
        </w:rPr>
      </w:pPr>
    </w:p>
    <w:p>
      <w:pPr>
        <w:jc w:val="both"/>
        <w:ind w:left="760"/>
        <w:spacing w:after="0" w:line="259" w:lineRule="auto"/>
        <w:rPr>
          <w:rFonts w:ascii="Arial" w:cs="Arial" w:eastAsia="Arial" w:hAnsi="Arial"/>
          <w:sz w:val="18"/>
          <w:szCs w:val="18"/>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86" w:lineRule="exact"/>
        <w:rPr>
          <w:rFonts w:ascii="Arial" w:cs="Arial" w:eastAsia="Arial" w:hAnsi="Arial"/>
          <w:sz w:val="18"/>
          <w:szCs w:val="18"/>
          <w:color w:val="auto"/>
        </w:rPr>
      </w:pPr>
    </w:p>
    <w:p>
      <w:pPr>
        <w:jc w:val="both"/>
        <w:ind w:left="740" w:hanging="368"/>
        <w:spacing w:after="0" w:line="287"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2" w:lineRule="exact"/>
        <w:rPr>
          <w:rFonts w:ascii="Arial" w:cs="Arial" w:eastAsia="Arial" w:hAnsi="Arial"/>
          <w:sz w:val="16"/>
          <w:szCs w:val="16"/>
          <w:color w:val="auto"/>
        </w:rPr>
      </w:pPr>
    </w:p>
    <w:p>
      <w:pPr>
        <w:jc w:val="both"/>
        <w:ind w:left="1120" w:hanging="370"/>
        <w:spacing w:after="0" w:line="255"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$3.3 billion relating to intangible assets, of which $2.2 billion related to Schlumberger’s 2016 acquisition of Cameron International Corporation and $1.1 billion related to Schlumberger’s 2010 acquisition of Smith International, Inc. Following this impairment charge, the carrying value of the impaired intangible assets was approximately $0.9 billion.</w:t>
      </w:r>
    </w:p>
    <w:p>
      <w:pPr>
        <w:spacing w:after="0" w:line="14" w:lineRule="exact"/>
        <w:rPr>
          <w:rFonts w:ascii="Arial" w:cs="Arial" w:eastAsia="Arial" w:hAnsi="Arial"/>
          <w:sz w:val="18"/>
          <w:szCs w:val="18"/>
          <w:color w:val="auto"/>
        </w:rPr>
      </w:pPr>
    </w:p>
    <w:p>
      <w:pPr>
        <w:ind w:left="1120" w:hanging="370"/>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Asset Performance Solutions (“APS”) projects in North America.</w:t>
      </w:r>
    </w:p>
    <w:p>
      <w:pPr>
        <w:spacing w:after="0" w:line="49" w:lineRule="exact"/>
        <w:rPr>
          <w:rFonts w:ascii="Arial" w:cs="Arial" w:eastAsia="Arial" w:hAnsi="Arial"/>
          <w:sz w:val="18"/>
          <w:szCs w:val="18"/>
          <w:color w:val="auto"/>
        </w:rPr>
      </w:pPr>
    </w:p>
    <w:p>
      <w:pPr>
        <w:ind w:left="1120" w:hanging="370"/>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w:t>
      </w:r>
    </w:p>
    <w:p>
      <w:pPr>
        <w:spacing w:after="0" w:line="225" w:lineRule="exact"/>
        <w:rPr>
          <w:sz w:val="20"/>
          <w:szCs w:val="20"/>
          <w:color w:val="auto"/>
        </w:rPr>
      </w:pPr>
    </w:p>
    <w:p>
      <w:pPr>
        <w:jc w:val="both"/>
        <w:ind w:left="740" w:hanging="368"/>
        <w:spacing w:after="0" w:line="255"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would no longer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left="740"/>
        <w:spacing w:after="0" w:line="258" w:lineRule="auto"/>
        <w:rPr>
          <w:sz w:val="20"/>
          <w:szCs w:val="20"/>
          <w:color w:val="auto"/>
        </w:rPr>
      </w:pPr>
      <w:r>
        <w:rPr>
          <w:rFonts w:ascii="Arial" w:cs="Arial" w:eastAsia="Arial" w:hAnsi="Arial"/>
          <w:sz w:val="18"/>
          <w:szCs w:val="18"/>
          <w:color w:val="auto"/>
        </w:rPr>
        <w:t>utilized. As a consequence of these circumstances and decisions, Schlumberger recorded the following restructuring and asset impairment charges:</w:t>
      </w:r>
    </w:p>
    <w:p>
      <w:pPr>
        <w:spacing w:after="0" w:line="1" w:lineRule="exact"/>
        <w:rPr>
          <w:sz w:val="20"/>
          <w:szCs w:val="20"/>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$1.021 billion of severance associated with reducing its workforce by more than 21,000 employees.</w:t>
      </w:r>
    </w:p>
    <w:p>
      <w:pPr>
        <w:spacing w:after="0" w:line="48"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$730 million relating to the carrying value of certain APS projects in Latin America.</w:t>
      </w:r>
    </w:p>
    <w:p>
      <w:pPr>
        <w:spacing w:after="0" w:line="63"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$666 million of fixed asset impairments primarily relating to equipment that would no longer be utilized and facilities it exited.</w:t>
      </w:r>
    </w:p>
    <w:p>
      <w:pPr>
        <w:spacing w:after="0" w:line="63"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$603 million write-down of the carrying value of inventory to its net realizable value.</w:t>
      </w:r>
    </w:p>
    <w:p>
      <w:pPr>
        <w:spacing w:after="0" w:line="63" w:lineRule="exact"/>
        <w:rPr>
          <w:rFonts w:ascii="Arial" w:cs="Arial" w:eastAsia="Arial" w:hAnsi="Arial"/>
          <w:sz w:val="18"/>
          <w:szCs w:val="18"/>
          <w:color w:val="auto"/>
        </w:rPr>
      </w:pPr>
    </w:p>
    <w:p>
      <w:pPr>
        <w:ind w:left="1120" w:hanging="370"/>
        <w:spacing w:after="0" w:line="273" w:lineRule="auto"/>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$311 million write-down of right-of-use assets under operating leases associated with leased facilities Schlumberger exited and excess equipment.</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$205 million of costs associated with exiting certain activities.</w:t>
      </w:r>
    </w:p>
    <w:p>
      <w:pPr>
        <w:spacing w:after="0" w:line="63"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$156 million impairment of certain multiclient seismic data.</w:t>
      </w:r>
    </w:p>
    <w:p>
      <w:pPr>
        <w:spacing w:after="0" w:line="63" w:lineRule="exact"/>
        <w:rPr>
          <w:rFonts w:ascii="Arial" w:cs="Arial" w:eastAsia="Arial" w:hAnsi="Arial"/>
          <w:sz w:val="18"/>
          <w:szCs w:val="18"/>
          <w:color w:val="auto"/>
        </w:rPr>
      </w:pPr>
    </w:p>
    <w:p>
      <w:pPr>
        <w:ind w:left="1120" w:hanging="370"/>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$60 million of other costs, including a $42 million increase in the allowance for the doubtful accounts.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second quarter of 2020, Schlumberger repurchased certain Senior Notes which resulted in a $40 million charge.</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consequence of the workforce reductions described above, Schlumberger recorded a curtailment gain of $69 million relating to its US postretirement medical plan. See Note 11 – Pension and Other Postretirement Benefit Plans for further details.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impaired intangible assets, fixed assets, APS investments, right-of-use assets and multiclient seismic data was estimated based on the present value of projected future cash flows that the underlying assets were expected to generate. Such estimates included unobservable inputs that required significant judgement.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2020:</w:t>
      </w:r>
    </w:p>
    <w:p>
      <w:pPr>
        <w:spacing w:after="0" w:line="131" w:lineRule="exact"/>
        <w:rPr>
          <w:sz w:val="20"/>
          <w:szCs w:val="20"/>
          <w:color w:val="auto"/>
        </w:rPr>
      </w:pPr>
    </w:p>
    <w:p>
      <w:pPr>
        <w:ind w:left="740" w:hanging="368"/>
        <w:spacing w:after="0"/>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third quarter of 2020, Schlumberger recorded the following restructuring charges:</w:t>
      </w:r>
    </w:p>
    <w:p>
      <w:pPr>
        <w:spacing w:after="0" w:line="23" w:lineRule="exact"/>
        <w:rPr>
          <w:rFonts w:ascii="Arial" w:cs="Arial" w:eastAsia="Arial" w:hAnsi="Arial"/>
          <w:sz w:val="18"/>
          <w:szCs w:val="18"/>
          <w:color w:val="auto"/>
        </w:rPr>
      </w:pPr>
    </w:p>
    <w:p>
      <w:pPr>
        <w:ind w:left="1120" w:hanging="370"/>
        <w:spacing w:after="0" w:line="250" w:lineRule="auto"/>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$254 million of facility exit charges as Schlumberger continued to rationalize its real estate footprint relating to both leased and owned facilities.</w:t>
      </w:r>
    </w:p>
    <w:p>
      <w:pPr>
        <w:ind w:left="1120" w:hanging="370"/>
        <w:spacing w:after="0"/>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$63 million of severance.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2"/>
          <w:numId w:val="9"/>
        </w:numPr>
        <w:rPr>
          <w:rFonts w:ascii="Arial" w:cs="Arial" w:eastAsia="Arial" w:hAnsi="Arial"/>
          <w:sz w:val="18"/>
          <w:szCs w:val="18"/>
          <w:color w:val="auto"/>
        </w:rPr>
      </w:pPr>
      <w:r>
        <w:rPr>
          <w:rFonts w:ascii="Arial" w:cs="Arial" w:eastAsia="Arial" w:hAnsi="Arial"/>
          <w:sz w:val="18"/>
          <w:szCs w:val="18"/>
          <w:color w:val="auto"/>
        </w:rPr>
        <w:t>$33 million of other charges.</w:t>
      </w:r>
    </w:p>
    <w:p>
      <w:pPr>
        <w:spacing w:after="0" w:line="341"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income (loss) per share of Schlumberger to diluted income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42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Income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 per</w:t>
            </w:r>
          </w:p>
        </w:tc>
      </w:tr>
      <w:tr>
        <w:trPr>
          <w:trHeight w:val="213"/>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84"/>
              </w:rPr>
              <w:t>Share</w:t>
            </w:r>
          </w:p>
        </w:tc>
      </w:tr>
      <w:tr>
        <w:trPr>
          <w:trHeight w:val="206"/>
        </w:trPr>
        <w:tc>
          <w:tcPr>
            <w:tcW w:w="114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7"/>
              </w:rPr>
              <w:t>Third Quarter</w:t>
            </w:r>
          </w:p>
        </w:tc>
        <w:tc>
          <w:tcPr>
            <w:tcW w:w="14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9"/>
        </w:trPr>
        <w:tc>
          <w:tcPr>
            <w:tcW w:w="2540" w:type="dxa"/>
            <w:vAlign w:val="bottom"/>
            <w:gridSpan w:val="3"/>
          </w:tcPr>
          <w:p>
            <w:pPr>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120" w:type="dxa"/>
            <w:vAlign w:val="bottom"/>
          </w:tcPr>
          <w:p>
            <w:pPr>
              <w:spacing w:after="0"/>
              <w:rPr>
                <w:sz w:val="23"/>
                <w:szCs w:val="2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1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2020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Schlumberger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Income per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Schlumberger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86"/>
              </w:rPr>
              <w:t>Shares</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Loss per</w:t>
            </w:r>
          </w:p>
        </w:tc>
      </w:tr>
      <w:tr>
        <w:trPr>
          <w:trHeight w:val="213"/>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b w:val="1"/>
                <w:bCs w:val="1"/>
                <w:color w:val="auto"/>
                <w:w w:val="89"/>
              </w:rPr>
              <w:t>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Outstanding</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color w:val="auto"/>
                <w:w w:val="84"/>
              </w:rPr>
              <w:t>Share</w:t>
            </w:r>
          </w:p>
        </w:tc>
      </w:tr>
      <w:tr>
        <w:trPr>
          <w:trHeight w:val="206"/>
        </w:trPr>
        <w:tc>
          <w:tcPr>
            <w:tcW w:w="254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Nine Months</w:t>
            </w:r>
          </w:p>
        </w:tc>
        <w:tc>
          <w:tcPr>
            <w:tcW w:w="7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1540" w:type="dxa"/>
            <w:vAlign w:val="bottom"/>
            <w:tcBorders>
              <w:top w:val="single" w:sz="8" w:color="CFF0FC"/>
            </w:tcBorders>
            <w:gridSpan w:val="2"/>
          </w:tcPr>
          <w:p>
            <w:pPr>
              <w:spacing w:after="0"/>
              <w:rPr>
                <w:sz w:val="23"/>
                <w:szCs w:val="23"/>
                <w:color w:val="auto"/>
              </w:rPr>
            </w:pPr>
          </w:p>
        </w:tc>
        <w:tc>
          <w:tcPr>
            <w:tcW w:w="8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1,280</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1,399</w:t>
            </w:r>
          </w:p>
        </w:tc>
        <w:tc>
          <w:tcPr>
            <w:tcW w:w="120" w:type="dxa"/>
            <w:vAlign w:val="bottom"/>
            <w:tcBorders>
              <w:top w:val="single" w:sz="8" w:color="CFF0FC"/>
            </w:tcBorders>
          </w:tcPr>
          <w:p>
            <w:pPr>
              <w:spacing w:after="0"/>
              <w:rPr>
                <w:sz w:val="23"/>
                <w:szCs w:val="23"/>
                <w:color w:val="auto"/>
              </w:rPr>
            </w:pPr>
          </w:p>
        </w:tc>
        <w:tc>
          <w:tcPr>
            <w:tcW w:w="24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0.92</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(10,892)</w:t>
            </w:r>
          </w:p>
        </w:tc>
        <w:tc>
          <w:tcPr>
            <w:tcW w:w="2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10"/>
        </w:trPr>
        <w:tc>
          <w:tcPr>
            <w:tcW w:w="25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spacing w:after="0"/>
              <w:rPr>
                <w:sz w:val="18"/>
                <w:szCs w:val="18"/>
                <w:color w:val="auto"/>
              </w:rPr>
            </w:pP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1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number of outstanding options to purchase shares of Schlumberger common stock that were not included in the computation of diluted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because to do so would have had an antidilutive effect,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5780" w:type="dxa"/>
            <w:vAlign w:val="bottom"/>
          </w:tcPr>
          <w:p>
            <w:pPr>
              <w:spacing w:after="0"/>
              <w:rPr>
                <w:sz w:val="24"/>
                <w:szCs w:val="24"/>
                <w:color w:val="auto"/>
              </w:rPr>
            </w:pPr>
          </w:p>
        </w:tc>
        <w:tc>
          <w:tcPr>
            <w:tcW w:w="22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Third Quarter</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ind w:left="780"/>
              <w:spacing w:after="0"/>
              <w:rPr>
                <w:sz w:val="20"/>
                <w:szCs w:val="20"/>
                <w:color w:val="auto"/>
              </w:rPr>
            </w:pPr>
            <w:r>
              <w:rPr>
                <w:rFonts w:ascii="Arial" w:cs="Arial" w:eastAsia="Arial" w:hAnsi="Arial"/>
                <w:sz w:val="18"/>
                <w:szCs w:val="18"/>
                <w:b w:val="1"/>
                <w:bCs w:val="1"/>
                <w:color w:val="auto"/>
              </w:rPr>
              <w:t>Nine Months</w:t>
            </w:r>
          </w:p>
        </w:tc>
      </w:tr>
      <w:tr>
        <w:trPr>
          <w:trHeight w:val="223"/>
        </w:trPr>
        <w:tc>
          <w:tcPr>
            <w:tcW w:w="5780" w:type="dxa"/>
            <w:vAlign w:val="bottom"/>
          </w:tcPr>
          <w:p>
            <w:pPr>
              <w:spacing w:after="0"/>
              <w:rPr>
                <w:sz w:val="19"/>
                <w:szCs w:val="19"/>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35"/>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43</w:t>
            </w: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43</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66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Sept.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0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3,296</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04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Sept.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00" w:type="dxa"/>
            <w:vAlign w:val="bottom"/>
            <w:tcBorders>
              <w:bottom w:val="single" w:sz="8" w:color="CFF0FC"/>
            </w:tcBorders>
          </w:tcPr>
          <w:p>
            <w:pPr>
              <w:spacing w:after="0"/>
              <w:rPr>
                <w:sz w:val="20"/>
                <w:szCs w:val="20"/>
                <w:color w:val="auto"/>
              </w:rPr>
            </w:pPr>
          </w:p>
        </w:tc>
        <w:tc>
          <w:tcPr>
            <w:tcW w:w="16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29,071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6,375</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4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4800" w:type="dxa"/>
            <w:vAlign w:val="bottom"/>
            <w:tcBorders>
              <w:bottom w:val="single" w:sz="8" w:color="CFF0FC"/>
            </w:tcBorders>
          </w:tcPr>
          <w:p>
            <w:pPr>
              <w:spacing w:after="0"/>
              <w:rPr>
                <w:sz w:val="24"/>
                <w:szCs w:val="24"/>
                <w:color w:val="auto"/>
              </w:rPr>
            </w:pPr>
          </w:p>
        </w:tc>
        <w:tc>
          <w:tcPr>
            <w:tcW w:w="16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18"/>
                <w:szCs w:val="18"/>
                <w:color w:val="auto"/>
              </w:rPr>
              <w:t>Nine Months</w:t>
            </w:r>
          </w:p>
        </w:tc>
        <w:tc>
          <w:tcPr>
            <w:tcW w:w="19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2" w:name="page13"/>
    <w:bookmarkEnd w:id="12"/>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1"/>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Sept. 30, 2021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Dec. 31, 2020</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Net Book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6"/>
                <w:szCs w:val="16"/>
                <w:color w:val="auto"/>
              </w:rPr>
              <w:t>Accumulated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Net Book</w:t>
            </w:r>
          </w:p>
        </w:tc>
      </w:tr>
      <w:tr>
        <w:trPr>
          <w:trHeight w:val="246"/>
        </w:trPr>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Book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w w:val="91"/>
              </w:rPr>
              <w:t>Amortization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3"/>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6"/>
                <w:szCs w:val="16"/>
                <w:color w:val="auto"/>
                <w:w w:val="95"/>
              </w:rPr>
              <w:t>Book Value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5,281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360" w:type="dxa"/>
            <w:vAlign w:val="bottom"/>
            <w:gridSpan w:val="4"/>
          </w:tcPr>
          <w:p>
            <w:pPr>
              <w:spacing w:after="0"/>
              <w:rPr>
                <w:sz w:val="20"/>
                <w:szCs w:val="20"/>
                <w:color w:val="auto"/>
              </w:rPr>
            </w:pPr>
            <w:r>
              <w:rPr>
                <w:rFonts w:ascii="Arial" w:cs="Arial" w:eastAsia="Arial" w:hAnsi="Arial"/>
                <w:sz w:val="18"/>
                <w:szCs w:val="18"/>
                <w:color w:val="auto"/>
                <w:w w:val="95"/>
              </w:rPr>
              <w:t>Amortization expense charged to income was as follows: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2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4"/>
                <w:szCs w:val="24"/>
                <w:color w:val="auto"/>
              </w:rPr>
            </w:pPr>
          </w:p>
        </w:tc>
      </w:tr>
      <w:tr>
        <w:trPr>
          <w:trHeight w:val="223"/>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color w:val="auto"/>
              </w:rPr>
              <w:t>Nine Months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Based on the net book value of intangible assets at September 30, 2021, amortization expense for the subsequent five years is estimated to be: fourth quarter of 2021—$76 million; 2022—$292 million; 2023—$285 million; 2024—$264 million; 2025—$248 million; and 2026—$244 million.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 30,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5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3.75%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1.40%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7.00%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5.95%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5.13%</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14,370</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September 30, 2021 and December 31, 2020, was $15.3 billion and $17.3 billion,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2021, Schlumberger replaced its €1.54 billion one-year committed facility with a €750 million three-year committed revolving credit facility maturing in June 2024. At September 30, 2021 no amounts had been drawn under this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revolving credit facility described above, at September 30, 2021, Schlumberger had separate committed credit facility agreements aggregating $5.75 billion with commercial banks, all of which was available and unused. These committed facilities support commercial paper programs in the United States and Europe, of which $2.75 billion matures in February 2023, $2.0 billion matures in February 2025 and $1.0 billion matures in July 2026. Interest rates and other terms of borrowing under these lines of credit vary by facility.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There were no borrowings under the commercial paper programs at September 30, 2021. Borrowings under the commercial paper programs at December 31, 2020 were $0.4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Schlumberger repurchased all $665 million of its 3.30% Senior Notes due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2020, Schlumberger issued €1.0 billion of 1.375% Guaranteed Notes due 2026, $900 million of 2.65% Senior Notes due 2030 and €1.0 billion of 2.00% Guaranteed Notes due 2032.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8"/>
          <w:szCs w:val="18"/>
          <w:i w:val="1"/>
          <w:iCs w:val="1"/>
          <w:color w:val="auto"/>
        </w:rPr>
        <w:t xml:space="preserve">Impairments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During the third quarter of 2020, Schlumberger issued $500 million of 1.40% Senior Notes due 2025 and $350 million of 2.65% Senior Notes due 2030.</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w:t>
      </w:r>
    </w:p>
    <w:p>
      <w:pPr>
        <w:spacing w:after="0" w:line="274"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a multinational company, Schlumberger conducts its business in over 120 countries. Schlumberger’s functional currency is primarily the US dollar.</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was $193 million at September 30, 2021 ($427 million at December 31, 2020) and 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was $37 million at September 30, 2021 ($13 million at December 31, 2020) relating to the fair value of outstanding cross-currency swap derivatives. The fair value was determined using a model with inputs that are observable in the market or can be derived or corroborated by observable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During the third quarter of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are recognized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are changes in the fair value of the hedged item.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At September 30, 2021, contracts were outstanding for the US dollar equivalent of $8.3 billion in various foreign currencies, of which $6.1 billion relates to hedges of debt denominated in currencies other than the functional currency.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previously mentioned cross-currency swaps, the fair value of the other outstanding derivatives was not material at September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w w:val="97"/>
              </w:rPr>
              <w:t>(Stated in millions)</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3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0"/>
          </w:tcPr>
          <w:p>
            <w:pPr>
              <w:jc w:val="right"/>
              <w:ind w:right="425"/>
              <w:spacing w:after="0"/>
              <w:rPr>
                <w:sz w:val="20"/>
                <w:szCs w:val="20"/>
                <w:color w:val="auto"/>
              </w:rPr>
            </w:pPr>
            <w:r>
              <w:rPr>
                <w:rFonts w:ascii="Arial" w:cs="Arial" w:eastAsia="Arial" w:hAnsi="Arial"/>
                <w:sz w:val="16"/>
                <w:szCs w:val="16"/>
                <w:b w:val="1"/>
                <w:bCs w:val="1"/>
                <w:color w:val="auto"/>
                <w:w w:val="93"/>
              </w:rPr>
              <w:t>Gain (Loss) Recognized in Income (Loss)</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40" w:type="dxa"/>
            <w:vAlign w:val="bottom"/>
          </w:tcPr>
          <w:p>
            <w:pPr>
              <w:spacing w:after="0"/>
              <w:rPr>
                <w:sz w:val="17"/>
                <w:szCs w:val="17"/>
                <w:color w:val="auto"/>
              </w:rPr>
            </w:pPr>
          </w:p>
        </w:tc>
        <w:tc>
          <w:tcPr>
            <w:tcW w:w="17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6"/>
                <w:szCs w:val="16"/>
                <w:b w:val="1"/>
                <w:bCs w:val="1"/>
                <w:color w:val="auto"/>
              </w:rPr>
              <w:t>Third Quarter</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6"/>
                <w:szCs w:val="16"/>
                <w:b w:val="1"/>
                <w:bCs w:val="1"/>
                <w:color w:val="auto"/>
              </w:rPr>
              <w:t>Nine Months</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Consolidated Statement of Income (Loss)</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12"/>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cash flow</w:t>
            </w: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hedges:</w:t>
            </w: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Cross currency swaps</w:t>
            </w:r>
          </w:p>
        </w:tc>
        <w:tc>
          <w:tcPr>
            <w:tcW w:w="640" w:type="dxa"/>
            <w:vAlign w:val="bottom"/>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w:t>
            </w:r>
          </w:p>
        </w:tc>
        <w:tc>
          <w:tcPr>
            <w:tcW w:w="7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197</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(267)</w:t>
            </w: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347</w:t>
            </w:r>
          </w:p>
        </w:tc>
        <w:tc>
          <w:tcPr>
            <w:tcW w:w="2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34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63"/>
        </w:trPr>
        <w:tc>
          <w:tcPr>
            <w:tcW w:w="314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(87)</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w:t>
            </w:r>
          </w:p>
        </w:tc>
        <w:tc>
          <w:tcPr>
            <w:tcW w:w="220" w:type="dxa"/>
            <w:vAlign w:val="bottom"/>
            <w:tcBorders>
              <w:bottom w:val="single" w:sz="8" w:color="CFF0FC"/>
            </w:tcBorders>
          </w:tcPr>
          <w:p>
            <w:pPr>
              <w:spacing w:after="0"/>
              <w:rPr>
                <w:sz w:val="22"/>
                <w:szCs w:val="22"/>
                <w:color w:val="auto"/>
              </w:rPr>
            </w:pPr>
          </w:p>
        </w:tc>
        <w:tc>
          <w:tcPr>
            <w:tcW w:w="34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640" w:type="dxa"/>
            <w:vAlign w:val="bottom"/>
          </w:tcPr>
          <w:p>
            <w:pPr>
              <w:jc w:val="right"/>
              <w:ind w:right="454"/>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w:t>
            </w:r>
          </w:p>
        </w:tc>
        <w:tc>
          <w:tcPr>
            <w:tcW w:w="7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(19)</w:t>
            </w: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48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Third Quarter 2021</w:t>
            </w:r>
          </w:p>
        </w:tc>
        <w:tc>
          <w:tcPr>
            <w:tcW w:w="180" w:type="dxa"/>
            <w:vAlign w:val="bottom"/>
          </w:tcPr>
          <w:p>
            <w:pPr>
              <w:spacing w:after="0"/>
              <w:rPr>
                <w:sz w:val="24"/>
                <w:szCs w:val="24"/>
                <w:color w:val="auto"/>
              </w:rPr>
            </w:pPr>
          </w:p>
        </w:tc>
        <w:tc>
          <w:tcPr>
            <w:tcW w:w="2040" w:type="dxa"/>
            <w:vAlign w:val="bottom"/>
            <w:gridSpan w:val="3"/>
          </w:tcPr>
          <w:p>
            <w:pPr>
              <w:jc w:val="right"/>
              <w:ind w:right="159"/>
              <w:spacing w:after="0"/>
              <w:rPr>
                <w:sz w:val="20"/>
                <w:szCs w:val="20"/>
                <w:color w:val="auto"/>
              </w:rPr>
            </w:pPr>
            <w:r>
              <w:rPr>
                <w:rFonts w:ascii="Arial" w:cs="Arial" w:eastAsia="Arial" w:hAnsi="Arial"/>
                <w:sz w:val="18"/>
                <w:szCs w:val="18"/>
                <w:color w:val="auto"/>
              </w:rPr>
              <w:t>Third Quarter 2020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239"/>
              <w:spacing w:after="0"/>
              <w:rPr>
                <w:sz w:val="20"/>
                <w:szCs w:val="20"/>
                <w:color w:val="auto"/>
              </w:rPr>
            </w:pPr>
            <w:r>
              <w:rPr>
                <w:rFonts w:ascii="Arial" w:cs="Arial" w:eastAsia="Arial" w:hAnsi="Arial"/>
                <w:sz w:val="18"/>
                <w:szCs w:val="18"/>
                <w:color w:val="auto"/>
                <w:w w:val="90"/>
              </w:rPr>
              <w:t>Before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center"/>
              <w:ind w:left="259"/>
              <w:spacing w:after="0"/>
              <w:rPr>
                <w:sz w:val="20"/>
                <w:szCs w:val="20"/>
                <w:color w:val="auto"/>
              </w:rPr>
            </w:pPr>
            <w:r>
              <w:rPr>
                <w:rFonts w:ascii="Arial" w:cs="Arial" w:eastAsia="Arial" w:hAnsi="Arial"/>
                <w:sz w:val="18"/>
                <w:szCs w:val="18"/>
                <w:color w:val="auto"/>
                <w:w w:val="85"/>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(145)</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(151)</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Interest income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(2)</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(3)</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(350)</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right="20" w:hanging="372"/>
        <w:spacing w:after="0" w:line="193" w:lineRule="auto"/>
        <w:tabs>
          <w:tab w:leader="none" w:pos="38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Interest expense excludes amounts which are included in the segments’ income ($3 million in 2021; $7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2021</w:t>
            </w:r>
          </w:p>
        </w:tc>
        <w:tc>
          <w:tcPr>
            <w:tcW w:w="18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8"/>
                <w:szCs w:val="18"/>
                <w:color w:val="auto"/>
              </w:rPr>
              <w:t>Nine Months 2020</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(434)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(12,596)</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right="20" w:hanging="372"/>
        <w:spacing w:after="0" w:line="193"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$1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($11 million in 2021; $22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Latin America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3,255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Middle East &amp; Asia</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5,952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16,704</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8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b w:val="1"/>
                <w:bCs w:val="1"/>
                <w:color w:val="auto"/>
                <w:w w:val="96"/>
              </w:rPr>
              <w:t>Third Quarter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36"/>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716"/>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(104)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1,129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716"/>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90"/>
              <w:spacing w:after="0"/>
              <w:rPr>
                <w:sz w:val="20"/>
                <w:szCs w:val="20"/>
                <w:color w:val="auto"/>
              </w:rPr>
            </w:pPr>
            <w:r>
              <w:rPr>
                <w:rFonts w:ascii="Arial" w:cs="Arial" w:eastAsia="Arial" w:hAnsi="Arial"/>
                <w:sz w:val="18"/>
                <w:szCs w:val="18"/>
                <w:color w:val="auto"/>
                <w:w w:val="92"/>
              </w:rPr>
              <w:t>Third Quarter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Eliminations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36"/>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71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(36)</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71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90"/>
              <w:spacing w:after="0"/>
              <w:rPr>
                <w:sz w:val="20"/>
                <w:szCs w:val="20"/>
                <w:color w:val="auto"/>
              </w:rPr>
            </w:pPr>
            <w:r>
              <w:rPr>
                <w:rFonts w:ascii="Arial" w:cs="Arial" w:eastAsia="Arial" w:hAnsi="Arial"/>
                <w:sz w:val="18"/>
                <w:szCs w:val="18"/>
                <w:b w:val="1"/>
                <w:bCs w:val="1"/>
                <w:color w:val="auto"/>
                <w:w w:val="91"/>
              </w:rPr>
              <w:t>Nine Months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Eliminations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76"/>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549</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6"/>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2,401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3,312</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6,319</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4,946</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(45)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(274)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13,397</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16,704</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91"/>
              </w:rPr>
              <w:t>Nine Months 2020</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Eliminations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center"/>
              <w:ind w:left="176"/>
              <w:spacing w:after="0"/>
              <w:rPr>
                <w:sz w:val="20"/>
                <w:szCs w:val="20"/>
                <w:color w:val="auto"/>
              </w:rPr>
            </w:pPr>
            <w:r>
              <w:rPr>
                <w:rFonts w:ascii="Arial" w:cs="Arial" w:eastAsia="Arial" w:hAnsi="Arial"/>
                <w:sz w:val="18"/>
                <w:szCs w:val="18"/>
                <w:color w:val="auto"/>
                <w:w w:val="96"/>
              </w:rPr>
              <w:t>&amp; other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(92)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(268)</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6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18,069</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September 30, 2021 and December 31, 2020.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$3.0 billion at September 30, 2021, of which approximately 51% is expected to be recognized as revenue over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 xml:space="preserve">Billings and cash collections in excess of revenue was $0.9 billion at both September 30, 2021 and December 31, 2020. Such amounts are included within </w:t>
      </w: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27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(credit) cost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39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Nine Months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US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Int’l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w:t>
            </w:r>
          </w:p>
        </w:tc>
        <w:tc>
          <w:tcPr>
            <w:tcW w:w="1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Int’l</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Int’l</w:t>
            </w:r>
          </w:p>
        </w:tc>
        <w:tc>
          <w:tcPr>
            <w:tcW w:w="12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480" w:type="dxa"/>
            <w:vAlign w:val="bottom"/>
            <w:tcBorders>
              <w:top w:val="single" w:sz="8" w:color="auto"/>
            </w:tcBorders>
            <w:shd w:val="clear" w:color="auto" w:fill="CFF0FC"/>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87"/>
              </w:rPr>
              <w:t>(63)</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(159)</w:t>
            </w:r>
          </w:p>
        </w:tc>
        <w:tc>
          <w:tcPr>
            <w:tcW w:w="4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3"/>
              </w:rPr>
              <w:t>(58)</w:t>
            </w: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(478)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(443)</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4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w w:val="72"/>
              </w:rPr>
              <w:t>(10)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9"/>
                <w:szCs w:val="19"/>
                <w:color w:val="auto"/>
              </w:rPr>
            </w:pPr>
          </w:p>
        </w:tc>
        <w:tc>
          <w:tcPr>
            <w:tcW w:w="460" w:type="dxa"/>
            <w:vAlign w:val="bottom"/>
          </w:tcPr>
          <w:p>
            <w:pPr>
              <w:jc w:val="right"/>
              <w:ind w:right="301"/>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31"/>
        </w:trPr>
        <w:tc>
          <w:tcPr>
            <w:tcW w:w="4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Nine Months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(49)</w:t>
            </w: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8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Curtailment gain</w:t>
            </w:r>
          </w:p>
        </w:tc>
        <w:tc>
          <w:tcPr>
            <w:tcW w:w="16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23"/>
        </w:trPr>
        <w:tc>
          <w:tcPr>
            <w:tcW w:w="4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section of the Form 10-Q discusses third-quarter 2021 results of operations and comparisons to second-quarter 2021, as well as the first nine months of 2021 results of operations and comparisons to the first nine months of 2020. Detailed financial information with respect to second-quarter 2021 can be found in Part I, Item 1, “Financial Statements” of Schlumberger’s Quarterly Report on Form 10-Q for the fiscal quarter ended June 30, 2021.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2021 Compared to Second Quarter 2021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Third Quarter 2021</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Second Quarter 2021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Income Before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Income Before</w:t>
            </w:r>
          </w:p>
        </w:tc>
        <w:tc>
          <w:tcPr>
            <w:tcW w:w="10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800" w:type="dxa"/>
            <w:vAlign w:val="bottom"/>
          </w:tcPr>
          <w:p>
            <w:pPr>
              <w:ind w:left="360"/>
              <w:spacing w:after="0"/>
              <w:rPr>
                <w:sz w:val="20"/>
                <w:szCs w:val="20"/>
                <w:color w:val="auto"/>
              </w:rPr>
            </w:pPr>
            <w:r>
              <w:rPr>
                <w:rFonts w:ascii="Arial" w:cs="Arial" w:eastAsia="Arial" w:hAnsi="Arial"/>
                <w:sz w:val="18"/>
                <w:szCs w:val="18"/>
                <w:b w:val="1"/>
                <w:bCs w:val="1"/>
                <w:color w:val="auto"/>
                <w:w w:val="82"/>
              </w:rPr>
              <w:t>Taxes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812</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1,674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(145)</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(138)</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5"/>
              </w:rPr>
              <w:t>(127)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(132)</w:t>
            </w:r>
          </w:p>
        </w:tc>
      </w:tr>
      <w:tr>
        <w:trPr>
          <w:trHeight w:val="229"/>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5,847</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80" w:right="20" w:hanging="372"/>
        <w:spacing w:after="0" w:line="193" w:lineRule="auto"/>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380" w:hanging="372"/>
        <w:spacing w:after="0"/>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Q3 2021; $1 million in Q2 2021).</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($3 million in Q3 2021; $4 million in Q2 2021).</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1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Third-quarter revenue grew 4% sequentially led by Well Construction and Reservoir Performance. The revenue growth in these Divisions more than offset the impact of transitory global supply and logistics constraints in Production Systems.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Geographically, international revenue of $4.68 billion grew 4% sequentially and 11% year-on-year and is on track to meet our double-digit revenue growth ambition for the second half of 2021 compared to the same period last year. The international sequential revenue increase was led by double-digit growth in Latin America complemented by sustained activity in the Europe/CIS/Africa and Middle East &amp; Asia areas. In North America, revenue of $1.13 billion grew 4% sequentially mainly driven by a strong seasonal rebound in land drilling, higher Asset Performance Solutions (“APS”) revenue in Canada, and an increase in drilling revenue in North America offshore.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Among the Divisions, Well Construction continued its growth momentum, with revenue increasing 8% sequentially due to higher international and North America drilling activity both on land and offshore. Similarly, Reservoir Performance revenue increased 7% sequentially from higher exploration and appraisal activity across the international markets. Revenue from Digital &amp; Integration and Production Systems was essentially flat.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Sequentially, third-quarter pretax segment operating margin expanded by 120 basis points (“bps”) to 16%, representing its highest level since 2015 and a fifth consecutive quarter of margin expansion. This growth was driven by the Well Construction and Reservoir Performance Divisions.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ahead, the fourth quarter of 2021 is anticipated to be another quarter of growth, and Schlumberger expects to close 2021 with strong momentum that will set the foundation for an exceptional growth cycle.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industry macro fundamentals have visibly strengthened this year, particularly in recent weeks—with demand recovery, oil and gas commodity prices at recent highs, low inventory levels, and encouraging trends in pandemic containment efforts. Absent a recession or pandemic-related setback, these favorable conditions are expected to materially drive investment over the next few years— particularly internationally—and result in exceptional multiyear capital spending growth globally, both on land and offshore.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Digital &amp; Integration revenue of $812 million declined 1% sequentially as higher APS project revenue was offset by lower digital solutions revenue following strong software sales in the second quarter. Revenue grew in North America, Latin America, and Middle East &amp; Asia, offset by lower revenue in Europe/CIS/Africa.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Digital &amp; Integration pretax operating margin of 35% expanded 154 bps sequentially, primarily due to increased profitability from APS projects.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Reservoir Performance revenue of $1.19 billion increased 7% sequentially due to higher exploration and appraisal programs across the international markets.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Reservoir Performance pretax operating margin of 16% expanded 202 bps sequentially. Profitability was boosted by higher offshore and exploration activity and a favorable technology mix, particularly in Latin America and Africa.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Construction revenue of $2.27 billion increased 8% sequentially due to higher land and offshore drilling across the international markets and increased rig activity in North America. North America revenue growth was driven by strong seasonal rebound on land drilling in Canada and higher offshore drilling in the Gulf of Mexico, notwithstanding the hurricane effects during the quarter. International revenue was driven by double-digit growth in Latin America, Africa, and Russia &amp; Central Asia from the combination of increased offshore exploration activity and the peak of summer land drilling campaigns.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Construction pretax operating margin of 15% improved sequentially by 230 bps due to higher drilling revenue, boosted by the favorable mix of activity and new technology.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Production Systems revenue of $1.67 billion was essentially flat sequentially, as revenue increases in subsea and well production systems were offset by a revenue decline in midstream production systems. Revenue was partially impacted by transitory global supply and logistics constraints.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 pretax operating margin of 10% was essentially flat sequentially.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Nine Months 2021 Compared to Nine Months 2020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2021</w:t>
            </w:r>
          </w:p>
        </w:tc>
        <w:tc>
          <w:tcPr>
            <w:tcW w:w="160" w:type="dxa"/>
            <w:vAlign w:val="bottom"/>
          </w:tcPr>
          <w:p>
            <w:pPr>
              <w:spacing w:after="0"/>
              <w:rPr>
                <w:sz w:val="24"/>
                <w:szCs w:val="2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2020</w:t>
            </w:r>
          </w:p>
        </w:tc>
      </w:tr>
      <w:tr>
        <w:trPr>
          <w:trHeight w:val="218"/>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r>
      <w:tr>
        <w:trPr>
          <w:trHeight w:val="229"/>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Before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Before</w:t>
            </w: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Revenue</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6,319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(274)</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(434)</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(12,596)</w:t>
            </w: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ind w:left="380" w:right="20" w:hanging="372"/>
        <w:spacing w:after="0" w:line="193" w:lineRule="auto"/>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2021; $1 million in 2020).</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($11 million in 2021; $22 million in 2020).</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Nine-month 2021 revenue of $16.7 billion decreased 8% year-on-year. Revenue declined particularly in North America, following the divestitures of the OneStim</w:t>
      </w:r>
      <w:r>
        <w:rPr>
          <w:rFonts w:ascii="Arial" w:cs="Arial" w:eastAsia="Arial" w:hAnsi="Arial"/>
          <w:sz w:val="14"/>
          <w:szCs w:val="14"/>
          <w:color w:val="auto"/>
        </w:rPr>
        <w:t>®</w:t>
      </w:r>
      <w:r>
        <w:rPr>
          <w:rFonts w:ascii="Arial" w:cs="Arial" w:eastAsia="Arial" w:hAnsi="Arial"/>
          <w:sz w:val="17"/>
          <w:szCs w:val="17"/>
          <w:color w:val="auto"/>
        </w:rPr>
        <w:t xml:space="preserve"> pressure pumping business and the low-flow artificial lift business during the fourth quarter 2020. These divestitures were consistent with Schlumberger’s strategy to focus on high-grading and rationalizing its business portfolio to expand margins, minimize earnings volatility, and focus on more capital efficient businesses. Excluding the impact of these divestitures, which generated $1.1 billion of revenue (all of which was in North America) during the first nine months of 2020, global revenue declined 2% year-on-year, reflecting the significant fall in activity following the historic demand destruction driven by the COVID-19 pandemic that commenced in early 2020.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North America revenue declined 26% year-on-year; however, excluding the impact of the previously described divestitures, nine-month revenue only declined 2%. International revenue also declined 2% driven by significant activity decreases in Europe/CIS/Africa and the Middle East &amp; Asia, partially offset by an increase in revenue in Latin America.</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Nine-month 2021 pretax operating margin of 14% was 458 bps higher compared to the same period last year despite the 8% decline in revenue, due to the divestiture of certain businesses in North America, which were previously dilutive to margins, combined with reduced depreciation and amortization expense following the asset impairment charges recorded during 2020 and the effects of cost reduction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Nine-month 2021 revenue of $2.4 billion increased 7% year-on-year, primarily driven by higher APS project revenue from higher production and improved oil prices, as well as the absence of production interruptions in the APS projects in Ecuador that were caused by a major land slide in the second quarter of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Year-on-year, pretax operating margin increased 13 percentage points to 34%. Operating margin increased due to improved profitability from APS projects as a result of higher oil prices and reduced amortization following the asset impairment charges that were recorded during the first nine months of 2020 relating to certain APS investments in North America and Latin America.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Nine-month 2021 revenue of $3.3 billion decreased 24% year-on-year largely reflecting the effects of the OneStim divestiture, which generated $959 million of revenue during the first nine months of 2020. Excluding the impact of the OneStim divestiture, revenue declined 2% year-on-year, largely due to the effects of the pandemic.</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increased by 760 bps to 14% despite the significant drop in revenue, primarily due to the divestiture of the OneStim business, which was previously dilutive to margins.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Nine-month 2021 revenue of $6.3 billion decreased 6% year-on-year due to the drop in rig count in North America and internationally due to the effects of the pandemic.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291 bps to 13% despite the drop in revenue. Margin expanded largely as a result of the implementation of cost control measures.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Nine-month 2021 revenue of $4.9 billion decreased 1% year-on-year, primarily driven by the North America short-cycle business due to the significant decline in completions activity as a result of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increased 25 bps to 10% due to improved profitability in surface and midstream production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jc w:val="center"/>
              <w:ind w:left="118"/>
              <w:spacing w:after="0"/>
              <w:rPr>
                <w:sz w:val="20"/>
                <w:szCs w:val="20"/>
                <w:color w:val="auto"/>
              </w:rPr>
            </w:pPr>
            <w:r>
              <w:rPr>
                <w:rFonts w:ascii="Arial" w:cs="Arial" w:eastAsia="Arial" w:hAnsi="Arial"/>
                <w:sz w:val="18"/>
                <w:szCs w:val="18"/>
                <w:b w:val="1"/>
                <w:bCs w:val="1"/>
                <w:color w:val="auto"/>
                <w:w w:val="97"/>
              </w:rPr>
              <w:t>Third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Second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jc w:val="center"/>
              <w:ind w:left="118"/>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Quarter</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88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of equity method investments</w:t>
            </w:r>
          </w:p>
        </w:tc>
        <w:tc>
          <w:tcPr>
            <w:tcW w:w="9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(see Note 2)</w:t>
            </w:r>
          </w:p>
        </w:tc>
        <w:tc>
          <w:tcPr>
            <w:tcW w:w="9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47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earnings of equity method investments is primarily attributable to Schlumberger’s share of net losses associated with Schlumberger’s equity investment in Liberty Oilfield Services, Inc. (“Liberty”). On December 31, 2020, Schlumberger contributed its onshore hydraulic fracturing business in the United States and Canada to Liberty in exchange for a 37% equity interest in Liberty. Schlumberger records its share of Liberty’s net income or loss on a one-quarter lag.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second quarter of 2021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and 2020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Third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Second</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540" w:type="dxa"/>
            <w:vAlign w:val="bottom"/>
          </w:tcPr>
          <w:p>
            <w:pPr>
              <w:spacing w:after="0"/>
              <w:rPr>
                <w:sz w:val="20"/>
                <w:szCs w:val="20"/>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Quarter</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Quarter</w:t>
            </w:r>
          </w:p>
        </w:tc>
        <w:tc>
          <w:tcPr>
            <w:tcW w:w="18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2"/>
              </w:rPr>
              <w:t>Nine Months</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third quarter of 2021 was 19%, as compared to 18% for the second quarter of 2021.</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 xml:space="preserve">The effective tax rate for the first nine months of 2021 was 19%, as compared to 8% for the same period of 2020. The increase in the effective tax rate was primarily due to the charges and credits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These charges and credits reduced the effective tax rate for the first nine months of 2020 by 11 percentage points as a significant portion of these charges were not tax-effective.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($36 million after-tax) to increase the carrying value of this investment to its estimated fair value of approximately $55 million. This unrealized gain is reflected in </w:t>
      </w: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first nine months of 2020 Schlumberger recorded the following charges and credits, which are fully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4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Intangible assets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North American pressure pumping</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Severance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Workforce reductions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Performance Solutions investments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Fixed asset impairments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Inventory write-downs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Right-of-use asset impairments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associated with exiting certain activities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Multiclient seismic data impairment</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bonds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Postretirement benefits curtailment gain</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 exit charges</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Workforce reductions</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100" w:type="dxa"/>
            <w:vAlign w:val="bottom"/>
            <w:vMerge w:val="restart"/>
          </w:tcPr>
          <w:p>
            <w:pPr>
              <w:jc w:val="right"/>
              <w:ind w:right="79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Sept. 30,</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Sept.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(1,025)</w:t>
            </w:r>
          </w:p>
        </w:tc>
        <w:tc>
          <w:tcPr>
            <w:tcW w:w="10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right"/>
              <w:ind w:right="127"/>
              <w:spacing w:after="0"/>
              <w:rPr>
                <w:sz w:val="20"/>
                <w:szCs w:val="20"/>
                <w:color w:val="auto"/>
              </w:rPr>
            </w:pPr>
            <w:r>
              <w:rPr>
                <w:rFonts w:ascii="Arial" w:cs="Arial" w:eastAsia="Arial" w:hAnsi="Arial"/>
                <w:sz w:val="18"/>
                <w:szCs w:val="18"/>
                <w:color w:val="auto"/>
              </w:rPr>
              <w:t>(1,292)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(14,370)</w:t>
            </w:r>
          </w:p>
        </w:tc>
        <w:tc>
          <w:tcPr>
            <w:tcW w:w="100" w:type="dxa"/>
            <w:vAlign w:val="bottom"/>
          </w:tcPr>
          <w:p>
            <w:pPr>
              <w:spacing w:after="0"/>
              <w:rPr>
                <w:sz w:val="19"/>
                <w:szCs w:val="19"/>
                <w:color w:val="auto"/>
              </w:rPr>
            </w:pPr>
          </w:p>
        </w:tc>
        <w:tc>
          <w:tcPr>
            <w:tcW w:w="1500" w:type="dxa"/>
            <w:vAlign w:val="bottom"/>
            <w:gridSpan w:val="4"/>
          </w:tcPr>
          <w:p>
            <w:pPr>
              <w:jc w:val="right"/>
              <w:ind w:right="127"/>
              <w:spacing w:after="0"/>
              <w:rPr>
                <w:sz w:val="20"/>
                <w:szCs w:val="20"/>
                <w:color w:val="auto"/>
              </w:rPr>
            </w:pPr>
            <w:r>
              <w:rPr>
                <w:rFonts w:ascii="Arial" w:cs="Arial" w:eastAsia="Arial" w:hAnsi="Arial"/>
                <w:sz w:val="18"/>
                <w:szCs w:val="18"/>
                <w:color w:val="auto"/>
              </w:rPr>
              <w:t>(16,471)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(12,453)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(13,926)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w w:val="89"/>
              </w:rPr>
              <w:t>Nine Months Ended Sept. 30,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Impairment and other charges &amp; credits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1,588</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(798)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US Federal tax refund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(20)</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2,719</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APS investments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(524)</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asset divestitures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Change in net debt before impact of changes in foreign exchange rates on net debt</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net debt</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1,427</w:t>
            </w: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 xml:space="preserve">Net debt, beginning of period </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(13,880)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end of period </w:t>
            </w:r>
            <w:r>
              <w:rPr>
                <w:rFonts w:ascii="Arial" w:cs="Arial" w:eastAsia="Arial" w:hAnsi="Arial"/>
                <w:sz w:val="15"/>
                <w:szCs w:val="15"/>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left="380" w:hanging="372"/>
        <w:spacing w:after="0" w:line="213"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$226 million and $699 million during the nine months ended September 30, 2021 and 2020, respectively.</w:t>
      </w:r>
    </w:p>
    <w:p>
      <w:pPr>
        <w:spacing w:after="0" w:line="118" w:lineRule="exact"/>
        <w:rPr>
          <w:rFonts w:ascii="Arial" w:cs="Arial" w:eastAsia="Arial" w:hAnsi="Arial"/>
          <w:sz w:val="22"/>
          <w:szCs w:val="22"/>
          <w:color w:val="auto"/>
          <w:vertAlign w:val="superscript"/>
        </w:rPr>
      </w:pPr>
    </w:p>
    <w:p>
      <w:pPr>
        <w:jc w:val="both"/>
        <w:ind w:left="380" w:hanging="372"/>
        <w:spacing w:after="0" w:line="247" w:lineRule="auto"/>
        <w:tabs>
          <w:tab w:leader="none" w:pos="38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view of the uncertainty of the depth and extent of the contraction in oil demand due to the COVID-19 pandemic combined with the weaker commodity price environment at the time, in April 2020 Schlumberger announced a 75% reduction to its quarterly cash dividend. The revised dividend supports Schlumberger’s value proposition through a balanced approach of shareholder distributions and organic investment, while providing flexibility to address the uncertain environment. This decision reflected the Company’s focus on its capital stewardship program as well as its commitment to maintain both a strong liquidity position and a strong investment grade credit rating that provides privileged access to the financial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2021 and 2020 included:</w:t>
      </w:r>
    </w:p>
    <w:p>
      <w:pPr>
        <w:spacing w:after="0" w:line="185" w:lineRule="exact"/>
        <w:rPr>
          <w:sz w:val="20"/>
          <w:szCs w:val="20"/>
          <w:color w:val="auto"/>
        </w:rPr>
      </w:pPr>
    </w:p>
    <w:p>
      <w:pPr>
        <w:jc w:val="both"/>
        <w:ind w:left="380" w:hanging="372"/>
        <w:spacing w:after="0" w:line="31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21, 2016, the Board approved a $10 billion share repurchase program for Schlumberger common stock. Schlumberger had repurchased $1.0 billion of Schlumberger common stock under this program as of September 30, 2021. Schlumberger did not repurchase any of its common stock during the first nine months of 2021. Schlumberger repurchased $26 million of its common stock during the first nine months of 2020.</w:t>
      </w:r>
    </w:p>
    <w:p>
      <w:pPr>
        <w:spacing w:after="0" w:line="148" w:lineRule="exact"/>
        <w:rPr>
          <w:rFonts w:ascii="Arial" w:cs="Arial" w:eastAsia="Arial" w:hAnsi="Arial"/>
          <w:sz w:val="16"/>
          <w:szCs w:val="16"/>
          <w:color w:val="auto"/>
        </w:rPr>
      </w:pPr>
    </w:p>
    <w:p>
      <w:pPr>
        <w:jc w:val="both"/>
        <w:ind w:left="380"/>
        <w:spacing w:after="0" w:line="263" w:lineRule="auto"/>
        <w:rPr>
          <w:rFonts w:ascii="Arial" w:cs="Arial" w:eastAsia="Arial" w:hAnsi="Arial"/>
          <w:sz w:val="16"/>
          <w:szCs w:val="16"/>
          <w:color w:val="auto"/>
        </w:rPr>
      </w:pPr>
      <w:r>
        <w:rPr>
          <w:rFonts w:ascii="Arial" w:cs="Arial" w:eastAsia="Arial" w:hAnsi="Arial"/>
          <w:sz w:val="18"/>
          <w:szCs w:val="18"/>
          <w:color w:val="auto"/>
        </w:rPr>
        <w:t>•Capital investments (consisting of capital expenditures, APS investments and multiclient seismic data capitalized) were $1.0 billion during the first nine months of 2021 compared to $1.2 billion during the first nine months of 2020. Capital investments during the full year of 2021 are expected to be approximately $1.6 billion as compared to $1.5 billion for the full year 2020.</w:t>
      </w:r>
    </w:p>
    <w:p>
      <w:pPr>
        <w:spacing w:after="0" w:line="183" w:lineRule="exact"/>
        <w:rPr>
          <w:rFonts w:ascii="Arial" w:cs="Arial" w:eastAsia="Arial" w:hAnsi="Arial"/>
          <w:sz w:val="16"/>
          <w:szCs w:val="16"/>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2021, Schlumberger repurchased all $665 million of its 3.30% Senior Notes due 2021.</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2021, Schlumberger received a federal tax refund of $477 million relating to the carryback of US net operating losses pursuant to the Coronavirus Aid, Relief and Economic Security Act.</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rFonts w:ascii="Arial" w:cs="Arial" w:eastAsia="Arial" w:hAnsi="Arial"/>
          <w:sz w:val="18"/>
          <w:szCs w:val="18"/>
          <w:color w:val="auto"/>
        </w:rPr>
      </w:pPr>
    </w:p>
    <w:p>
      <w:pPr>
        <w:ind w:left="380" w:right="20" w:hanging="372"/>
        <w:spacing w:after="0" w:line="308"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46" w:lineRule="exact"/>
        <w:rPr>
          <w:rFonts w:ascii="Arial" w:cs="Arial" w:eastAsia="Arial" w:hAnsi="Arial"/>
          <w:sz w:val="17"/>
          <w:szCs w:val="17"/>
          <w:color w:val="auto"/>
        </w:rPr>
      </w:pPr>
    </w:p>
    <w:p>
      <w:pPr>
        <w:ind w:left="38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2020, Schlumberger issued €1.0 billion of 1.375% Guaranteed Notes due 2026, $900 million of 2.650% Senior Notes due 2030 and €1.0 billion of 2.00% Guaranteed Notes due 2032.</w:t>
      </w:r>
    </w:p>
    <w:p>
      <w:pPr>
        <w:spacing w:after="0" w:line="170" w:lineRule="exact"/>
        <w:rPr>
          <w:rFonts w:ascii="Arial" w:cs="Arial" w:eastAsia="Arial" w:hAnsi="Arial"/>
          <w:sz w:val="18"/>
          <w:szCs w:val="18"/>
          <w:color w:val="auto"/>
        </w:rPr>
      </w:pPr>
    </w:p>
    <w:p>
      <w:pPr>
        <w:jc w:val="both"/>
        <w:ind w:left="380" w:hanging="372"/>
        <w:spacing w:after="0" w:line="286"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See Note 2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380" w:hanging="372"/>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26" w:name="page27"/>
    <w:bookmarkEnd w:id="26"/>
    <w:p>
      <w:pPr>
        <w:ind w:left="380" w:right="20" w:hanging="372"/>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third quarter of 2020, Schlumberger issued $500 million of 1.40% Senior Notes due 2025 and $350 million of 2.65% Senior Notes due 2030.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Schlumberger had $2.94 billion of cash and short-term investments on hand. Schlumberger had committed debt facility agreements aggregating $6.63 billion, all of which was available and unused. Schlumberger believes these amounts are sufficient to meet future business requirements for at least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under the commercial paper programs at September 30, 2021.</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 As a large multinational company with a long history of operating in a cyclical industry, Schlumberger has extensive experience in working with its customers during difficult times to manage its accounts receivable.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Schlumberger generates revenue in more than 120 countries. As of September 30, 2021, only five of those countries individually accounted for greater than 5% of Schlumberger’s net receivable balance, of which only two (the United States and Mexico) accounted for greater than 10% of such receivables.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times in recent periods, Schlumberger has experienced delays in payments from its primary customer in Mexico. Included in </w:t>
      </w:r>
      <w:r>
        <w:rPr>
          <w:rFonts w:ascii="Arial" w:cs="Arial" w:eastAsia="Arial" w:hAnsi="Arial"/>
          <w:sz w:val="18"/>
          <w:szCs w:val="18"/>
          <w:i w:val="1"/>
          <w:iCs w:val="1"/>
          <w:color w:val="auto"/>
        </w:rPr>
        <w:t>Receivables, less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September 30, 2021 is approximately $0.7 billion of receivables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Mexico. Schlumberger’s receivables from its primary customer in Mexico are not in dispute and Schlumberger has not historically had any material write-offs due to uncollectible accounts receivable relating to this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third-quarter 2021 Form 10-Q,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third-quarter 2021 Form 10-Q are made as of October 27, 2021, and Schlumberger disclaims any intention or obligation to update publicly or revise such statements, whether as a result of new information, future events or otherwise.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2020. Schlumberger’s exposure to market risk has not changed materially since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with respect to this Item 1 is set forth under Note 9—</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in the accompanying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Schlumberger had repurchased $1.0 billion of Schlumberger common stock under its $10 billion share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repurchase any of its common stock during the first nine months of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third quarter of 2021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2"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color w:val="auto"/>
          </w:rPr>
          <w:t>Exhibit 3.1—</w:t>
        </w:r>
        <w:r>
          <w:rPr>
            <w:rFonts w:ascii="Arial" w:cs="Arial" w:eastAsia="Arial" w:hAnsi="Arial"/>
            <w:sz w:val="18"/>
            <w:szCs w:val="18"/>
            <w:u w:val="single" w:color="auto"/>
            <w:color w:val="0000FF"/>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Current Report 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-182245</wp:posOffset>
            </wp:positionV>
            <wp:extent cx="6218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185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2373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73630" cy="8890"/>
                    </a:xfrm>
                    <a:prstGeom prst="rect">
                      <a:avLst/>
                    </a:prstGeom>
                    <a:noFill/>
                  </pic:spPr>
                </pic:pic>
              </a:graphicData>
            </a:graphic>
          </wp:anchor>
        </w:drawing>
      </w:r>
    </w:p>
    <w:p>
      <w:pPr>
        <w:spacing w:after="0" w:line="15" w:lineRule="exact"/>
        <w:rPr>
          <w:sz w:val="20"/>
          <w:szCs w:val="20"/>
          <w:color w:val="auto"/>
        </w:rPr>
      </w:pPr>
    </w:p>
    <w:p>
      <w:pPr>
        <w:ind w:left="440"/>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color w:val="auto"/>
          </w:rPr>
          <w:t>Exhibit 3.2—</w:t>
        </w:r>
        <w:r>
          <w:rPr>
            <w:rFonts w:ascii="Arial" w:cs="Arial" w:eastAsia="Arial" w:hAnsi="Arial"/>
            <w:sz w:val="18"/>
            <w:szCs w:val="18"/>
            <w:u w:val="single" w:color="auto"/>
            <w:color w:val="0000FF"/>
          </w:rPr>
          <w:t>Amended and Restated By-laws of Schlumberger Limited (Schlumberger N.V.) (incorporated by reference to Exhibit 3 to</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Schlumberger’s Current Report on Form 8-K filed on July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941070</wp:posOffset>
            </wp:positionH>
            <wp:positionV relativeFrom="paragraph">
              <wp:posOffset>-182245</wp:posOffset>
            </wp:positionV>
            <wp:extent cx="6189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-45085</wp:posOffset>
            </wp:positionV>
            <wp:extent cx="3128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spacing w:after="0" w:line="96" w:lineRule="exact"/>
        <w:rPr>
          <w:sz w:val="20"/>
          <w:szCs w:val="20"/>
          <w:color w:val="auto"/>
        </w:rPr>
      </w:pPr>
    </w:p>
    <w:p>
      <w:pPr>
        <w:ind w:left="580" w:hanging="131"/>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22—</w:t>
      </w:r>
      <w:hyperlink w:anchor="page32">
        <w:r>
          <w:rPr>
            <w:rFonts w:ascii="Arial" w:cs="Arial" w:eastAsia="Arial" w:hAnsi="Arial"/>
            <w:sz w:val="18"/>
            <w:szCs w:val="18"/>
            <w:u w:val="single" w:color="auto"/>
            <w:color w:val="0000EE"/>
          </w:rPr>
          <w:t>Issuers of Registered Guaranteed Debt Securities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33">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34">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EE"/>
          </w:rPr>
          <w:t>pursuant to Section 302 of the Sarbanes-Oxley Act of 2002</w:t>
        </w:r>
      </w:hyperlink>
    </w:p>
    <w:p>
      <w:pPr>
        <w:spacing w:after="0" w:line="35" w:lineRule="exact"/>
        <w:rPr>
          <w:rFonts w:ascii="Arial" w:cs="Arial" w:eastAsia="Arial" w:hAnsi="Arial"/>
          <w:sz w:val="18"/>
          <w:szCs w:val="18"/>
          <w:color w:val="auto"/>
        </w:rPr>
      </w:pPr>
    </w:p>
    <w:p>
      <w:pPr>
        <w:ind w:left="440" w:firstLine="9"/>
        <w:spacing w:after="0" w:line="277" w:lineRule="auto"/>
        <w:tabs>
          <w:tab w:leader="none" w:pos="672" w:val="left"/>
        </w:tabs>
        <w:numPr>
          <w:ilvl w:val="0"/>
          <w:numId w:val="25"/>
        </w:numPr>
        <w:rPr>
          <w:rFonts w:ascii="Arial" w:cs="Arial" w:eastAsia="Arial" w:hAnsi="Arial"/>
          <w:sz w:val="18"/>
          <w:szCs w:val="18"/>
          <w:u w:val="single" w:color="auto"/>
          <w:color w:val="0000EE"/>
        </w:rPr>
      </w:pPr>
      <w:hyperlink w:anchor="page35">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35">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u w:val="single" w:color="auto"/>
          <w:color w:val="0000EE"/>
        </w:rPr>
      </w:pPr>
    </w:p>
    <w:p>
      <w:pPr>
        <w:ind w:left="440" w:firstLine="9"/>
        <w:spacing w:after="0" w:line="277" w:lineRule="auto"/>
        <w:tabs>
          <w:tab w:leader="none" w:pos="672" w:val="left"/>
        </w:tabs>
        <w:numPr>
          <w:ilvl w:val="0"/>
          <w:numId w:val="25"/>
        </w:numPr>
        <w:rPr>
          <w:rFonts w:ascii="Arial" w:cs="Arial" w:eastAsia="Arial" w:hAnsi="Arial"/>
          <w:sz w:val="18"/>
          <w:szCs w:val="18"/>
          <w:u w:val="single" w:color="auto"/>
          <w:color w:val="0000EE"/>
        </w:rPr>
      </w:pPr>
      <w:hyperlink w:anchor="page36">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36">
        <w:r>
          <w:rPr>
            <w:rFonts w:ascii="Arial" w:cs="Arial" w:eastAsia="Arial" w:hAnsi="Arial"/>
            <w:sz w:val="18"/>
            <w:szCs w:val="18"/>
            <w:u w:val="single" w:color="auto"/>
            <w:color w:val="0000EE"/>
          </w:rPr>
          <w:t>Oxley Act of 2002</w:t>
        </w:r>
      </w:hyperlink>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95—</w:t>
      </w:r>
      <w:hyperlink w:anchor="page37">
        <w:r>
          <w:rPr>
            <w:rFonts w:ascii="Arial" w:cs="Arial" w:eastAsia="Arial" w:hAnsi="Arial"/>
            <w:sz w:val="18"/>
            <w:szCs w:val="18"/>
            <w:u w:val="single" w:color="auto"/>
            <w:color w:val="0000EE"/>
          </w:rPr>
          <w:t>Mine Safety Disclosures</w:t>
        </w:r>
      </w:hyperlink>
    </w:p>
    <w:p>
      <w:pPr>
        <w:spacing w:after="0" w:line="90" w:lineRule="exact"/>
        <w:rPr>
          <w:rFonts w:ascii="Arial" w:cs="Arial" w:eastAsia="Arial" w:hAnsi="Arial"/>
          <w:sz w:val="18"/>
          <w:szCs w:val="18"/>
          <w:color w:val="auto"/>
        </w:rPr>
      </w:pPr>
    </w:p>
    <w:p>
      <w:pPr>
        <w:ind w:left="440" w:firstLine="9"/>
        <w:spacing w:after="0" w:line="277" w:lineRule="auto"/>
        <w:tabs>
          <w:tab w:leader="none" w:pos="5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101.INS—Inline XBRL Instance Document – the instance document does not appear in the Interactive Data File because XBRL tags are embedded within the Inline XBRL document</w:t>
      </w:r>
    </w:p>
    <w:p>
      <w:pPr>
        <w:spacing w:after="0" w:line="35"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9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90"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(embedded within the Inline XBRL document)</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00" w:type="dxa"/>
            <w:vAlign w:val="bottom"/>
            <w:tcBorders>
              <w:top w:val="single" w:sz="8" w:color="auto"/>
              <w:left w:val="single" w:sz="8" w:color="auto"/>
              <w:right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5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Schlumberger Limited</w:t>
            </w:r>
          </w:p>
        </w:tc>
      </w:tr>
      <w:tr>
        <w:trPr>
          <w:trHeight w:val="230"/>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(Registrant)</w:t>
            </w:r>
          </w:p>
        </w:tc>
      </w:tr>
      <w:tr>
        <w:trPr>
          <w:trHeight w:val="412"/>
        </w:trPr>
        <w:tc>
          <w:tcPr>
            <w:tcW w:w="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27, 2021</w:t>
            </w:r>
          </w:p>
        </w:tc>
        <w:tc>
          <w:tcPr>
            <w:tcW w:w="19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 Howard Guild</w:t>
            </w:r>
          </w:p>
        </w:tc>
      </w:tr>
      <w:tr>
        <w:trPr>
          <w:trHeight w:val="209"/>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Howard Guild</w:t>
            </w:r>
          </w:p>
        </w:tc>
      </w:tr>
      <w:tr>
        <w:trPr>
          <w:trHeight w:val="209"/>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Chief Accounting Officer and Duly Authorized Signatory</w:t>
            </w:r>
          </w:p>
        </w:tc>
      </w:tr>
      <w:tr>
        <w:trPr>
          <w:trHeight w:val="669"/>
        </w:trPr>
        <w:tc>
          <w:tcPr>
            <w:tcW w:w="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548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Issuers of Registered Guaranteed Debt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0380"/>
          </w:cols>
          <w:pgMar w:left="320" w:top="337" w:right="1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October 27,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60" w:type="dxa"/>
            <w:vAlign w:val="bottom"/>
          </w:tcPr>
          <w:p>
            <w:pPr>
              <w:spacing w:after="0"/>
              <w:rPr>
                <w:sz w:val="20"/>
                <w:szCs w:val="20"/>
                <w:color w:val="auto"/>
              </w:rPr>
            </w:pPr>
            <w:r>
              <w:rPr>
                <w:rFonts w:ascii="Arial" w:cs="Arial" w:eastAsia="Arial" w:hAnsi="Arial"/>
                <w:sz w:val="18"/>
                <w:szCs w:val="18"/>
                <w:color w:val="auto"/>
              </w:rPr>
              <w:t>Date: O</w:t>
            </w:r>
            <w:r>
              <w:rPr>
                <w:rFonts w:ascii="Arial" w:cs="Arial" w:eastAsia="Arial" w:hAnsi="Arial"/>
                <w:sz w:val="19"/>
                <w:szCs w:val="19"/>
                <w:color w:val="auto"/>
              </w:rPr>
              <w:t>ctober 27</w:t>
            </w:r>
            <w:r>
              <w:rPr>
                <w:rFonts w:ascii="Arial" w:cs="Arial" w:eastAsia="Arial" w:hAnsi="Arial"/>
                <w:sz w:val="18"/>
                <w:szCs w:val="18"/>
                <w:color w:val="auto"/>
              </w:rPr>
              <w:t>,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September 30, 2021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October 27,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2021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October 27,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2021.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Pattern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0"/>
              </w:rPr>
              <w:t>Total Dollar</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Pending as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8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Value of MSHA</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of Last</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Mine or Operating Name/</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 104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2"/>
              </w:rPr>
              <w:t>Assessments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6"/>
              </w:rPr>
              <w:t>Day</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MSHA Identification 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S&amp;S 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5"/>
              </w:rPr>
              <w:t>Proposed (1)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of Period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192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20" w:type="dxa"/>
            <w:vAlign w:val="bottom"/>
          </w:tcPr>
          <w:p>
            <w:pPr>
              <w:spacing w:after="0"/>
              <w:rPr>
                <w:sz w:val="20"/>
                <w:szCs w:val="20"/>
                <w:color w:val="auto"/>
              </w:rPr>
            </w:pPr>
            <w:r>
              <w:rPr>
                <w:rFonts w:ascii="Arial" w:cs="Arial" w:eastAsia="Arial" w:hAnsi="Arial"/>
                <w:sz w:val="13"/>
                <w:szCs w:val="13"/>
                <w:color w:val="auto"/>
              </w:rPr>
              <w:t>Battle Mountain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Grinding 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0"/>
                <w:szCs w:val="20"/>
                <w:color w:val="auto"/>
              </w:rPr>
            </w:pPr>
            <w:r>
              <w:rPr>
                <w:rFonts w:ascii="Arial" w:cs="Arial" w:eastAsia="Arial" w:hAnsi="Arial"/>
                <w:sz w:val="13"/>
                <w:szCs w:val="13"/>
                <w:color w:val="auto"/>
                <w:w w:val="93"/>
              </w:rPr>
              <w:t>Greybull Milling Operation/4800602</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0"/>
                <w:szCs w:val="20"/>
                <w:color w:val="auto"/>
              </w:rPr>
            </w:pPr>
            <w:r>
              <w:rPr>
                <w:rFonts w:ascii="Arial" w:cs="Arial" w:eastAsia="Arial" w:hAnsi="Arial"/>
                <w:sz w:val="13"/>
                <w:szCs w:val="13"/>
                <w:color w:val="auto"/>
                <w:w w:val="92"/>
              </w:rPr>
              <w:t>Greybull Mining Operation/4800603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0"/>
                <w:szCs w:val="20"/>
                <w:color w:val="auto"/>
              </w:rPr>
            </w:pPr>
            <w:r>
              <w:rPr>
                <w:rFonts w:ascii="Arial" w:cs="Arial" w:eastAsia="Arial" w:hAnsi="Arial"/>
                <w:sz w:val="13"/>
                <w:szCs w:val="13"/>
                <w:color w:val="auto"/>
              </w:rPr>
              <w:t>Greystone Mine/2600411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Arial" w:cs="Arial" w:eastAsia="Arial" w:hAnsi="Arial"/>
                <w:sz w:val="13"/>
                <w:szCs w:val="13"/>
                <w:color w:val="auto"/>
              </w:rPr>
              <w:t>Mountain Springs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Beneficiation 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Arial" w:cs="Arial" w:eastAsia="Arial" w:hAnsi="Arial"/>
                <w:sz w:val="13"/>
                <w:szCs w:val="13"/>
                <w:color w:val="auto"/>
              </w:rPr>
              <w:t>Wisconsin Proppants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40" w:type="dxa"/>
            <w:vAlign w:val="bottom"/>
            <w:vMerge w:val="restart"/>
          </w:tcPr>
          <w:p>
            <w:pPr>
              <w:jc w:val="center"/>
              <w:ind w:left="17"/>
              <w:spacing w:after="0"/>
              <w:rPr>
                <w:sz w:val="20"/>
                <w:szCs w:val="20"/>
                <w:color w:val="auto"/>
              </w:rPr>
            </w:pPr>
            <w:r>
              <w:rPr>
                <w:rFonts w:ascii="Arial" w:cs="Arial" w:eastAsia="Arial" w:hAnsi="Arial"/>
                <w:sz w:val="13"/>
                <w:szCs w:val="13"/>
                <w:color w:val="auto"/>
                <w:w w:val="86"/>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20" w:type="dxa"/>
            <w:vAlign w:val="bottom"/>
            <w:vMerge w:val="restart"/>
          </w:tcPr>
          <w:p>
            <w:pPr>
              <w:spacing w:after="0"/>
              <w:rPr>
                <w:sz w:val="20"/>
                <w:szCs w:val="20"/>
                <w:color w:val="auto"/>
              </w:rPr>
            </w:pPr>
            <w:r>
              <w:rPr>
                <w:rFonts w:ascii="Arial" w:cs="Arial" w:eastAsia="Arial" w:hAnsi="Arial"/>
                <w:sz w:val="13"/>
                <w:szCs w:val="13"/>
                <w:color w:val="auto"/>
              </w:rPr>
              <w:t>Hixton 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380" w:right="60" w:hanging="372"/>
        <w:spacing w:after="0" w:line="265"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September 30, 2021, regardless of whether the assessment has been challenged or appealed, for citations and orders occurring during the quarter ended September 30, 2021.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September 30, 2021, MSHA had not yet proposed an assessment for one non-S&amp;S citations at Greybull Milling Operation/4800602.</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
      <w:numFmt w:val="bullet"/>
      <w:start w:val="1"/>
    </w:lvl>
    <w:lvl w:ilvl="1">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7" Type="http://schemas.openxmlformats.org/officeDocument/2006/relationships/hyperlink" Target="http://www.sec.gov/Archives/edgar/data/87347/000119312516532046/d176097dex31.htm" TargetMode="External"/><Relationship Id="rId50"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2021-10-27T08:48:32Z</dcterms:created>
  <dcterms:modified xsi:type="dcterms:W3CDTF">2021-10-27T08:48:32Z</dcterms:modified>
</cp:coreProperties>
</file>