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7"/>
              </w:rPr>
              <w:t>CURAÇAO</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60" w:type="dxa"/>
            <w:vAlign w:val="bottom"/>
          </w:tcPr>
          <w:p>
            <w:pPr>
              <w:jc w:val="center"/>
              <w:ind w:right="191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60" w:type="dxa"/>
            <w:vAlign w:val="bottom"/>
          </w:tcPr>
          <w:p>
            <w:pPr>
              <w:jc w:val="center"/>
              <w:ind w:right="1918"/>
              <w:spacing w:after="0"/>
              <w:rPr>
                <w:sz w:val="20"/>
                <w:szCs w:val="20"/>
                <w:color w:val="auto"/>
              </w:rPr>
            </w:pPr>
            <w:r>
              <w:rPr>
                <w:rFonts w:ascii="Arial" w:cs="Arial" w:eastAsia="Arial" w:hAnsi="Arial"/>
                <w:sz w:val="14"/>
                <w:szCs w:val="14"/>
                <w:b w:val="1"/>
                <w:bCs w:val="1"/>
                <w:color w:val="auto"/>
                <w:w w:val="88"/>
              </w:rPr>
              <w:t>incorporation or organization)</w:t>
            </w:r>
          </w:p>
        </w:tc>
        <w:tc>
          <w:tcPr>
            <w:tcW w:w="306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8"/>
              </w:rPr>
              <w:t>42 RUE SAINT-DOMINIQUE</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5"/>
              </w:rPr>
              <w:t>PARIS, FRANCE</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4"/>
              </w:rPr>
              <w:t>5599 SAN FELIPE, 17th FLOOR</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5"/>
              </w:rPr>
              <w:t>HOUSTON, TEXAS, U.S.A.</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6"/>
              </w:rPr>
              <w:t>PARKSTRAAT 83 THE HAGUE,</w:t>
            </w:r>
          </w:p>
        </w:tc>
        <w:tc>
          <w:tcPr>
            <w:tcW w:w="3060" w:type="dxa"/>
            <w:vAlign w:val="bottom"/>
          </w:tcPr>
          <w:p>
            <w:pPr>
              <w:spacing w:after="0"/>
              <w:rPr>
                <w:sz w:val="24"/>
                <w:szCs w:val="24"/>
                <w:color w:val="auto"/>
              </w:rPr>
            </w:pPr>
          </w:p>
        </w:tc>
      </w:tr>
      <w:tr>
        <w:trPr>
          <w:trHeight w:val="231"/>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9"/>
              </w:rPr>
              <w:t>THE NETHERLANDS</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60" w:type="dxa"/>
            <w:vAlign w:val="bottom"/>
          </w:tcPr>
          <w:p>
            <w:pPr>
              <w:jc w:val="center"/>
              <w:ind w:right="18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60" w:type="dxa"/>
            <w:vAlign w:val="bottom"/>
          </w:tcPr>
          <w:p>
            <w:pPr>
              <w:jc w:val="center"/>
              <w:ind w:left="1941"/>
              <w:spacing w:after="0"/>
              <w:rPr>
                <w:sz w:val="20"/>
                <w:szCs w:val="20"/>
                <w:color w:val="auto"/>
              </w:rPr>
            </w:pPr>
            <w:r>
              <w:rPr>
                <w:rFonts w:ascii="Arial" w:cs="Arial" w:eastAsia="Arial" w:hAnsi="Arial"/>
                <w:sz w:val="14"/>
                <w:szCs w:val="14"/>
                <w:b w:val="1"/>
                <w:bCs w:val="1"/>
                <w:color w:val="auto"/>
                <w:w w:val="88"/>
              </w:rPr>
              <w:t>(Zip Codes)</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980" w:space="160"/>
            <w:col w:w="340" w:space="80"/>
            <w:col w:w="160" w:space="180"/>
            <w:col w:w="252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42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Outstanding at June 30, 2013</w:t>
            </w:r>
          </w:p>
        </w:tc>
        <w:tc>
          <w:tcPr>
            <w:tcW w:w="1020" w:type="dxa"/>
            <w:vAlign w:val="bottom"/>
          </w:tcPr>
          <w:p>
            <w:pPr>
              <w:spacing w:after="0"/>
              <w:rPr>
                <w:sz w:val="15"/>
                <w:szCs w:val="15"/>
                <w:color w:val="auto"/>
              </w:rPr>
            </w:pPr>
          </w:p>
        </w:tc>
      </w:tr>
      <w:tr>
        <w:trPr>
          <w:trHeight w:val="209"/>
        </w:trPr>
        <w:tc>
          <w:tcPr>
            <w:tcW w:w="4300" w:type="dxa"/>
            <w:vAlign w:val="bottom"/>
            <w:gridSpan w:val="2"/>
          </w:tcPr>
          <w:p>
            <w:pPr>
              <w:ind w:left="920"/>
              <w:spacing w:after="0" w:line="202" w:lineRule="exact"/>
              <w:rPr>
                <w:sz w:val="20"/>
                <w:szCs w:val="20"/>
                <w:color w:val="auto"/>
              </w:rPr>
            </w:pPr>
            <w:r>
              <w:rPr>
                <w:rFonts w:ascii="Arial" w:cs="Arial" w:eastAsia="Arial" w:hAnsi="Arial"/>
                <w:sz w:val="18"/>
                <w:szCs w:val="18"/>
                <w:color w:val="auto"/>
                <w:w w:val="94"/>
              </w:rPr>
              <w:t>COMMON STOCK, $0.01 PAR VALUE PER</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SHARE</w:t>
            </w:r>
          </w:p>
        </w:tc>
        <w:tc>
          <w:tcPr>
            <w:tcW w:w="1680" w:type="dxa"/>
            <w:vAlign w:val="bottom"/>
          </w:tcPr>
          <w:p>
            <w:pPr>
              <w:jc w:val="right"/>
              <w:spacing w:after="0"/>
              <w:rPr>
                <w:sz w:val="20"/>
                <w:szCs w:val="20"/>
                <w:color w:val="auto"/>
              </w:rPr>
            </w:pPr>
            <w:r>
              <w:rPr>
                <w:rFonts w:ascii="Arial" w:cs="Arial" w:eastAsia="Arial" w:hAnsi="Arial"/>
                <w:sz w:val="18"/>
                <w:szCs w:val="18"/>
                <w:color w:val="auto"/>
              </w:rPr>
              <w:t>1,323,183,218</w:t>
            </w:r>
          </w:p>
        </w:tc>
        <w:tc>
          <w:tcPr>
            <w:tcW w:w="1020" w:type="dxa"/>
            <w:vAlign w:val="bottom"/>
          </w:tcPr>
          <w:p>
            <w:pPr>
              <w:spacing w:after="0"/>
              <w:rPr>
                <w:sz w:val="18"/>
                <w:szCs w:val="18"/>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34"/>
        </w:trPr>
        <w:tc>
          <w:tcPr>
            <w:tcW w:w="3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Second Quarter 2013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7"/>
            <w:vMerge w:val="restart"/>
          </w:tcPr>
          <w:p>
            <w:pPr>
              <w:spacing w:after="0"/>
              <w:rPr>
                <w:sz w:val="20"/>
                <w:szCs w:val="20"/>
                <w:color w:val="auto"/>
              </w:rPr>
            </w:pPr>
            <w:r>
              <w:rPr>
                <w:rFonts w:ascii="Arial" w:cs="Arial" w:eastAsia="Arial" w:hAnsi="Arial"/>
                <w:sz w:val="18"/>
                <w:szCs w:val="18"/>
                <w:b w:val="1"/>
                <w:bCs w:val="1"/>
                <w:color w:val="0000EE"/>
                <w:w w:val="90"/>
              </w:rPr>
              <w:t>Financial Information</w:t>
            </w:r>
          </w:p>
        </w:tc>
        <w:tc>
          <w:tcPr>
            <w:tcW w:w="8260" w:type="dxa"/>
            <w:vAlign w:val="bottom"/>
            <w:gridSpan w:val="6"/>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60" w:type="dxa"/>
            <w:vAlign w:val="bottom"/>
            <w:tcBorders>
              <w:bottom w:val="single" w:sz="8" w:color="0000EE"/>
            </w:tcBorders>
            <w:gridSpan w:val="7"/>
            <w:vMerge w:val="continue"/>
          </w:tcPr>
          <w:p>
            <w:pPr>
              <w:spacing w:after="0"/>
              <w:rPr>
                <w:sz w:val="13"/>
                <w:szCs w:val="13"/>
                <w:color w:val="auto"/>
              </w:rPr>
            </w:pPr>
          </w:p>
        </w:tc>
        <w:tc>
          <w:tcPr>
            <w:tcW w:w="826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5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0000EE"/>
              </w:rPr>
              <w:t>Other Information</w:t>
            </w:r>
          </w:p>
        </w:tc>
        <w:tc>
          <w:tcPr>
            <w:tcW w:w="82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Risk Factors</w:t>
              </w:r>
            </w:hyperlink>
          </w:p>
        </w:tc>
        <w:tc>
          <w:tcPr>
            <w:tcW w:w="9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Unregistered Sales of Equity Securities and Use of Proceeds</w:t>
              </w:r>
            </w:hyperlink>
          </w:p>
        </w:tc>
        <w:tc>
          <w:tcPr>
            <w:tcW w:w="5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Certifications</w:t>
            </w:r>
          </w:p>
        </w:tc>
        <w:tc>
          <w:tcPr>
            <w:tcW w:w="896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PART I.</w:t>
        <w:tab/>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10"/>
          </w:tcPr>
          <w:p>
            <w:pPr>
              <w:ind w:left="20"/>
              <w:spacing w:after="0"/>
              <w:rPr>
                <w:sz w:val="20"/>
                <w:szCs w:val="20"/>
                <w:color w:val="auto"/>
              </w:rPr>
            </w:pPr>
            <w:r>
              <w:rPr>
                <w:rFonts w:ascii="Arial" w:cs="Arial" w:eastAsia="Arial" w:hAnsi="Arial"/>
                <w:sz w:val="14"/>
                <w:szCs w:val="14"/>
                <w:i w:val="1"/>
                <w:iCs w:val="1"/>
                <w:color w:val="auto"/>
                <w:w w:val="89"/>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ind w:left="240"/>
              <w:spacing w:after="0"/>
              <w:rPr>
                <w:sz w:val="20"/>
                <w:szCs w:val="20"/>
                <w:color w:val="auto"/>
              </w:rPr>
            </w:pPr>
            <w:r>
              <w:rPr>
                <w:rFonts w:ascii="Arial" w:cs="Arial" w:eastAsia="Arial" w:hAnsi="Arial"/>
                <w:sz w:val="14"/>
                <w:szCs w:val="14"/>
                <w:b w:val="1"/>
                <w:bCs w:val="1"/>
                <w:color w:val="auto"/>
              </w:rPr>
              <w:t>Second Quarter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11,182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21,752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Interest &amp; other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Gain on formation of OneSubsea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17,118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Merger &amp; integration</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&amp;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Amounts may not add due to rounding.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Second Quarter</w:t>
            </w:r>
          </w:p>
        </w:tc>
        <w:tc>
          <w:tcPr>
            <w:tcW w:w="1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$3,367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net change arising during the period</w:t>
            </w:r>
          </w:p>
        </w:tc>
        <w:tc>
          <w:tcPr>
            <w:tcW w:w="9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(157)</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arising during the period</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derivatives gain (loss) on hedge transactions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Reclassification to net income of net realized (gain) loss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9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(34)</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Actuarial (loss) gain arising during the period</w:t>
            </w:r>
          </w:p>
        </w:tc>
        <w:tc>
          <w:tcPr>
            <w:tcW w:w="9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020" w:type="dxa"/>
            <w:vAlign w:val="bottom"/>
          </w:tcPr>
          <w:p>
            <w:pPr>
              <w:ind w:left="880"/>
              <w:spacing w:after="0"/>
              <w:rPr>
                <w:sz w:val="20"/>
                <w:szCs w:val="20"/>
                <w:color w:val="auto"/>
              </w:rPr>
            </w:pPr>
            <w:r>
              <w:rPr>
                <w:rFonts w:ascii="Arial" w:cs="Arial" w:eastAsia="Arial" w:hAnsi="Arial"/>
                <w:sz w:val="18"/>
                <w:szCs w:val="18"/>
                <w:color w:val="auto"/>
              </w:rPr>
              <w:t>Amortization to net income of net actuarial loss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76</w:t>
            </w:r>
          </w:p>
        </w:tc>
        <w:tc>
          <w:tcPr>
            <w:tcW w:w="4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880"/>
              <w:spacing w:after="0"/>
              <w:rPr>
                <w:sz w:val="20"/>
                <w:szCs w:val="20"/>
                <w:color w:val="auto"/>
              </w:rPr>
            </w:pPr>
            <w:r>
              <w:rPr>
                <w:rFonts w:ascii="Arial" w:cs="Arial" w:eastAsia="Arial" w:hAnsi="Arial"/>
                <w:sz w:val="18"/>
                <w:szCs w:val="18"/>
                <w:color w:val="auto"/>
              </w:rPr>
              <w:t xml:space="preserve">Amortization to net income of net prior service cost </w:t>
            </w:r>
            <w:r>
              <w:rPr>
                <w:rFonts w:ascii="Arial" w:cs="Arial" w:eastAsia="Arial" w:hAnsi="Arial"/>
                <w:sz w:val="18"/>
                <w:szCs w:val="18"/>
                <w:i w:val="1"/>
                <w:iCs w:val="1"/>
                <w:color w:val="auto"/>
              </w:rPr>
              <w:t>(see Note 15)</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w:t>
            </w:r>
          </w:p>
        </w:tc>
        <w:tc>
          <w:tcPr>
            <w:tcW w:w="4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on pension and other postretirement benefit plans</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i w:val="1"/>
                <w:iCs w:val="1"/>
                <w:color w:val="auto"/>
              </w:rPr>
              <w:t>Comprehensive income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2,055</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1,207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3,335</w:t>
            </w:r>
          </w:p>
        </w:tc>
        <w:tc>
          <w:tcPr>
            <w:tcW w:w="240" w:type="dxa"/>
            <w:vAlign w:val="bottom"/>
            <w:vMerge w:val="continue"/>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attributable to noncontrolling interests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2,050</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1,195</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3,322</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Jun. 30, 2013</w:t>
            </w: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2,586</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3,339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(2013 - $194; 2012 - $202)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11,277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4,955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1,348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23,799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3,235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14,742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4,673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63,251</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7,815</w:t>
            </w:r>
          </w:p>
        </w:tc>
        <w:tc>
          <w:tcPr>
            <w:tcW w:w="620" w:type="dxa"/>
            <w:vAlign w:val="bottom"/>
            <w:gridSpan w:val="2"/>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1,361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12,454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9,098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35,409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63,251</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Six Months Ended Jun.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3,367</w:t>
            </w: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(Income) loss from discontinued operations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Non-cash charges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Gain on formation of OneSubsea</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(1,028)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Pension and other postretirement benefits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Pension and other postretirement benefits funding</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Increase in receivables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inventories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Decrease (increase) other current assets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other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Decrease in accounts payable and accrued liabilities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Decrease in liability for taxes on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020"/>
              <w:spacing w:after="0"/>
              <w:rPr>
                <w:sz w:val="20"/>
                <w:szCs w:val="20"/>
                <w:color w:val="auto"/>
              </w:rPr>
            </w:pPr>
            <w:r>
              <w:rPr>
                <w:rFonts w:ascii="Arial" w:cs="Arial" w:eastAsia="Arial" w:hAnsi="Arial"/>
                <w:sz w:val="18"/>
                <w:szCs w:val="18"/>
                <w:color w:val="auto"/>
              </w:rPr>
              <w:t>Increase (decrease) in other liabilities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3,428</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Multiclient seismic data capitalized</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OneSubsea transaction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Sale of investments, net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850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(1,798)</w:t>
            </w:r>
          </w:p>
        </w:tc>
        <w:tc>
          <w:tcPr>
            <w:tcW w:w="24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 program</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Net (decrease) increase in short-term borrowings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(876)</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operations—operating activities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operations—investing activities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880" w:type="dxa"/>
            <w:vAlign w:val="bottom"/>
            <w:vMerge w:val="restart"/>
          </w:tcPr>
          <w:p>
            <w:pPr>
              <w:ind w:left="180"/>
              <w:spacing w:after="0"/>
              <w:rPr>
                <w:sz w:val="20"/>
                <w:szCs w:val="20"/>
                <w:color w:val="auto"/>
              </w:rPr>
            </w:pPr>
            <w:r>
              <w:rPr>
                <w:rFonts w:ascii="Arial" w:cs="Arial" w:eastAsia="Arial" w:hAnsi="Arial"/>
                <w:sz w:val="18"/>
                <w:szCs w:val="18"/>
                <w:color w:val="auto"/>
              </w:rPr>
              <w:t>Includes multiclient seismic data costs.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gridSpan w:val="2"/>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4200" w:type="dxa"/>
            <w:vAlign w:val="bottom"/>
            <w:vMerge w:val="restart"/>
          </w:tcPr>
          <w:p>
            <w:pPr>
              <w:ind w:left="160"/>
              <w:spacing w:after="0"/>
              <w:rPr>
                <w:sz w:val="20"/>
                <w:szCs w:val="20"/>
                <w:color w:val="auto"/>
              </w:rPr>
            </w:pPr>
            <w:r>
              <w:rPr>
                <w:rFonts w:ascii="Arial" w:cs="Arial" w:eastAsia="Arial" w:hAnsi="Arial"/>
                <w:sz w:val="18"/>
                <w:szCs w:val="18"/>
                <w:color w:val="auto"/>
                <w:w w:val="87"/>
              </w:rPr>
              <w:t>Net of the effect of business acquisitions and divestitures.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gridSpan w:val="6"/>
            <w:vMerge w:val="restart"/>
          </w:tcPr>
          <w:p>
            <w:pPr>
              <w:ind w:left="38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00"/>
              <w:spacing w:after="0" w:line="146"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2013—June 30, 2013</w:t>
            </w:r>
          </w:p>
        </w:tc>
        <w:tc>
          <w:tcPr>
            <w:tcW w:w="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right"/>
              <w:ind w:right="280"/>
              <w:spacing w:after="0" w:line="131" w:lineRule="exact"/>
              <w:rPr>
                <w:sz w:val="20"/>
                <w:szCs w:val="20"/>
                <w:color w:val="auto"/>
              </w:rPr>
            </w:pPr>
            <w:r>
              <w:rPr>
                <w:rFonts w:ascii="Arial" w:cs="Arial" w:eastAsia="Arial" w:hAnsi="Arial"/>
                <w:sz w:val="14"/>
                <w:szCs w:val="14"/>
                <w:color w:val="auto"/>
                <w:w w:val="92"/>
              </w:rPr>
              <w:t>Retained</w:t>
            </w:r>
          </w:p>
        </w:tc>
        <w:tc>
          <w:tcPr>
            <w:tcW w:w="160" w:type="dxa"/>
            <w:vAlign w:val="bottom"/>
          </w:tcPr>
          <w:p>
            <w:pPr>
              <w:spacing w:after="0"/>
              <w:rPr>
                <w:sz w:val="11"/>
                <w:szCs w:val="11"/>
                <w:color w:val="auto"/>
              </w:rPr>
            </w:pPr>
          </w:p>
        </w:tc>
        <w:tc>
          <w:tcPr>
            <w:tcW w:w="1080" w:type="dxa"/>
            <w:vAlign w:val="bottom"/>
            <w:gridSpan w:val="4"/>
          </w:tcPr>
          <w:p>
            <w:pPr>
              <w:jc w:val="center"/>
              <w:ind w:right="240"/>
              <w:spacing w:after="0" w:line="131" w:lineRule="exact"/>
              <w:rPr>
                <w:sz w:val="20"/>
                <w:szCs w:val="20"/>
                <w:color w:val="auto"/>
              </w:rPr>
            </w:pPr>
            <w:r>
              <w:rPr>
                <w:rFonts w:ascii="Arial" w:cs="Arial" w:eastAsia="Arial" w:hAnsi="Arial"/>
                <w:sz w:val="14"/>
                <w:szCs w:val="14"/>
                <w:color w:val="auto"/>
                <w:w w:val="85"/>
              </w:rPr>
              <w:t>Comprehensive</w:t>
            </w:r>
          </w:p>
        </w:tc>
        <w:tc>
          <w:tcPr>
            <w:tcW w:w="160" w:type="dxa"/>
            <w:vAlign w:val="bottom"/>
          </w:tcPr>
          <w:p>
            <w:pPr>
              <w:spacing w:after="0"/>
              <w:rPr>
                <w:sz w:val="11"/>
                <w:szCs w:val="11"/>
                <w:color w:val="auto"/>
              </w:rPr>
            </w:pPr>
          </w:p>
        </w:tc>
        <w:tc>
          <w:tcPr>
            <w:tcW w:w="1220" w:type="dxa"/>
            <w:vAlign w:val="bottom"/>
            <w:gridSpan w:val="5"/>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Issued</w:t>
            </w:r>
          </w:p>
        </w:tc>
        <w:tc>
          <w:tcPr>
            <w:tcW w:w="1000" w:type="dxa"/>
            <w:vAlign w:val="bottom"/>
            <w:gridSpan w:val="4"/>
          </w:tcPr>
          <w:p>
            <w:pPr>
              <w:spacing w:after="0" w:line="146"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4"/>
                <w:szCs w:val="14"/>
                <w:color w:val="auto"/>
              </w:rPr>
            </w:pPr>
          </w:p>
        </w:tc>
        <w:tc>
          <w:tcPr>
            <w:tcW w:w="820" w:type="dxa"/>
            <w:vAlign w:val="bottom"/>
            <w:gridSpan w:val="2"/>
          </w:tcPr>
          <w:p>
            <w:pPr>
              <w:jc w:val="right"/>
              <w:ind w:right="280"/>
              <w:spacing w:after="0" w:line="146" w:lineRule="exact"/>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400"/>
              <w:spacing w:after="0" w:line="146" w:lineRule="exact"/>
              <w:rPr>
                <w:sz w:val="20"/>
                <w:szCs w:val="20"/>
                <w:color w:val="auto"/>
              </w:rPr>
            </w:pPr>
            <w:r>
              <w:rPr>
                <w:rFonts w:ascii="Arial" w:cs="Arial" w:eastAsia="Arial" w:hAnsi="Arial"/>
                <w:sz w:val="14"/>
                <w:szCs w:val="14"/>
                <w:color w:val="auto"/>
                <w:w w:val="81"/>
              </w:rPr>
              <w:t>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Balance, January 1, 2013</w:t>
            </w:r>
          </w:p>
        </w:tc>
        <w:tc>
          <w:tcPr>
            <w:tcW w:w="290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$11,912</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(6,160)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$32,887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(3,888)</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$34,858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3,354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unrealized gain on marketable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Pension and other postretirement benefit plans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sold to optionees, less shares exchanged</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Vesting of restricted stock</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Dividends declared ($0.625 per share)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5"/>
          </w:tcPr>
          <w:p>
            <w:pPr>
              <w:spacing w:after="0"/>
              <w:rPr>
                <w:sz w:val="20"/>
                <w:szCs w:val="20"/>
                <w:color w:val="auto"/>
              </w:rPr>
            </w:pPr>
            <w:r>
              <w:rPr>
                <w:rFonts w:ascii="Arial" w:cs="Arial" w:eastAsia="Arial" w:hAnsi="Arial"/>
                <w:sz w:val="18"/>
                <w:szCs w:val="18"/>
                <w:color w:val="auto"/>
              </w:rPr>
              <w:t>Balance, June 30, 2013</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12,025</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(6,605)</w:t>
            </w:r>
          </w:p>
        </w:tc>
        <w:tc>
          <w:tcPr>
            <w:tcW w:w="3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(3,920)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gridSpan w:val="6"/>
            <w:vMerge w:val="restart"/>
          </w:tcPr>
          <w:p>
            <w:pPr>
              <w:ind w:left="38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00"/>
              <w:spacing w:after="0" w:line="146"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2012—June 30, 2012</w:t>
            </w:r>
          </w:p>
        </w:tc>
        <w:tc>
          <w:tcPr>
            <w:tcW w:w="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right"/>
              <w:ind w:right="280"/>
              <w:spacing w:after="0" w:line="131" w:lineRule="exact"/>
              <w:rPr>
                <w:sz w:val="20"/>
                <w:szCs w:val="20"/>
                <w:color w:val="auto"/>
              </w:rPr>
            </w:pPr>
            <w:r>
              <w:rPr>
                <w:rFonts w:ascii="Arial" w:cs="Arial" w:eastAsia="Arial" w:hAnsi="Arial"/>
                <w:sz w:val="14"/>
                <w:szCs w:val="14"/>
                <w:color w:val="auto"/>
                <w:w w:val="92"/>
              </w:rPr>
              <w:t>Retained</w:t>
            </w:r>
          </w:p>
        </w:tc>
        <w:tc>
          <w:tcPr>
            <w:tcW w:w="160" w:type="dxa"/>
            <w:vAlign w:val="bottom"/>
          </w:tcPr>
          <w:p>
            <w:pPr>
              <w:spacing w:after="0"/>
              <w:rPr>
                <w:sz w:val="11"/>
                <w:szCs w:val="11"/>
                <w:color w:val="auto"/>
              </w:rPr>
            </w:pPr>
          </w:p>
        </w:tc>
        <w:tc>
          <w:tcPr>
            <w:tcW w:w="1080" w:type="dxa"/>
            <w:vAlign w:val="bottom"/>
            <w:gridSpan w:val="4"/>
          </w:tcPr>
          <w:p>
            <w:pPr>
              <w:jc w:val="center"/>
              <w:ind w:right="240"/>
              <w:spacing w:after="0" w:line="131" w:lineRule="exact"/>
              <w:rPr>
                <w:sz w:val="20"/>
                <w:szCs w:val="20"/>
                <w:color w:val="auto"/>
              </w:rPr>
            </w:pPr>
            <w:r>
              <w:rPr>
                <w:rFonts w:ascii="Arial" w:cs="Arial" w:eastAsia="Arial" w:hAnsi="Arial"/>
                <w:sz w:val="14"/>
                <w:szCs w:val="14"/>
                <w:color w:val="auto"/>
                <w:w w:val="85"/>
              </w:rPr>
              <w:t>Comprehensive</w:t>
            </w:r>
          </w:p>
        </w:tc>
        <w:tc>
          <w:tcPr>
            <w:tcW w:w="160" w:type="dxa"/>
            <w:vAlign w:val="bottom"/>
          </w:tcPr>
          <w:p>
            <w:pPr>
              <w:spacing w:after="0"/>
              <w:rPr>
                <w:sz w:val="11"/>
                <w:szCs w:val="11"/>
                <w:color w:val="auto"/>
              </w:rPr>
            </w:pPr>
          </w:p>
        </w:tc>
        <w:tc>
          <w:tcPr>
            <w:tcW w:w="1220" w:type="dxa"/>
            <w:vAlign w:val="bottom"/>
            <w:gridSpan w:val="5"/>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Issued</w:t>
            </w:r>
          </w:p>
        </w:tc>
        <w:tc>
          <w:tcPr>
            <w:tcW w:w="1000" w:type="dxa"/>
            <w:vAlign w:val="bottom"/>
            <w:gridSpan w:val="4"/>
          </w:tcPr>
          <w:p>
            <w:pPr>
              <w:spacing w:after="0" w:line="146"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4"/>
                <w:szCs w:val="14"/>
                <w:color w:val="auto"/>
              </w:rPr>
            </w:pPr>
          </w:p>
        </w:tc>
        <w:tc>
          <w:tcPr>
            <w:tcW w:w="820" w:type="dxa"/>
            <w:vAlign w:val="bottom"/>
            <w:gridSpan w:val="2"/>
          </w:tcPr>
          <w:p>
            <w:pPr>
              <w:jc w:val="right"/>
              <w:ind w:right="280"/>
              <w:spacing w:after="0" w:line="146" w:lineRule="exact"/>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400"/>
              <w:spacing w:after="0" w:line="146" w:lineRule="exact"/>
              <w:rPr>
                <w:sz w:val="20"/>
                <w:szCs w:val="20"/>
                <w:color w:val="auto"/>
              </w:rPr>
            </w:pPr>
            <w:r>
              <w:rPr>
                <w:rFonts w:ascii="Arial" w:cs="Arial" w:eastAsia="Arial" w:hAnsi="Arial"/>
                <w:sz w:val="14"/>
                <w:szCs w:val="14"/>
                <w:color w:val="auto"/>
                <w:w w:val="81"/>
              </w:rPr>
              <w:t>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Balance, January 1, 2012</w:t>
            </w:r>
          </w:p>
        </w:tc>
        <w:tc>
          <w:tcPr>
            <w:tcW w:w="290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$11,639</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(5,679)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$28,860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(3,557)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$31,392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2,703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other postretirement benefit plans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sold to optionees, less shares exchanged</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(58)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issued under employee stock purchase plan</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declared ($0.55 per share)</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11,761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 (6,209)</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30,830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(3,573)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20" w:type="dxa"/>
            <w:vAlign w:val="bottom"/>
            <w:gridSpan w:val="9"/>
          </w:tcPr>
          <w:p>
            <w:pPr>
              <w:ind w:left="2480"/>
              <w:spacing w:after="0"/>
              <w:rPr>
                <w:sz w:val="20"/>
                <w:szCs w:val="20"/>
                <w:color w:val="auto"/>
              </w:rPr>
            </w:pPr>
            <w:r>
              <w:rPr>
                <w:rFonts w:ascii="Arial" w:cs="Arial" w:eastAsia="Arial" w:hAnsi="Arial"/>
                <w:sz w:val="18"/>
                <w:szCs w:val="18"/>
                <w:b w:val="1"/>
                <w:bCs w:val="1"/>
                <w:color w:val="auto"/>
              </w:rPr>
              <w:t>SHARES OF COMMON STOCK</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(Unaudited)</w:t>
            </w:r>
          </w:p>
        </w:tc>
        <w:tc>
          <w:tcPr>
            <w:tcW w:w="5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tcPr>
          <w:p>
            <w:pPr>
              <w:jc w:val="right"/>
              <w:ind w:right="760"/>
              <w:spacing w:after="0" w:line="159" w:lineRule="exact"/>
              <w:rPr>
                <w:sz w:val="20"/>
                <w:szCs w:val="20"/>
                <w:color w:val="auto"/>
              </w:rPr>
            </w:pPr>
            <w:r>
              <w:rPr>
                <w:rFonts w:ascii="Arial" w:cs="Arial" w:eastAsia="Arial" w:hAnsi="Arial"/>
                <w:sz w:val="14"/>
                <w:szCs w:val="14"/>
                <w:color w:val="auto"/>
                <w:w w:val="83"/>
              </w:rPr>
              <w:t>Treasury</w:t>
            </w:r>
          </w:p>
        </w:tc>
        <w:tc>
          <w:tcPr>
            <w:tcW w:w="160" w:type="dxa"/>
            <w:vAlign w:val="bottom"/>
          </w:tcPr>
          <w:p>
            <w:pPr>
              <w:spacing w:after="0"/>
              <w:rPr>
                <w:sz w:val="13"/>
                <w:szCs w:val="13"/>
                <w:color w:val="auto"/>
              </w:rPr>
            </w:pPr>
          </w:p>
        </w:tc>
        <w:tc>
          <w:tcPr>
            <w:tcW w:w="122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Outstanding</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84"/>
              </w:rPr>
              <w:t>1,434</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Shares sold to optionees, less shares exchanged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Shares issued under employee stock purchase plan</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3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0"/>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Balance, June 30, 2013</w:t>
            </w: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4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1,434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4"/>
          </w:tcPr>
          <w:p>
            <w:pPr>
              <w:jc w:val="right"/>
              <w:ind w:right="37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1,323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2013 are not necessarily indicative of the results that may be expected for the full year ending December 31, 2013. The December 31, 2012 balance sheet information has been derived from the Schlumberger 2012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Schlumberger Annual Report on Form 10-K for the year ended December 31, 2012,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Securities and Exchange Commission on January 31, 2013.</w:t>
      </w:r>
    </w:p>
    <w:p>
      <w:pPr>
        <w:spacing w:after="0" w:line="19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six months of 2013 and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w:t>
      </w:r>
    </w:p>
    <w:p>
      <w:pPr>
        <w:spacing w:after="0" w:line="90" w:lineRule="exact"/>
        <w:rPr>
          <w:sz w:val="20"/>
          <w:szCs w:val="20"/>
          <w:color w:val="auto"/>
        </w:rPr>
      </w:pPr>
    </w:p>
    <w:p>
      <w:pPr>
        <w:jc w:val="both"/>
        <w:ind w:left="900" w:right="24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Schlumberger recorded a pretax and after-tax gain of $1.028 billion as a result of the deconsolidation of its subsea business in connection with the formation of the OneSubsea joint venture with Cameron International Corporation (“Cameron”). Refer to Note 4 –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for further details.</w:t>
      </w:r>
    </w:p>
    <w:p>
      <w:pPr>
        <w:ind w:left="900" w:right="4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recorded a $222 million pretax ($203 million after-tax) impairment charge relating to an investment in a company involved in developing drilling-related technology and a $142 million pretax and after-tax impairment charge relating to an investment in a contract drilling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second quarter of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i w:val="1"/>
                <w:iCs w:val="1"/>
                <w:color w:val="auto"/>
              </w:rPr>
              <w:t>(Stated in millions)</w:t>
            </w:r>
          </w:p>
        </w:tc>
        <w:tc>
          <w:tcPr>
            <w:tcW w:w="2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25"/>
        </w:trPr>
        <w:tc>
          <w:tcPr>
            <w:tcW w:w="5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20"/>
              <w:spacing w:after="0" w:line="159" w:lineRule="exact"/>
              <w:rPr>
                <w:sz w:val="20"/>
                <w:szCs w:val="20"/>
                <w:color w:val="auto"/>
              </w:rPr>
            </w:pPr>
            <w:r>
              <w:rPr>
                <w:rFonts w:ascii="Arial" w:cs="Arial" w:eastAsia="Arial" w:hAnsi="Arial"/>
                <w:sz w:val="14"/>
                <w:szCs w:val="14"/>
                <w:color w:val="auto"/>
                <w:w w:val="85"/>
              </w:rPr>
              <w:t>Tax</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Net</w:t>
            </w:r>
          </w:p>
        </w:tc>
        <w:tc>
          <w:tcPr>
            <w:tcW w:w="284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formation of OneSubsea joint venture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3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i w:val="1"/>
                <w:iCs w:val="1"/>
                <w:color w:val="auto"/>
                <w:w w:val="87"/>
              </w:rPr>
              <w:t>Gain on formation of OneSubsea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w:t>
      </w:r>
    </w:p>
    <w:p>
      <w:pPr>
        <w:spacing w:after="0" w:line="90" w:lineRule="exact"/>
        <w:rPr>
          <w:sz w:val="20"/>
          <w:szCs w:val="20"/>
          <w:color w:val="auto"/>
        </w:rPr>
      </w:pPr>
    </w:p>
    <w:p>
      <w:pPr>
        <w:ind w:left="900" w:right="1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six months of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00"/>
              <w:spacing w:after="0"/>
              <w:rPr>
                <w:sz w:val="20"/>
                <w:szCs w:val="20"/>
                <w:color w:val="auto"/>
              </w:rPr>
            </w:pPr>
            <w:r>
              <w:rPr>
                <w:rFonts w:ascii="Arial" w:cs="Arial" w:eastAsia="Arial" w:hAnsi="Arial"/>
                <w:sz w:val="14"/>
                <w:szCs w:val="14"/>
                <w:i w:val="1"/>
                <w:iCs w:val="1"/>
                <w:color w:val="auto"/>
              </w:rPr>
              <w:t>(Stated in millions)</w:t>
            </w: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25"/>
        </w:trPr>
        <w:tc>
          <w:tcPr>
            <w:tcW w:w="5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w w:val="88"/>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9"/>
              <w:spacing w:after="0" w:line="159" w:lineRule="exact"/>
              <w:rPr>
                <w:sz w:val="20"/>
                <w:szCs w:val="20"/>
                <w:color w:val="auto"/>
              </w:rPr>
            </w:pPr>
            <w:r>
              <w:rPr>
                <w:rFonts w:ascii="Arial" w:cs="Arial" w:eastAsia="Arial" w:hAnsi="Arial"/>
                <w:sz w:val="14"/>
                <w:szCs w:val="14"/>
                <w:color w:val="auto"/>
                <w:w w:val="85"/>
              </w:rPr>
              <w:t>Tax</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Net</w:t>
            </w:r>
          </w:p>
        </w:tc>
        <w:tc>
          <w:tcPr>
            <w:tcW w:w="2920" w:type="dxa"/>
            <w:vAlign w:val="bottom"/>
            <w:gridSpan w:val="2"/>
          </w:tcPr>
          <w:p>
            <w:pPr>
              <w:ind w:left="140"/>
              <w:spacing w:after="0" w:line="159" w:lineRule="exact"/>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formation of OneSubsea joint venture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Currency devaluation loss in Venezuela</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Schlumberger recorded the following merger and integration-related charges in connection with its 2010 acquisitions of Smith International, Inc.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i w:val="1"/>
                <w:iCs w:val="1"/>
                <w:color w:val="auto"/>
                <w:w w:val="95"/>
              </w:rPr>
              <w:t>(Stated in millions)</w:t>
            </w:r>
          </w:p>
        </w:tc>
      </w:tr>
      <w:tr>
        <w:trPr>
          <w:trHeight w:val="159"/>
        </w:trPr>
        <w:tc>
          <w:tcPr>
            <w:tcW w:w="4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2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w w:val="83"/>
              </w:rPr>
              <w:t>Pretax</w:t>
            </w:r>
          </w:p>
        </w:tc>
        <w:tc>
          <w:tcPr>
            <w:tcW w:w="280" w:type="dxa"/>
            <w:vAlign w:val="bottom"/>
          </w:tcPr>
          <w:p>
            <w:pPr>
              <w:spacing w:after="0"/>
              <w:rPr>
                <w:sz w:val="13"/>
                <w:szCs w:val="13"/>
                <w:color w:val="auto"/>
              </w:rPr>
            </w:pPr>
          </w:p>
        </w:tc>
        <w:tc>
          <w:tcPr>
            <w:tcW w:w="740" w:type="dxa"/>
            <w:vAlign w:val="bottom"/>
            <w:gridSpan w:val="2"/>
          </w:tcPr>
          <w:p>
            <w:pPr>
              <w:spacing w:after="0" w:line="159" w:lineRule="exact"/>
              <w:rPr>
                <w:sz w:val="20"/>
                <w:szCs w:val="20"/>
                <w:color w:val="auto"/>
              </w:rPr>
            </w:pPr>
            <w:r>
              <w:rPr>
                <w:rFonts w:ascii="Arial" w:cs="Arial" w:eastAsia="Arial" w:hAnsi="Arial"/>
                <w:sz w:val="14"/>
                <w:szCs w:val="14"/>
                <w:color w:val="auto"/>
              </w:rPr>
              <w:t>Tax</w:t>
            </w:r>
          </w:p>
        </w:tc>
        <w:tc>
          <w:tcPr>
            <w:tcW w:w="3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$ 2</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37</w:t>
            </w: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34</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vMerge w:val="restart"/>
          </w:tcPr>
          <w:p>
            <w:pPr>
              <w:jc w:val="right"/>
              <w:ind w:right="184"/>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center"/>
              <w:ind w:left="94"/>
              <w:spacing w:after="0"/>
              <w:rPr>
                <w:sz w:val="20"/>
                <w:szCs w:val="20"/>
                <w:color w:val="auto"/>
              </w:rPr>
            </w:pPr>
            <w:r>
              <w:rPr>
                <w:rFonts w:ascii="Arial" w:cs="Arial" w:eastAsia="Arial" w:hAnsi="Arial"/>
                <w:sz w:val="14"/>
                <w:szCs w:val="14"/>
                <w:i w:val="1"/>
                <w:iCs w:val="1"/>
                <w:color w:val="auto"/>
                <w:w w:val="87"/>
              </w:rPr>
              <w:t>(Stated in millions, except per share amounts)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Schlumberger</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Earnings per</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color w:val="auto"/>
              </w:rPr>
              <w:t>Schlumberger</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color w:val="auto"/>
                <w:w w:val="83"/>
              </w:rPr>
              <w:t>Earnings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9"/>
              </w:rPr>
              <w:t>Income from</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2"/>
              </w:rPr>
              <w:t>Continuing</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Average 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4"/>
                <w:szCs w:val="1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color w:val="auto"/>
                <w:w w:val="84"/>
              </w:rPr>
              <w:t>Operations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Outstanding</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Second Quarter</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18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2,219</w:t>
            </w:r>
          </w:p>
        </w:tc>
        <w:tc>
          <w:tcPr>
            <w:tcW w:w="1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1,327</w:t>
            </w:r>
          </w:p>
        </w:tc>
        <w:tc>
          <w:tcPr>
            <w:tcW w:w="88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1.67</w:t>
            </w:r>
          </w:p>
        </w:tc>
        <w:tc>
          <w:tcPr>
            <w:tcW w:w="52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18"/>
                <w:szCs w:val="18"/>
                <w:color w:val="auto"/>
              </w:rPr>
              <w:t>1,328</w:t>
            </w:r>
          </w:p>
        </w:tc>
        <w:tc>
          <w:tcPr>
            <w:tcW w:w="11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1,331</w:t>
            </w:r>
          </w:p>
        </w:tc>
        <w:tc>
          <w:tcPr>
            <w:tcW w:w="5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Earnings per</w:t>
            </w:r>
          </w:p>
        </w:tc>
        <w:tc>
          <w:tcPr>
            <w:tcW w:w="300" w:type="dxa"/>
            <w:vAlign w:val="bottom"/>
          </w:tcPr>
          <w:p>
            <w:pPr>
              <w:spacing w:after="0"/>
              <w:rPr>
                <w:sz w:val="24"/>
                <w:szCs w:val="2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color w:val="auto"/>
                <w:w w:val="84"/>
              </w:rPr>
              <w:t>Schlumberger</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9"/>
              </w:rPr>
              <w:t>Income from</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2"/>
              </w:rPr>
              <w:t>Continuing</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Average 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4"/>
                <w:szCs w:val="1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color w:val="auto"/>
                <w:w w:val="84"/>
              </w:rPr>
              <w:t>Operations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Outstanding</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200" w:type="dxa"/>
            <w:vAlign w:val="bottom"/>
            <w:tcBorders>
              <w:top w:val="single" w:sz="8" w:color="CCEEFF"/>
            </w:tcBorders>
            <w:gridSpan w:val="2"/>
          </w:tcPr>
          <w:p>
            <w:pPr>
              <w:spacing w:after="0"/>
              <w:rPr>
                <w:sz w:val="18"/>
                <w:szCs w:val="18"/>
                <w:color w:val="auto"/>
              </w:rPr>
            </w:pPr>
          </w:p>
        </w:tc>
        <w:tc>
          <w:tcPr>
            <w:tcW w:w="72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3,423</w:t>
            </w:r>
          </w:p>
        </w:tc>
        <w:tc>
          <w:tcPr>
            <w:tcW w:w="1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1,329</w:t>
            </w:r>
          </w:p>
        </w:tc>
        <w:tc>
          <w:tcPr>
            <w:tcW w:w="88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2.58</w:t>
            </w:r>
          </w:p>
        </w:tc>
        <w:tc>
          <w:tcPr>
            <w:tcW w:w="52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18"/>
                <w:szCs w:val="18"/>
                <w:color w:val="auto"/>
              </w:rPr>
              <w:t>2,556</w:t>
            </w:r>
          </w:p>
        </w:tc>
        <w:tc>
          <w:tcPr>
            <w:tcW w:w="11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1,333</w:t>
            </w:r>
          </w:p>
        </w:tc>
        <w:tc>
          <w:tcPr>
            <w:tcW w:w="5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2,556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jc w:val="right"/>
              <w:ind w:right="4"/>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70" w:lineRule="exact"/>
        <w:rPr>
          <w:sz w:val="20"/>
          <w:szCs w:val="20"/>
          <w:color w:val="auto"/>
        </w:rPr>
      </w:pPr>
    </w:p>
    <w:p>
      <w:pPr>
        <w:jc w:val="center"/>
        <w:ind w:left="6920"/>
        <w:spacing w:after="0"/>
        <w:rPr>
          <w:sz w:val="20"/>
          <w:szCs w:val="20"/>
          <w:color w:val="auto"/>
        </w:rPr>
      </w:pPr>
      <w:r>
        <w:rPr>
          <w:rFonts w:ascii="Arial" w:cs="Arial" w:eastAsia="Arial" w:hAnsi="Arial"/>
          <w:sz w:val="14"/>
          <w:szCs w:val="14"/>
          <w:i w:val="1"/>
          <w:iCs w:val="1"/>
          <w:color w:val="auto"/>
        </w:rPr>
        <w:t>(Stated in millions)</w:t>
      </w:r>
    </w:p>
    <w:p>
      <w:pPr>
        <w:ind w:left="8440"/>
        <w:spacing w:after="0" w:line="219" w:lineRule="auto"/>
        <w:tabs>
          <w:tab w:leader="none" w:pos="96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color w:val="auto"/>
        </w:rPr>
        <w:t>2012</w:t>
      </w:r>
    </w:p>
    <w:tbl>
      <w:tblPr>
        <w:tblLayout w:type="fixed"/>
        <w:tblInd w:w="138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bl>
    <w:p>
      <w:pPr>
        <w:spacing w:after="0" w:line="21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will account for this investment under the equity</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method. Schlumberger recognized a pretax and after-tax gain of $1.028 billion, which is classified as </w:t>
      </w:r>
      <w:r>
        <w:rPr>
          <w:rFonts w:ascii="Arial" w:cs="Arial" w:eastAsia="Arial" w:hAnsi="Arial"/>
          <w:sz w:val="16"/>
          <w:szCs w:val="16"/>
          <w:i w:val="1"/>
          <w:iCs w:val="1"/>
          <w:color w:val="auto"/>
        </w:rPr>
        <w:t>Gain on formation of OneSubsea</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as a result of the deconsolidation of its subsea business. This gain is equal to the difference between the fair value of the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subsea business, which was determined based on the present value of its estimated future cash flows, and its carrying value at the time of closing. Approximately $0.4 billion of the gain resulted from the remeasurement, to fair value, of the 40% retained interest in Schlumberger’s subsea business.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first six months of 2013, Schlumberger made certain other acquisitions and investments, none of which were significant on an individual basis, for cash payments, net of cash acquired, of $117 million.</w:t>
      </w:r>
    </w:p>
    <w:p>
      <w:pPr>
        <w:spacing w:after="0" w:line="20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Jun. 30,</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5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&amp; field materials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$2,695</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4,955</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vMerge w:val="restart"/>
          </w:tcPr>
          <w:p>
            <w:pPr>
              <w:jc w:val="right"/>
              <w:ind w:right="403"/>
              <w:spacing w:after="0"/>
              <w:rPr>
                <w:sz w:val="20"/>
                <w:szCs w:val="20"/>
                <w:color w:val="auto"/>
              </w:rPr>
            </w:pPr>
            <w:r>
              <w:rPr>
                <w:rFonts w:ascii="Arial" w:cs="Arial" w:eastAsia="Arial" w:hAnsi="Arial"/>
                <w:sz w:val="14"/>
                <w:szCs w:val="14"/>
                <w:b w:val="1"/>
                <w:bCs w:val="1"/>
                <w:color w:val="auto"/>
                <w:w w:val="95"/>
              </w:rPr>
              <w:t>Jun. 30,</w:t>
            </w:r>
          </w:p>
        </w:tc>
        <w:tc>
          <w:tcPr>
            <w:tcW w:w="420" w:type="dxa"/>
            <w:vAlign w:val="bottom"/>
          </w:tcPr>
          <w:p>
            <w:pPr>
              <w:spacing w:after="0"/>
              <w:rPr>
                <w:sz w:val="14"/>
                <w:szCs w:val="14"/>
                <w:color w:val="auto"/>
              </w:rPr>
            </w:pPr>
          </w:p>
        </w:tc>
        <w:tc>
          <w:tcPr>
            <w:tcW w:w="1200" w:type="dxa"/>
            <w:vAlign w:val="bottom"/>
            <w:gridSpan w:val="5"/>
          </w:tcPr>
          <w:p>
            <w:pPr>
              <w:ind w:left="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1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1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2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$33,997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14,742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94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89"/>
              </w:rPr>
              <w:t>2013</w:t>
            </w:r>
          </w:p>
        </w:tc>
        <w:tc>
          <w:tcPr>
            <w:tcW w:w="1200" w:type="dxa"/>
            <w:vAlign w:val="bottom"/>
            <w:gridSpan w:val="5"/>
          </w:tcPr>
          <w:p>
            <w:pPr>
              <w:ind w:left="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42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Six Months</w:t>
            </w:r>
          </w:p>
        </w:tc>
        <w:tc>
          <w:tcPr>
            <w:tcW w:w="35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1,537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00" w:type="dxa"/>
            <w:vAlign w:val="bottom"/>
          </w:tcPr>
          <w:p>
            <w:pPr>
              <w:jc w:val="right"/>
              <w:ind w:right="1557"/>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change in the carrying amount of multiclient seismic data for the six months ended June 30, 2013 was as follows:</w:t>
      </w:r>
    </w:p>
    <w:p>
      <w:pPr>
        <w:spacing w:after="0" w:line="39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June 30,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0" w:hanging="778"/>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518</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222</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660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ind w:left="780" w:hanging="7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660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140"/>
            <w:col w:w="2980"/>
          </w:cols>
          <w:pgMar w:left="240" w:top="459" w:right="239" w:bottom="1440" w:gutter="0" w:footer="0" w:header="0"/>
        </w:sectPr>
      </w:pPr>
    </w:p>
    <w:p>
      <w:pPr>
        <w:spacing w:after="0" w:line="1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six months ended June 30, 2013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2"/>
              </w:rPr>
              <w:t>Reservoir</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86"/>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Characterization</w:t>
            </w:r>
          </w:p>
        </w:tc>
        <w:tc>
          <w:tcPr>
            <w:tcW w:w="3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Drilling</w:t>
            </w:r>
          </w:p>
        </w:tc>
        <w:tc>
          <w:tcPr>
            <w:tcW w:w="3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$8,337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Divestiture of business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8,314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2,358</w:t>
            </w: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Jun. 30, 2013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Dec. 31, 2012</w:t>
            </w: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620"/>
              <w:spacing w:after="0" w:line="129" w:lineRule="exact"/>
              <w:rPr>
                <w:sz w:val="20"/>
                <w:szCs w:val="20"/>
                <w:color w:val="auto"/>
              </w:rPr>
            </w:pPr>
            <w:r>
              <w:rPr>
                <w:rFonts w:ascii="Arial" w:cs="Arial" w:eastAsia="Arial" w:hAnsi="Arial"/>
                <w:sz w:val="14"/>
                <w:szCs w:val="14"/>
                <w:color w:val="auto"/>
                <w:w w:val="85"/>
              </w:rPr>
              <w:t>Gross</w:t>
            </w:r>
          </w:p>
        </w:tc>
        <w:tc>
          <w:tcPr>
            <w:tcW w:w="1160" w:type="dxa"/>
            <w:vAlign w:val="bottom"/>
            <w:gridSpan w:val="3"/>
          </w:tcPr>
          <w:p>
            <w:pPr>
              <w:spacing w:after="0" w:line="12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1"/>
                <w:szCs w:val="11"/>
                <w:color w:val="auto"/>
              </w:rPr>
            </w:pPr>
          </w:p>
        </w:tc>
        <w:tc>
          <w:tcPr>
            <w:tcW w:w="860" w:type="dxa"/>
            <w:vAlign w:val="bottom"/>
          </w:tcPr>
          <w:p>
            <w:pPr>
              <w:jc w:val="center"/>
              <w:ind w:right="98"/>
              <w:spacing w:after="0" w:line="129" w:lineRule="exact"/>
              <w:rPr>
                <w:sz w:val="20"/>
                <w:szCs w:val="20"/>
                <w:color w:val="auto"/>
              </w:rPr>
            </w:pPr>
            <w:r>
              <w:rPr>
                <w:rFonts w:ascii="Arial" w:cs="Arial" w:eastAsia="Arial" w:hAnsi="Arial"/>
                <w:sz w:val="14"/>
                <w:szCs w:val="14"/>
                <w:color w:val="auto"/>
                <w:w w:val="90"/>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Book Value</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83"/>
              </w:rPr>
              <w:t>Book Value</w:t>
            </w:r>
          </w:p>
        </w:tc>
        <w:tc>
          <w:tcPr>
            <w:tcW w:w="11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Technology/Technical Know-How</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$ 1,428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Tradenames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1,647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6,107</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$ 4,673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4"/>
          </w:tcPr>
          <w:p>
            <w:pPr>
              <w:ind w:left="10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28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19"/>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20"/>
                <w:szCs w:val="20"/>
                <w:color w:val="auto"/>
              </w:rPr>
            </w:pPr>
            <w:r>
              <w:rPr>
                <w:rFonts w:ascii="Arial" w:cs="Arial" w:eastAsia="Arial" w:hAnsi="Arial"/>
                <w:sz w:val="18"/>
                <w:szCs w:val="18"/>
                <w:color w:val="auto"/>
              </w:rPr>
              <w:t>Six Months</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163</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Based on the net book value of intangible assets at June 30, 2013, amortization charged to income for the subsequent five years is estimated to be: remainder of 2013—$165 million; 2014—$325 million; 2015—$315 million; 2016—$302 million; 2017—$289 million; and 2018—$283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Jun. 30,</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3.30%</w:t>
            </w:r>
          </w:p>
        </w:tc>
        <w:tc>
          <w:tcPr>
            <w:tcW w:w="560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due 2021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$1,596</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5600" w:type="dxa"/>
            <w:vAlign w:val="bottom"/>
          </w:tcPr>
          <w:p>
            <w:pPr>
              <w:ind w:left="20"/>
              <w:spacing w:after="0"/>
              <w:rPr>
                <w:sz w:val="20"/>
                <w:szCs w:val="20"/>
                <w:color w:val="auto"/>
              </w:rPr>
            </w:pPr>
            <w:r>
              <w:rPr>
                <w:rFonts w:ascii="Arial" w:cs="Arial" w:eastAsia="Arial" w:hAnsi="Arial"/>
                <w:sz w:val="18"/>
                <w:szCs w:val="18"/>
                <w:color w:val="auto"/>
              </w:rPr>
              <w:t>Guaranteed Notes due 2014</w:t>
            </w:r>
          </w:p>
        </w:tc>
        <w:tc>
          <w:tcPr>
            <w:tcW w:w="2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2.75%</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1.95%</w:t>
            </w:r>
          </w:p>
        </w:tc>
        <w:tc>
          <w:tcPr>
            <w:tcW w:w="560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4.20%</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1.25%</w:t>
            </w:r>
          </w:p>
        </w:tc>
        <w:tc>
          <w:tcPr>
            <w:tcW w:w="560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2.40%</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560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650</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9,098</w:t>
            </w: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2013 and December 31, 2012, based on quoted market prices, was $9.2 billion and $9.9 billion, respectively.</w:t>
      </w:r>
    </w:p>
    <w:p>
      <w:pPr>
        <w:spacing w:after="0" w:line="20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At June 30, 2013, Schlumberger recognized a cumulative net $29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along with the change in fair value of the hedged item.</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June 30, 2013, contracts were outstanding for the US dollar equivalent of $6.9 billion in various foreign currencies, of which $3.9 billion related to hedges of debt denominated in currencies other than the functional currency.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fuel. Schlumberger utilizes option contracts to manage a small percentage of the price risk associated with forecasted commodity purchases. The objective of these contracts is to reduce the variability of cash flows associated with the forecasted purchase of those commodities. These contracts do not qualify for hedge accounting treatment and therefore, changes in the fair value of the option contracts are recorded directly to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outstanding option commodity contracts was $2 million at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Schlumberger had fixed rate debt aggregating $9.6 billion and variable rate debt aggregating $2.4 billion.</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$3.8 billion at June 30, 2013,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5"/>
          </w:tcPr>
          <w:p>
            <w:pPr>
              <w:jc w:val="right"/>
              <w:ind w:right="900"/>
              <w:spacing w:after="0"/>
              <w:rPr>
                <w:sz w:val="20"/>
                <w:szCs w:val="20"/>
                <w:color w:val="auto"/>
              </w:rPr>
            </w:pPr>
            <w:r>
              <w:rPr>
                <w:rFonts w:ascii="Arial" w:cs="Arial" w:eastAsia="Arial" w:hAnsi="Arial"/>
                <w:sz w:val="14"/>
                <w:szCs w:val="14"/>
                <w:i w:val="1"/>
                <w:iCs w:val="1"/>
                <w:color w:val="auto"/>
              </w:rPr>
              <w:t>(Stated in millions)</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Derivatives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2"/>
              </w:rPr>
              <w:t>Consolidated Balance Sheet 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color w:val="auto"/>
                <w:w w:val="84"/>
              </w:rPr>
              <w:t>Dec. 31,</w:t>
            </w:r>
          </w:p>
        </w:tc>
        <w:tc>
          <w:tcPr>
            <w:tcW w:w="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2013</w:t>
            </w: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2012</w:t>
            </w:r>
          </w:p>
        </w:tc>
        <w:tc>
          <w:tcPr>
            <w:tcW w:w="9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300" w:type="dxa"/>
            <w:vAlign w:val="bottom"/>
            <w:gridSpan w:val="2"/>
            <w:shd w:val="clear" w:color="auto" w:fill="CCEEFF"/>
          </w:tcPr>
          <w:p>
            <w:pPr>
              <w:ind w:left="222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26</w:t>
            </w:r>
          </w:p>
        </w:tc>
        <w:tc>
          <w:tcPr>
            <w:tcW w:w="2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22</w:t>
            </w:r>
          </w:p>
        </w:tc>
        <w:tc>
          <w:tcPr>
            <w:tcW w:w="23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2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50</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2300" w:type="dxa"/>
            <w:vAlign w:val="bottom"/>
            <w:gridSpan w:val="2"/>
          </w:tcPr>
          <w:p>
            <w:pPr>
              <w:ind w:left="222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8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10</w:t>
            </w:r>
          </w:p>
        </w:tc>
        <w:tc>
          <w:tcPr>
            <w:tcW w:w="236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2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2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16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22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66</w:t>
            </w: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20" w:type="dxa"/>
            <w:vAlign w:val="bottom"/>
            <w:vMerge w:val="restart"/>
          </w:tcPr>
          <w:p>
            <w:pPr>
              <w:jc w:val="right"/>
              <w:ind w:right="48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i w:val="1"/>
                <w:iCs w:val="1"/>
                <w:color w:val="auto"/>
              </w:rPr>
              <w:t>Consolidated Balance Sheet Classification</w:t>
            </w: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5"/>
              </w:rPr>
              <w:t>Jun. 30,</w:t>
            </w:r>
          </w:p>
        </w:tc>
        <w:tc>
          <w:tcPr>
            <w:tcW w:w="42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88"/>
              </w:rPr>
              <w:t>Dec. 31,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61"/>
        </w:trPr>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83"/>
              </w:rPr>
              <w:t>2013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83"/>
              </w:rPr>
              <w:t>2012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660" w:type="dxa"/>
            <w:vAlign w:val="bottom"/>
            <w:gridSpan w:val="2"/>
          </w:tcPr>
          <w:p>
            <w:pPr>
              <w:ind w:left="220"/>
              <w:spacing w:after="0"/>
              <w:rPr>
                <w:sz w:val="20"/>
                <w:szCs w:val="20"/>
                <w:color w:val="auto"/>
              </w:rPr>
            </w:pPr>
            <w:r>
              <w:rPr>
                <w:rFonts w:ascii="Arial" w:cs="Arial" w:eastAsia="Arial" w:hAnsi="Arial"/>
                <w:sz w:val="18"/>
                <w:szCs w:val="18"/>
                <w:i w:val="1"/>
                <w:iCs w:val="1"/>
                <w:color w:val="auto"/>
              </w:rPr>
              <w:t>Other Liabilities</w:t>
            </w: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10"/>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of derivative instruments designated as fair value hedges and those not designated as hedges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i w:val="1"/>
                <w:iCs w:val="1"/>
                <w:color w:val="auto"/>
                <w:w w:val="90"/>
              </w:rPr>
              <w:t>(Stated in millions)</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468"/>
              <w:spacing w:after="0"/>
              <w:rPr>
                <w:sz w:val="20"/>
                <w:szCs w:val="20"/>
                <w:color w:val="auto"/>
              </w:rPr>
            </w:pPr>
            <w:r>
              <w:rPr>
                <w:rFonts w:ascii="Arial" w:cs="Arial" w:eastAsia="Arial" w:hAnsi="Arial"/>
                <w:sz w:val="14"/>
                <w:szCs w:val="14"/>
                <w:b w:val="1"/>
                <w:bCs w:val="1"/>
                <w:color w:val="auto"/>
                <w:w w:val="96"/>
              </w:rPr>
              <w:t>Gain (Loss) Recognized in Income</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Second Quarter</w:t>
            </w: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Six Months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w w:val="83"/>
              </w:rPr>
              <w:t>Consolidated Statement</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83"/>
              </w:rPr>
              <w:t>2012</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83"/>
              </w:rPr>
              <w:t>2012</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84"/>
              </w:rPr>
              <w:t>of Income Classification</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fair value hedges: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tcPr>
          <w:p>
            <w:pPr>
              <w:jc w:val="right"/>
              <w:ind w:right="528"/>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vMerge w:val="continue"/>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660" w:type="dxa"/>
            <w:vAlign w:val="bottom"/>
            <w:vMerge w:val="continue"/>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in cash flow hedging relationships on income and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(AOCL)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5"/>
          </w:tcPr>
          <w:p>
            <w:pPr>
              <w:jc w:val="right"/>
              <w:ind w:right="438"/>
              <w:spacing w:after="0"/>
              <w:rPr>
                <w:sz w:val="20"/>
                <w:szCs w:val="20"/>
                <w:color w:val="auto"/>
              </w:rPr>
            </w:pPr>
            <w:r>
              <w:rPr>
                <w:rFonts w:ascii="Arial" w:cs="Arial" w:eastAsia="Arial" w:hAnsi="Arial"/>
                <w:sz w:val="14"/>
                <w:szCs w:val="14"/>
                <w:i w:val="1"/>
                <w:iCs w:val="1"/>
                <w:color w:val="auto"/>
                <w:w w:val="90"/>
              </w:rPr>
              <w:t>(Stated in millions)</w:t>
            </w:r>
          </w:p>
        </w:tc>
        <w:tc>
          <w:tcPr>
            <w:tcW w:w="1720" w:type="dxa"/>
            <w:vAlign w:val="bottom"/>
          </w:tcPr>
          <w:p>
            <w:pPr>
              <w:spacing w:after="0"/>
              <w:rPr>
                <w:sz w:val="14"/>
                <w:szCs w:val="14"/>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6"/>
              </w:rPr>
              <w:t>Gain (Loss) Reclassified from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6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402"/>
              <w:spacing w:after="0"/>
              <w:rPr>
                <w:sz w:val="20"/>
                <w:szCs w:val="20"/>
                <w:color w:val="auto"/>
              </w:rPr>
            </w:pPr>
            <w:r>
              <w:rPr>
                <w:rFonts w:ascii="Arial" w:cs="Arial" w:eastAsia="Arial" w:hAnsi="Arial"/>
                <w:sz w:val="14"/>
                <w:szCs w:val="14"/>
                <w:b w:val="1"/>
                <w:bCs w:val="1"/>
                <w:color w:val="auto"/>
                <w:w w:val="90"/>
              </w:rPr>
              <w:t>AOCL into Income</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98"/>
              <w:spacing w:after="0" w:line="142" w:lineRule="exact"/>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2"/>
                <w:szCs w:val="12"/>
                <w:color w:val="auto"/>
              </w:rPr>
            </w:pPr>
          </w:p>
        </w:tc>
        <w:tc>
          <w:tcPr>
            <w:tcW w:w="10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Six Months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4"/>
              </w:rPr>
              <w:t>Consolidated Statement</w:t>
            </w:r>
          </w:p>
        </w:tc>
      </w:tr>
      <w:tr>
        <w:trPr>
          <w:trHeight w:val="142"/>
        </w:trPr>
        <w:tc>
          <w:tcPr>
            <w:tcW w:w="5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color w:val="auto"/>
                <w:w w:val="83"/>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2012</w:t>
            </w:r>
          </w:p>
        </w:tc>
        <w:tc>
          <w:tcPr>
            <w:tcW w:w="5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4"/>
              </w:rPr>
              <w:t>of Income Classification</w:t>
            </w: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9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8"/>
              <w:spacing w:after="0"/>
              <w:rPr>
                <w:sz w:val="20"/>
                <w:szCs w:val="20"/>
                <w:color w:val="auto"/>
              </w:rPr>
            </w:pPr>
            <w:r>
              <w:rPr>
                <w:rFonts w:ascii="Arial" w:cs="Arial" w:eastAsia="Arial" w:hAnsi="Arial"/>
                <w:sz w:val="18"/>
                <w:szCs w:val="18"/>
                <w:color w:val="auto"/>
              </w:rPr>
              <w:t>(5)</w:t>
            </w:r>
          </w:p>
        </w:tc>
        <w:tc>
          <w:tcPr>
            <w:tcW w:w="1720" w:type="dxa"/>
            <w:vAlign w:val="bottom"/>
          </w:tcPr>
          <w:p>
            <w:pPr>
              <w:jc w:val="center"/>
              <w:spacing w:after="0"/>
              <w:rPr>
                <w:sz w:val="20"/>
                <w:szCs w:val="20"/>
                <w:color w:val="auto"/>
              </w:rPr>
            </w:pPr>
            <w:r>
              <w:rPr>
                <w:rFonts w:ascii="Arial" w:cs="Arial" w:eastAsia="Arial" w:hAnsi="Arial"/>
                <w:sz w:val="18"/>
                <w:szCs w:val="18"/>
                <w:i w:val="1"/>
                <w:iCs w:val="1"/>
                <w:color w:val="auto"/>
                <w:w w:val="89"/>
              </w:rPr>
              <w:t>Research &amp; engineering</w:t>
            </w: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(150)</w:t>
            </w:r>
          </w:p>
        </w:tc>
        <w:tc>
          <w:tcPr>
            <w:tcW w:w="172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6"/>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5"/>
          </w:tcPr>
          <w:p>
            <w:pPr>
              <w:jc w:val="right"/>
              <w:ind w:right="438"/>
              <w:spacing w:after="0"/>
              <w:rPr>
                <w:sz w:val="20"/>
                <w:szCs w:val="20"/>
                <w:color w:val="auto"/>
              </w:rPr>
            </w:pPr>
            <w:r>
              <w:rPr>
                <w:rFonts w:ascii="Arial" w:cs="Arial" w:eastAsia="Arial" w:hAnsi="Arial"/>
                <w:sz w:val="14"/>
                <w:szCs w:val="14"/>
                <w:i w:val="1"/>
                <w:iCs w:val="1"/>
                <w:color w:val="auto"/>
                <w:w w:val="90"/>
              </w:rPr>
              <w:t>(Stated in millions)</w:t>
            </w:r>
          </w:p>
        </w:tc>
        <w:tc>
          <w:tcPr>
            <w:tcW w:w="1720" w:type="dxa"/>
            <w:vAlign w:val="bottom"/>
          </w:tcPr>
          <w:p>
            <w:pPr>
              <w:spacing w:after="0"/>
              <w:rPr>
                <w:sz w:val="24"/>
                <w:szCs w:val="24"/>
                <w:color w:val="auto"/>
              </w:rPr>
            </w:pPr>
          </w:p>
        </w:tc>
      </w:tr>
      <w:tr>
        <w:trPr>
          <w:trHeight w:val="16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8"/>
              </w:rPr>
              <w:t>Gain (Loss) Recognized in AOCL</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98"/>
              <w:spacing w:after="0" w:line="142" w:lineRule="exact"/>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2"/>
                <w:szCs w:val="12"/>
                <w:color w:val="auto"/>
              </w:rPr>
            </w:pPr>
          </w:p>
        </w:tc>
        <w:tc>
          <w:tcPr>
            <w:tcW w:w="10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Six Months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color w:val="auto"/>
                <w:w w:val="83"/>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2012</w:t>
            </w:r>
          </w:p>
        </w:tc>
        <w:tc>
          <w:tcPr>
            <w:tcW w:w="5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340" w:type="dxa"/>
            <w:vAlign w:val="bottom"/>
            <w:shd w:val="clear" w:color="auto" w:fill="CCEEFF"/>
          </w:tcPr>
          <w:p>
            <w:pPr>
              <w:jc w:val="right"/>
              <w:ind w:right="242"/>
              <w:spacing w:after="0"/>
              <w:rPr>
                <w:sz w:val="20"/>
                <w:szCs w:val="20"/>
                <w:color w:val="auto"/>
              </w:rPr>
            </w:pPr>
            <w:r>
              <w:rPr>
                <w:rFonts w:ascii="Arial" w:cs="Arial" w:eastAsia="Arial" w:hAnsi="Arial"/>
                <w:sz w:val="8"/>
                <w:szCs w:val="8"/>
                <w:b w:val="1"/>
                <w:bCs w:val="1"/>
                <w:color w:val="auto"/>
                <w:w w:val="73"/>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2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w w:val="74"/>
              </w:rPr>
              <w:t>)</w:t>
            </w:r>
          </w:p>
        </w:tc>
        <w:tc>
          <w:tcPr>
            <w:tcW w:w="172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57"/>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center"/>
              <w:ind w:right="21"/>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which was subject to US and non-US income taxes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59"/>
        </w:trPr>
        <w:tc>
          <w:tcPr>
            <w:tcW w:w="4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ind w:left="360"/>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Outside United States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3,360</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2,673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1,779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8"/>
              </w:rPr>
              <w:t>4,291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Schlumberger recorded net pretax credits of $664 million during the second quarter of 2013 ($53 million of charges in the US and $717 million of net credits outside of the US) and pretax charges of $22 million during the second quarter of 2012 ($11 million of charges in the US and $11 million outside of the US).</w:t>
      </w:r>
    </w:p>
    <w:p>
      <w:pPr>
        <w:spacing w:after="0" w:line="85"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Schlumberger recorded net pretax credits of $572 million during the six months ended June 30, 2013 ($53 million of charges in the US and $625 million of net credits outside of the US) and pretax charges of $37 million during the six months ended June 30, 2012 ($22 million in the US and $15 million outside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included in the table above and are more fully described in Note 2—</w:t>
      </w:r>
      <w:r>
        <w:rPr>
          <w:rFonts w:ascii="Arial" w:cs="Arial" w:eastAsia="Arial" w:hAnsi="Arial"/>
          <w:sz w:val="18"/>
          <w:szCs w:val="18"/>
          <w:i w:val="1"/>
          <w:iCs w:val="1"/>
          <w:color w:val="auto"/>
        </w:rPr>
        <w:t>Charges and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Jun. 30,</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46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 net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Intangible assets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(1,484)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net</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(1,156)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deferred tax balances at June 30, 2013 and December 31, 2012 were net of valuation allowances relating to net operating losses in certain countries of $234 million and $256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0" w:type="dxa"/>
            <w:vAlign w:val="bottom"/>
            <w:gridSpan w:val="5"/>
          </w:tcPr>
          <w:p>
            <w:pPr>
              <w:jc w:val="right"/>
              <w:ind w:right="540"/>
              <w:spacing w:after="0" w:line="159" w:lineRule="exact"/>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3"/>
                <w:szCs w:val="13"/>
                <w:color w:val="auto"/>
              </w:rPr>
            </w:pPr>
          </w:p>
        </w:tc>
        <w:tc>
          <w:tcPr>
            <w:tcW w:w="1400" w:type="dxa"/>
            <w:vAlign w:val="bottom"/>
            <w:gridSpan w:val="5"/>
          </w:tcPr>
          <w:p>
            <w:pPr>
              <w:jc w:val="right"/>
              <w:ind w:right="440"/>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45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171</w:t>
            </w: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3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4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6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6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452</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900</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Deferred:</w:t>
            </w:r>
          </w:p>
        </w:tc>
        <w:tc>
          <w:tcPr>
            <w:tcW w:w="3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4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 (42)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(24)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(24)</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45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4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6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 (72)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(45)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449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439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855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20" w:type="dxa"/>
            <w:vAlign w:val="bottom"/>
            <w:vMerge w:val="restart"/>
          </w:tcPr>
          <w:p>
            <w:pPr>
              <w:jc w:val="right"/>
              <w:ind w:right="181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color w:val="auto"/>
              </w:rPr>
              <w:t>Second Quarter</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Six Months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5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35%</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US state income taxes</w:t>
            </w:r>
          </w:p>
        </w:tc>
        <w:tc>
          <w:tcPr>
            <w:tcW w:w="9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Charges (See Note 2)</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w:t>
            </w:r>
          </w:p>
        </w:tc>
        <w:tc>
          <w:tcPr>
            <w:tcW w:w="9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17%</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340"/>
        <w:spacing w:after="0" w:line="310" w:lineRule="auto"/>
        <w:rPr>
          <w:sz w:val="20"/>
          <w:szCs w:val="20"/>
          <w:color w:val="auto"/>
        </w:rPr>
      </w:pPr>
      <w:r>
        <w:rPr>
          <w:rFonts w:ascii="Arial" w:cs="Arial" w:eastAsia="Arial" w:hAnsi="Arial"/>
          <w:sz w:val="15"/>
          <w:szCs w:val="15"/>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is cooperating with the governmental authorities and cannot currently predict the outcome or estimate the possible impact of the ultimate resolution of these matters.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named an M-I SWACO entity as a defendant, were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Many of these claims were consolidated into multidistrict litigation pending in federal court (the “MDL”). During the first quarter of 2013, the federal court entered its order dismissing all claims against M-I SWACO that were consolidated as part of the MDL.</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w w:val="91"/>
              </w:rPr>
              <w:t>Second Quarter 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320"/>
              <w:spacing w:after="0" w:line="159" w:lineRule="exact"/>
              <w:rPr>
                <w:sz w:val="20"/>
                <w:szCs w:val="20"/>
                <w:color w:val="auto"/>
              </w:rPr>
            </w:pPr>
            <w:r>
              <w:rPr>
                <w:rFonts w:ascii="Arial" w:cs="Arial" w:eastAsia="Arial" w:hAnsi="Arial"/>
                <w:sz w:val="14"/>
                <w:szCs w:val="14"/>
                <w:color w:val="auto"/>
                <w:w w:val="94"/>
              </w:rPr>
              <w:t>Second Quarter 2012</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before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taxes</w:t>
            </w:r>
          </w:p>
        </w:tc>
        <w:tc>
          <w:tcPr>
            <w:tcW w:w="2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3,014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2,714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11,182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3"/>
              </w:rPr>
              <w:t>11,182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2,673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10,341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1,779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18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included in the segment results ($2 million in 2013; $— million in 2012)</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($6 million in 2013; $2 million in 2012).</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Six Months 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right"/>
              <w:ind w:right="440"/>
              <w:spacing w:after="0" w:line="159" w:lineRule="exact"/>
              <w:rPr>
                <w:sz w:val="20"/>
                <w:szCs w:val="20"/>
                <w:color w:val="auto"/>
              </w:rPr>
            </w:pPr>
            <w:r>
              <w:rPr>
                <w:rFonts w:ascii="Arial" w:cs="Arial" w:eastAsia="Arial" w:hAnsi="Arial"/>
                <w:sz w:val="14"/>
                <w:szCs w:val="14"/>
                <w:color w:val="auto"/>
              </w:rPr>
              <w:t>Six Months 2012</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before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taxes</w:t>
            </w:r>
          </w:p>
        </w:tc>
        <w:tc>
          <w:tcPr>
            <w:tcW w:w="2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5,764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$1,633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5,231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8,405</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7,684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1,181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7,241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21,752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20,150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21,752</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20,150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18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included in the segment results ($2 million in 2013; $— million in 2012)</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($12 million in 2013; $2 million in 2012).</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1"/>
              </w:rPr>
              <w:t>Second Quarter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6"/>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6"/>
          </w:tcPr>
          <w:p>
            <w:pPr>
              <w:jc w:val="right"/>
              <w:ind w:right="280"/>
              <w:spacing w:after="0" w:line="159" w:lineRule="exact"/>
              <w:rPr>
                <w:sz w:val="20"/>
                <w:szCs w:val="20"/>
                <w:color w:val="auto"/>
              </w:rPr>
            </w:pPr>
            <w:r>
              <w:rPr>
                <w:rFonts w:ascii="Arial" w:cs="Arial" w:eastAsia="Arial" w:hAnsi="Arial"/>
                <w:sz w:val="14"/>
                <w:szCs w:val="14"/>
                <w:color w:val="auto"/>
              </w:rPr>
              <w:t>Six Months</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12"/>
                <w:szCs w:val="12"/>
                <w:color w:val="auto"/>
              </w:rPr>
            </w:pPr>
          </w:p>
        </w:tc>
        <w:tc>
          <w:tcPr>
            <w:tcW w:w="6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US</w:t>
            </w:r>
          </w:p>
        </w:tc>
        <w:tc>
          <w:tcPr>
            <w:tcW w:w="20" w:type="dxa"/>
            <w:vAlign w:val="bottom"/>
          </w:tcPr>
          <w:p>
            <w:pPr>
              <w:spacing w:after="0"/>
              <w:rPr>
                <w:sz w:val="12"/>
                <w:szCs w:val="12"/>
                <w:color w:val="auto"/>
              </w:rPr>
            </w:pPr>
          </w:p>
        </w:tc>
        <w:tc>
          <w:tcPr>
            <w:tcW w:w="320" w:type="dxa"/>
            <w:vAlign w:val="bottom"/>
          </w:tcPr>
          <w:p>
            <w:pPr>
              <w:jc w:val="center"/>
              <w:spacing w:after="0" w:line="142" w:lineRule="exact"/>
              <w:rPr>
                <w:sz w:val="20"/>
                <w:szCs w:val="20"/>
                <w:color w:val="auto"/>
              </w:rPr>
            </w:pPr>
            <w:r>
              <w:rPr>
                <w:rFonts w:ascii="Arial" w:cs="Arial" w:eastAsia="Arial" w:hAnsi="Arial"/>
                <w:sz w:val="14"/>
                <w:szCs w:val="14"/>
                <w:color w:val="auto"/>
              </w:rPr>
              <w:t>Int’l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Int’l</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US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15"/>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$ 21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$ 34</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5"/>
              </w:rPr>
              <w:t>(100)</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0" w:type="dxa"/>
            <w:vAlign w:val="bottom"/>
            <w:gridSpan w:val="7"/>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(200)</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$ 42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$ 34</w:t>
            </w:r>
          </w:p>
        </w:tc>
        <w:tc>
          <w:tcPr>
            <w:tcW w:w="280" w:type="dxa"/>
            <w:vAlign w:val="bottom"/>
          </w:tcPr>
          <w:p>
            <w:pPr>
              <w:spacing w:after="0"/>
              <w:rPr>
                <w:sz w:val="19"/>
                <w:szCs w:val="19"/>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$ 44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82</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$ 124</w:t>
            </w:r>
          </w:p>
        </w:tc>
        <w:tc>
          <w:tcPr>
            <w:tcW w:w="280" w:type="dxa"/>
            <w:vAlign w:val="bottom"/>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$ 69</w:t>
            </w:r>
          </w:p>
        </w:tc>
        <w:tc>
          <w:tcPr>
            <w:tcW w:w="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20" w:type="dxa"/>
            <w:vAlign w:val="bottom"/>
            <w:gridSpan w:val="12"/>
          </w:tcPr>
          <w:p>
            <w:pPr>
              <w:spacing w:after="0"/>
              <w:rPr>
                <w:sz w:val="20"/>
                <w:szCs w:val="20"/>
                <w:color w:val="auto"/>
              </w:rPr>
            </w:pPr>
            <w:r>
              <w:rPr>
                <w:rFonts w:ascii="Arial" w:cs="Arial" w:eastAsia="Arial" w:hAnsi="Arial"/>
                <w:sz w:val="18"/>
                <w:szCs w:val="18"/>
                <w:color w:val="auto"/>
                <w:w w:val="91"/>
              </w:rPr>
              <w:t>The net periodic benefit cost for the Schlumberger US postretirement medical plan included the following components: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11"/>
            <w:vMerge w:val="restart"/>
          </w:tcPr>
          <w:p>
            <w:pPr>
              <w:jc w:val="right"/>
              <w:ind w:right="560"/>
              <w:spacing w:after="0"/>
              <w:rPr>
                <w:sz w:val="20"/>
                <w:szCs w:val="20"/>
                <w:color w:val="auto"/>
              </w:rPr>
            </w:pPr>
            <w:r>
              <w:rPr>
                <w:rFonts w:ascii="Arial" w:cs="Arial" w:eastAsia="Arial" w:hAnsi="Arial"/>
                <w:sz w:val="14"/>
                <w:szCs w:val="14"/>
                <w:b w:val="1"/>
                <w:bCs w:val="1"/>
                <w:color w:val="auto"/>
                <w:w w:val="95"/>
              </w:rPr>
              <w:t>Second Quarter</w:t>
            </w:r>
          </w:p>
        </w:tc>
        <w:tc>
          <w:tcPr>
            <w:tcW w:w="20" w:type="dxa"/>
            <w:vAlign w:val="bottom"/>
          </w:tcPr>
          <w:p>
            <w:pPr>
              <w:spacing w:after="0"/>
              <w:rPr>
                <w:sz w:val="24"/>
                <w:szCs w:val="24"/>
                <w:color w:val="auto"/>
              </w:rPr>
            </w:pPr>
          </w:p>
        </w:tc>
        <w:tc>
          <w:tcPr>
            <w:tcW w:w="1180" w:type="dxa"/>
            <w:vAlign w:val="bottom"/>
            <w:gridSpan w:val="6"/>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6"/>
          </w:tcPr>
          <w:p>
            <w:pPr>
              <w:jc w:val="right"/>
              <w:ind w:right="340"/>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$ 24</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$ 25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$ 49</w:t>
            </w:r>
          </w:p>
        </w:tc>
        <w:tc>
          <w:tcPr>
            <w:tcW w:w="6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$ 36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Accumulated Other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23" w:lineRule="exact"/>
        <w:rPr>
          <w:sz w:val="20"/>
          <w:szCs w:val="20"/>
          <w:color w:val="auto"/>
        </w:rPr>
      </w:pPr>
    </w:p>
    <w:p>
      <w:pPr>
        <w:ind w:left="660" w:right="80" w:hanging="215"/>
        <w:spacing w:after="0" w:line="254" w:lineRule="auto"/>
        <w:rPr>
          <w:sz w:val="20"/>
          <w:szCs w:val="20"/>
          <w:color w:val="auto"/>
        </w:rPr>
      </w:pPr>
      <w:r>
        <w:rPr>
          <w:rFonts w:ascii="Arial" w:cs="Arial" w:eastAsia="Arial" w:hAnsi="Arial"/>
          <w:sz w:val="18"/>
          <w:szCs w:val="18"/>
          <w:color w:val="auto"/>
        </w:rPr>
        <w:t>Other comprehensive income (loss) before reclassifications</w:t>
      </w:r>
    </w:p>
    <w:p>
      <w:pPr>
        <w:ind w:left="660" w:right="280" w:hanging="215"/>
        <w:spacing w:after="0" w:line="281" w:lineRule="auto"/>
        <w:rPr>
          <w:sz w:val="20"/>
          <w:szCs w:val="20"/>
          <w:color w:val="auto"/>
        </w:rPr>
      </w:pPr>
      <w:r>
        <w:rPr>
          <w:rFonts w:ascii="Arial" w:cs="Arial" w:eastAsia="Arial" w:hAnsi="Arial"/>
          <w:sz w:val="16"/>
          <w:szCs w:val="16"/>
          <w:color w:val="auto"/>
        </w:rPr>
        <w:t>Amounts reclassified from accumulated other comprehensive loss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6"/>
              </w:rPr>
              <w:t>Pension and Other</w:t>
            </w: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7"/>
              </w:rPr>
              <w:t>Unrealized Gains</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of</w:t>
            </w:r>
          </w:p>
        </w:tc>
        <w:tc>
          <w:tcPr>
            <w:tcW w:w="10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on Marketable</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Adjustments</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17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Benefit Plans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Securities</w:t>
            </w:r>
          </w:p>
        </w:tc>
        <w:tc>
          <w:tcPr>
            <w:tcW w:w="6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7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79"/>
              </w:rPr>
              <w:t>141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-829945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-409575</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Net other comprehensive income (loss)</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(234)</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5" w:lineRule="exact"/>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178</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5" w:lineRule="exact"/>
              <w:rPr>
                <w:sz w:val="20"/>
                <w:szCs w:val="20"/>
                <w:color w:val="auto"/>
              </w:rPr>
            </w:pPr>
            <w:r>
              <w:rPr>
                <w:rFonts w:ascii="Arial" w:cs="Arial" w:eastAsia="Arial" w:hAnsi="Arial"/>
                <w:sz w:val="18"/>
                <w:szCs w:val="18"/>
                <w:color w:val="auto"/>
              </w:rPr>
              <w:t>83</w:t>
            </w:r>
          </w:p>
        </w:tc>
        <w:tc>
          <w:tcPr>
            <w:tcW w:w="1020" w:type="dxa"/>
            <w:vAlign w:val="bottom"/>
            <w:gridSpan w:val="3"/>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  (1,152)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(2,963)</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2012</w:t>
      </w:r>
    </w:p>
    <w:p>
      <w:pPr>
        <w:spacing w:after="0" w:line="23" w:lineRule="exact"/>
        <w:rPr>
          <w:sz w:val="20"/>
          <w:szCs w:val="20"/>
          <w:color w:val="auto"/>
        </w:rPr>
      </w:pPr>
    </w:p>
    <w:p>
      <w:pPr>
        <w:ind w:left="660" w:right="80" w:hanging="215"/>
        <w:spacing w:after="0" w:line="254" w:lineRule="auto"/>
        <w:rPr>
          <w:sz w:val="20"/>
          <w:szCs w:val="20"/>
          <w:color w:val="auto"/>
        </w:rPr>
      </w:pPr>
      <w:r>
        <w:rPr>
          <w:rFonts w:ascii="Arial" w:cs="Arial" w:eastAsia="Arial" w:hAnsi="Arial"/>
          <w:sz w:val="18"/>
          <w:szCs w:val="18"/>
          <w:color w:val="auto"/>
        </w:rPr>
        <w:t>Other comprehensive income (loss) before reclassifications</w:t>
      </w:r>
    </w:p>
    <w:p>
      <w:pPr>
        <w:ind w:left="660" w:right="280" w:hanging="215"/>
        <w:spacing w:after="0" w:line="281" w:lineRule="auto"/>
        <w:rPr>
          <w:sz w:val="20"/>
          <w:szCs w:val="20"/>
          <w:color w:val="auto"/>
        </w:rPr>
      </w:pPr>
      <w:r>
        <w:rPr>
          <w:rFonts w:ascii="Arial" w:cs="Arial" w:eastAsia="Arial" w:hAnsi="Arial"/>
          <w:sz w:val="16"/>
          <w:szCs w:val="16"/>
          <w:color w:val="auto"/>
        </w:rPr>
        <w:t>Amounts reclassified from accumulated other comprehensive loss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6"/>
              </w:rPr>
              <w:t>Pension and Other</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Unrealized Gains</w:t>
            </w:r>
          </w:p>
        </w:tc>
        <w:tc>
          <w:tcPr>
            <w:tcW w:w="136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of</w:t>
            </w:r>
          </w:p>
        </w:tc>
        <w:tc>
          <w:tcPr>
            <w:tcW w:w="10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on Marketable</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Adjustments</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17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Benefit Plans</w:t>
            </w:r>
          </w:p>
        </w:tc>
        <w:tc>
          <w:tcPr>
            <w:tcW w:w="16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7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-829945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-409575</wp:posOffset>
            </wp:positionV>
            <wp:extent cx="72466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Net other comprehensive income (loss)</w:t>
            </w:r>
          </w:p>
        </w:tc>
        <w:tc>
          <w:tcPr>
            <w:tcW w:w="1480" w:type="dxa"/>
            <w:vAlign w:val="bottom"/>
            <w:gridSpan w:val="2"/>
            <w:shd w:val="clear" w:color="auto" w:fill="CCEEFF"/>
          </w:tcPr>
          <w:p>
            <w:pPr>
              <w:jc w:val="right"/>
              <w:ind w:right="660"/>
              <w:spacing w:after="0" w:line="205" w:lineRule="exact"/>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5" w:lineRule="exact"/>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June 30, 2012</w:t>
            </w: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  (1,086)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(2,434)</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second quarter of 2013, Schlumberger completed the wind down of its operations in Iran and, therefore, has classified the historical results of this business as a discontinued operation.</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During the second quarter of 2012, Schlumberger sold its Wilson distribution business to National Oilwell Varco Inc. (“NOV”) for $906 million in cash. During the third quarter of 2012, Schlumberger completed the sale of its 56% interest in CE Franklin Ltd. to NOV for $122 million in cash. As Wilson and CE Franklin comprised Schlumberger’s entire Distribution segment, the results of this segment were classified as discontinued operations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 (in millions):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2"/>
              </w:rPr>
              <w:t>Six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2012</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6"/>
              </w:rPr>
              <w:t>(124)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6"/>
              </w:rPr>
              <w:t>$ (63)</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w:t>
            </w:r>
          </w:p>
        </w:tc>
        <w:tc>
          <w:tcPr>
            <w:tcW w:w="96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7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gridSpan w:val="2"/>
          </w:tcPr>
          <w:p>
            <w:pPr>
              <w:jc w:val="right"/>
              <w:ind w:right="34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 net of tax</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Income (loss) from discontinued operations</w:t>
            </w:r>
          </w:p>
        </w:tc>
        <w:tc>
          <w:tcPr>
            <w:tcW w:w="26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5"/>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8"/>
              </w:rPr>
              <w:t>(124</w:t>
            </w:r>
          </w:p>
        </w:tc>
        <w:tc>
          <w:tcPr>
            <w:tcW w:w="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7"/>
              </w:rPr>
              <w:t>$ (69</w:t>
            </w:r>
          </w:p>
        </w:tc>
        <w:tc>
          <w:tcPr>
            <w:tcW w:w="320" w:type="dxa"/>
            <w:vAlign w:val="bottom"/>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60" w:type="dxa"/>
            <w:vAlign w:val="bottom"/>
            <w:vMerge w:val="restart"/>
          </w:tcPr>
          <w:p>
            <w:pPr>
              <w:jc w:val="right"/>
              <w:ind w:right="159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2.</w:t>
            </w:r>
          </w:p>
        </w:tc>
        <w:tc>
          <w:tcPr>
            <w:tcW w:w="180" w:type="dxa"/>
            <w:vAlign w:val="bottom"/>
          </w:tcPr>
          <w:p>
            <w:pPr>
              <w:spacing w:after="0"/>
              <w:rPr>
                <w:sz w:val="17"/>
                <w:szCs w:val="17"/>
                <w:color w:val="auto"/>
              </w:rPr>
            </w:pPr>
          </w:p>
        </w:tc>
        <w:tc>
          <w:tcPr>
            <w:tcW w:w="7460" w:type="dxa"/>
            <w:vAlign w:val="bottom"/>
            <w:gridSpan w:val="14"/>
          </w:tcPr>
          <w:p>
            <w:pPr>
              <w:ind w:left="320"/>
              <w:spacing w:after="0"/>
              <w:rPr>
                <w:sz w:val="20"/>
                <w:szCs w:val="20"/>
                <w:color w:val="auto"/>
              </w:rPr>
            </w:pPr>
            <w:r>
              <w:rPr>
                <w:rFonts w:ascii="Arial" w:cs="Arial" w:eastAsia="Arial" w:hAnsi="Arial"/>
                <w:sz w:val="18"/>
                <w:szCs w:val="18"/>
                <w:b w:val="1"/>
                <w:bCs w:val="1"/>
                <w:color w:val="auto"/>
                <w:w w:val="92"/>
              </w:rPr>
              <w:t>Management’s Discussion and Analysis of Financial Condition and Results of Operations.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10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b w:val="1"/>
                <w:bCs w:val="1"/>
                <w:color w:val="auto"/>
                <w:w w:val="89"/>
              </w:rPr>
              <w:t>Second Quarter 2013 Compared to First Quarter 2013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87"/>
              </w:rPr>
              <w:t>Product Groups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10"/>
            <w:vMerge w:val="restart"/>
          </w:tcPr>
          <w:p>
            <w:pPr>
              <w:jc w:val="right"/>
              <w:ind w:right="600"/>
              <w:spacing w:after="0"/>
              <w:rPr>
                <w:sz w:val="20"/>
                <w:szCs w:val="20"/>
                <w:color w:val="auto"/>
              </w:rPr>
            </w:pPr>
            <w:r>
              <w:rPr>
                <w:rFonts w:ascii="Arial" w:cs="Arial" w:eastAsia="Arial" w:hAnsi="Arial"/>
                <w:sz w:val="14"/>
                <w:szCs w:val="14"/>
                <w:b w:val="1"/>
                <w:bCs w:val="1"/>
                <w:color w:val="auto"/>
                <w:w w:val="98"/>
              </w:rPr>
              <w:t>Second Quarter 2013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10"/>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7"/>
          </w:tcPr>
          <w:p>
            <w:pPr>
              <w:jc w:val="right"/>
              <w:ind w:right="400"/>
              <w:spacing w:after="0" w:line="159" w:lineRule="exact"/>
              <w:rPr>
                <w:sz w:val="20"/>
                <w:szCs w:val="20"/>
                <w:color w:val="auto"/>
              </w:rPr>
            </w:pPr>
            <w:r>
              <w:rPr>
                <w:rFonts w:ascii="Arial" w:cs="Arial" w:eastAsia="Arial" w:hAnsi="Arial"/>
                <w:sz w:val="14"/>
                <w:szCs w:val="14"/>
                <w:color w:val="auto"/>
              </w:rPr>
              <w:t>First Quarter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Income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0"/>
              </w:rPr>
              <w:t>Taxes</w:t>
            </w:r>
          </w:p>
        </w:tc>
        <w:tc>
          <w:tcPr>
            <w:tcW w:w="80" w:type="dxa"/>
            <w:vAlign w:val="bottom"/>
          </w:tcPr>
          <w:p>
            <w:pPr>
              <w:spacing w:after="0"/>
              <w:rPr>
                <w:sz w:val="14"/>
                <w:szCs w:val="14"/>
                <w:color w:val="auto"/>
              </w:rPr>
            </w:pPr>
          </w:p>
        </w:tc>
        <w:tc>
          <w:tcPr>
            <w:tcW w:w="860" w:type="dxa"/>
            <w:vAlign w:val="bottom"/>
            <w:gridSpan w:val="4"/>
          </w:tcPr>
          <w:p>
            <w:pPr>
              <w:jc w:val="right"/>
              <w:ind w:right="34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Reservoir Characterization</w:t>
            </w:r>
          </w:p>
        </w:tc>
        <w:tc>
          <w:tcPr>
            <w:tcW w:w="4500" w:type="dxa"/>
            <w:vAlign w:val="bottom"/>
            <w:gridSpan w:val="12"/>
          </w:tcPr>
          <w:p>
            <w:pPr>
              <w:jc w:val="right"/>
              <w:ind w:right="400"/>
              <w:spacing w:after="0"/>
              <w:rPr>
                <w:sz w:val="20"/>
                <w:szCs w:val="20"/>
                <w:color w:val="auto"/>
              </w:rPr>
            </w:pPr>
            <w:r>
              <w:rPr>
                <w:rFonts w:ascii="Arial" w:cs="Arial" w:eastAsia="Arial" w:hAnsi="Arial"/>
                <w:sz w:val="18"/>
                <w:szCs w:val="18"/>
                <w:b w:val="1"/>
                <w:bCs w:val="1"/>
                <w:color w:val="auto"/>
              </w:rPr>
              <w:t>$ 3,014</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908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2,750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Drilling</w:t>
            </w:r>
          </w:p>
        </w:tc>
        <w:tc>
          <w:tcPr>
            <w:tcW w:w="4500" w:type="dxa"/>
            <w:vAlign w:val="bottom"/>
            <w:gridSpan w:val="1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Production</w:t>
            </w:r>
          </w:p>
        </w:tc>
        <w:tc>
          <w:tcPr>
            <w:tcW w:w="4500" w:type="dxa"/>
            <w:vAlign w:val="bottom"/>
            <w:gridSpan w:val="12"/>
          </w:tcPr>
          <w:p>
            <w:pPr>
              <w:jc w:val="right"/>
              <w:ind w:right="400"/>
              <w:spacing w:after="0"/>
              <w:rPr>
                <w:sz w:val="20"/>
                <w:szCs w:val="20"/>
                <w:color w:val="auto"/>
              </w:rPr>
            </w:pPr>
            <w:r>
              <w:rPr>
                <w:rFonts w:ascii="Arial" w:cs="Arial" w:eastAsia="Arial" w:hAnsi="Arial"/>
                <w:sz w:val="18"/>
                <w:szCs w:val="18"/>
                <w:b w:val="1"/>
                <w:bCs w:val="1"/>
                <w:color w:val="auto"/>
              </w:rPr>
              <w:t>3,926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625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3,759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Eliminations &amp; other</w:t>
            </w:r>
          </w:p>
        </w:tc>
        <w:tc>
          <w:tcPr>
            <w:tcW w:w="3520" w:type="dxa"/>
            <w:vAlign w:val="bottom"/>
            <w:gridSpan w:val="7"/>
            <w:shd w:val="clear" w:color="auto" w:fill="CCEEFF"/>
          </w:tcPr>
          <w:p>
            <w:pPr>
              <w:spacing w:after="0"/>
              <w:rPr>
                <w:sz w:val="18"/>
                <w:szCs w:val="18"/>
                <w:color w:val="auto"/>
              </w:rPr>
            </w:pPr>
          </w:p>
        </w:tc>
        <w:tc>
          <w:tcPr>
            <w:tcW w:w="9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11,182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2,278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10,570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500" w:type="dxa"/>
            <w:vAlign w:val="bottom"/>
            <w:gridSpan w:val="12"/>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11,182</w:t>
            </w:r>
          </w:p>
        </w:tc>
        <w:tc>
          <w:tcPr>
            <w:tcW w:w="1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2,673</w:t>
            </w:r>
          </w:p>
        </w:tc>
        <w:tc>
          <w:tcPr>
            <w:tcW w:w="9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10,570</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87"/>
              </w:rPr>
              <w:t>Geographic Areas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Second Quarter 2013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10"/>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7"/>
          </w:tcPr>
          <w:p>
            <w:pPr>
              <w:jc w:val="right"/>
              <w:ind w:right="440"/>
              <w:spacing w:after="0" w:line="159" w:lineRule="exact"/>
              <w:rPr>
                <w:sz w:val="20"/>
                <w:szCs w:val="20"/>
                <w:color w:val="auto"/>
              </w:rPr>
            </w:pPr>
            <w:r>
              <w:rPr>
                <w:rFonts w:ascii="Arial" w:cs="Arial" w:eastAsia="Arial" w:hAnsi="Arial"/>
                <w:sz w:val="14"/>
                <w:szCs w:val="14"/>
                <w:color w:val="auto"/>
              </w:rPr>
              <w:t>First Quarter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5"/>
              </w:rPr>
              <w:t>Revenue</w:t>
            </w:r>
          </w:p>
        </w:tc>
        <w:tc>
          <w:tcPr>
            <w:tcW w:w="1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940" w:type="dxa"/>
            <w:vAlign w:val="bottom"/>
            <w:gridSpan w:val="5"/>
          </w:tcPr>
          <w:p>
            <w:pPr>
              <w:jc w:val="right"/>
              <w:ind w:right="42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394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$ 3,357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662</w:t>
            </w:r>
          </w:p>
        </w:tc>
        <w:tc>
          <w:tcPr>
            <w:tcW w:w="42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8"/>
              </w:rPr>
              <w:t>3,290</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394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1,913</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1,904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Europe/CIS/Africa</w:t>
            </w:r>
          </w:p>
        </w:tc>
        <w:tc>
          <w:tcPr>
            <w:tcW w:w="394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3,125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643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8"/>
              </w:rPr>
              <w:t>2,851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Middle East &amp; Asia</w:t>
            </w:r>
          </w:p>
        </w:tc>
        <w:tc>
          <w:tcPr>
            <w:tcW w:w="394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2,667</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655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2,406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Eliminations &amp; other</w:t>
            </w:r>
          </w:p>
        </w:tc>
        <w:tc>
          <w:tcPr>
            <w:tcW w:w="3360" w:type="dxa"/>
            <w:vAlign w:val="bottom"/>
            <w:gridSpan w:val="6"/>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4"/>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7"/>
              </w:rPr>
              <w:t>$</w:t>
            </w:r>
            <w:r>
              <w:rPr>
                <w:rFonts w:ascii="Arial" w:cs="Arial" w:eastAsia="Arial" w:hAnsi="Arial"/>
                <w:sz w:val="18"/>
                <w:szCs w:val="18"/>
                <w:b w:val="1"/>
                <w:bCs w:val="1"/>
                <w:color w:val="auto"/>
                <w:w w:val="77"/>
              </w:rPr>
              <w:t xml:space="preserve"> 11,182</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2,673</w:t>
            </w:r>
          </w:p>
        </w:tc>
        <w:tc>
          <w:tcPr>
            <w:tcW w:w="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and interest expense included in the Product Group and Geographical Area results.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Schlumberger’s 2010 acquisition of Smith.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Second-quarter revenue of $11.18 billion was up 6% sequentially, with International Area revenue of $7.70 billion growing $543 million, or 8% sequentially, while North America Area revenue of $3.36 billion increased $67 million, or 2% sequentially.</w:t>
      </w:r>
    </w:p>
    <w:p>
      <w:pPr>
        <w:spacing w:after="0" w:line="13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By segment, Reservoir Characterization Group revenue of $3.01 billion grew 10% sequentially while Drilling Group revenue of $4.29 billion increased 4%. These increases were due to seasonal rebounds, market share gains and higher exploration activity in both offshore and key international land markets, particularly for Wireline technologies. Other Technologies that gained significantly during the quarter were WesternGeco, Schlumberger Information Solutions (SIS), Drilling &amp; Measurements and M-I SWACO. Despite the seasonal decline in Western Canada as a result of the spring break-up, the Production Group posted a sequential increase of 4%. Improving industry utilization of pressure pumping capacity in US land, increasing Well Intervention coiled tubing activity worldwide, and strong international sales of Completions products contributed to growth.</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Geographically, the Middle East &amp; Asia Area led the sequential increase with revenue of $2.7 billion increasing 11%, mainly from a seasonal rebound of exploration and drilling activity in China and Japan, higher WesternGeco UniQ* land seismic productivity across the region, and continued growth across a diversified portfolio of projects and activities in Saudi Arabia and Iraq. Improved WesternGeco marine vessel utilization and robust drilling activity in the Australasia GeoMarket also contributed to growth. Europe/CIS/Africa revenue of $3.1 billion increased 10% from higher WesternGeco multiclient sales ahead of licensing awards in Norway, and the seasonal pick-up of drilling and exploration activity in Russia and the North Sea. Sub-Saharan Africa revenue also grew sequentially through increased exploration activity in the Gulf of Guinea while activity in Angola was subdued due to project delays. Latin America revenue of $1.9 billion grew slightly as the effect of strong Integrated Project Management (IPM) activity in Argentina was largely offset by a decline in WesternGeco marine utilization following the planned transit of vessels out of Brazil. North America revenue of $3.4 billion increased 2%, with North America offshore revenue up due to robust Wireline deepwater activity and WesternGeco. US land posted double-digit growth, but this was offset by the seasonal decline in Western Canada following the spring break-up. While US land rig count grew only marginally, well and stage counts increased through drilling efficiency resulting in improved industry utilization of pressure pumping capacity.</w:t>
      </w:r>
    </w:p>
    <w:p>
      <w:pPr>
        <w:spacing w:after="0" w:line="12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Second-quarter pretax operating income of $2.28 billion was up 16% sequentially. International pretax operating income of $1.69 billion increased 18% sequentially, while North America pretax operating income of $662 million increased 6% sequentially.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Sequentially, pretax operating margin of 20.4% increased 178 basis points (bps), as International pretax operating margin expanded 202 bps to 22.0% Middle East &amp; Asia posted a 178 bps sequential margin improvement to reach 24.6%, Europe/CIS/Africa increased by 275 bps to 20.6%, and Latin America improved by 107 bps to 20.6%. The expansion in International margins was due to seasonal activity rebounds combined with strong results in Sub-Saharan Africa and the Middle East &amp; Asia Area. Increased high-margin exploration, seismic and deepwater activities also helped boost international margins. Despite the effect of the seasonal spring break-up in Western Canada, North America pretax operating margin increased 65 bps sequentially to 19.7%. US land margin expanded on improving efficiency, better utilization and lower raw material costs in pressure pumping, while North America offshore margin increased due to robust Wireline deepwater activity and WesternGeco.</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Sequentially by Product Group, Reservoir Characterization Group pretax operating margin expanded 380 bps to 30.1% due to the strong WesternGeco and Wireline results. The pretax operating margin of the Drilling Group increased 97 bps to 18.7% through improved Drilling &amp; Measurements performance and increased profitability on IPM projects in the Middle East and Latin America. Production Group pretax operating margin increased 116 bps to 15.9% on improved profitability in Well Services as pressure pumping utilization and efficiency improved in US land.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Second-quarter revenue of $3.01 billion increased 10% over the prior quarter. Pretax operating income of $908 million was 25% higher than the first quarter. Sequentially, the revenue increase was driven primarily by increased use of Wireline services as a result of strong exploration activity in the US Gulf of Mexico, Brazil, Sub-Saharan Africa and the Middle East. Revenue in Russia and China also grew sequentially following seasonal activity rebounds. WesternGeco revenue increased sequentially from higher multiclient sales ahead of licensing awards in Norway, the seasonal return of marine vessel activity in the North Sea, and higher UniQ* land seismic productivity in Saudi Arabia and Kuwait. SIS revenue increased also from higher product sales and software maintenance in Latin America and Europe/CIS/Africa.</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of 30.1% increased 380 bps sequentially on strong, high-margin WesternGeco multiclient sales and robust Wireline deepwater activity.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Second-quarter revenue of $4.29 billion was up 4% sequentially. Pretax operating income of $804 million was 10% higher sequentially.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Sequentially, revenue increased primarily on strong international and offshore activity for Drilling &amp; Measurements and M-I SWACO Technologies, mainly in Russia and the Middle East &amp; Asia Area. In addition, both Drilling &amp; Measurements and M-I SWACO posted strong results in US land on higher activity, which was largely offset by the effect of the seasonal spring break-up in Western Canada.</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Sequentially, pretax operating margin grew 97 bps to 18.7% from increased land activity for Drilling &amp; Measurements in the US, Russia and the Middle East, and improved profitability on IPM projects in the Middle East and Latin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Second-quarter revenue of $3.93 billion increased 4% sequentially. Pretax operating income of $625 million was 13% higher versus the prior quarter. Despite the seasonal decline in Western Canada as a result of the spring break-up, the Group posted overall sequential growth due to improving industry utilization of pressure pumping capacity in US land, increasing Well Intervention global coiled tubing activity, and strong international sales of Completions products. While US land rig count grew only marginally, well and stage counts increased through drilling efficiency, resulting in improved industry utilization of pressure pumping capacity. Although pricing remained competitive, the pace of decline has moderated sequentially.</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Pretax operating margin of 15.9% increased 116 bps sequentially. Sequentially, margin expanded primarily on improved profitability for Well Services technologies as the result of improving efficiency, better utilization and lower raw material costs in pressure pumping in US land despite competitive pricing. In addition, Completions and Well Intervention Technologies posted improved international profitability.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Second Quarter 2013 Compared to Second Quarter 2012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6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Second Quarter 2013</w:t>
            </w:r>
          </w:p>
        </w:tc>
        <w:tc>
          <w:tcPr>
            <w:tcW w:w="220" w:type="dxa"/>
            <w:vAlign w:val="bottom"/>
          </w:tcPr>
          <w:p>
            <w:pPr>
              <w:spacing w:after="0"/>
              <w:rPr>
                <w:sz w:val="14"/>
                <w:szCs w:val="14"/>
                <w:color w:val="auto"/>
              </w:rPr>
            </w:pPr>
          </w:p>
        </w:tc>
        <w:tc>
          <w:tcPr>
            <w:tcW w:w="16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5"/>
          </w:tcPr>
          <w:p>
            <w:pPr>
              <w:jc w:val="right"/>
              <w:ind w:right="320"/>
              <w:spacing w:after="0" w:line="159" w:lineRule="exact"/>
              <w:rPr>
                <w:sz w:val="20"/>
                <w:szCs w:val="20"/>
                <w:color w:val="auto"/>
              </w:rPr>
            </w:pPr>
            <w:r>
              <w:rPr>
                <w:rFonts w:ascii="Arial" w:cs="Arial" w:eastAsia="Arial" w:hAnsi="Arial"/>
                <w:sz w:val="14"/>
                <w:szCs w:val="14"/>
                <w:color w:val="auto"/>
              </w:rPr>
              <w:t>Second Quarter 2012</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Before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Taxes</w:t>
            </w:r>
          </w:p>
        </w:tc>
        <w:tc>
          <w:tcPr>
            <w:tcW w:w="22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3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$ 3,014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908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$ 2,714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749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3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4,292</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3,977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3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3,926</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625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3,718</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2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2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664</w:t>
            </w:r>
          </w:p>
        </w:tc>
        <w:tc>
          <w:tcPr>
            <w:tcW w:w="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3140" w:type="dxa"/>
            <w:vAlign w:val="bottom"/>
            <w:gridSpan w:val="8"/>
            <w:shd w:val="clear" w:color="auto" w:fill="CCEEFF"/>
          </w:tcPr>
          <w:p>
            <w:pPr>
              <w:jc w:val="right"/>
              <w:ind w:right="40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11,182</w:t>
            </w:r>
          </w:p>
        </w:tc>
        <w:tc>
          <w:tcPr>
            <w:tcW w:w="1020" w:type="dxa"/>
            <w:vAlign w:val="bottom"/>
            <w:gridSpan w:val="4"/>
            <w:shd w:val="clear" w:color="auto" w:fill="CCEEFF"/>
          </w:tcPr>
          <w:p>
            <w:pPr>
              <w:jc w:val="right"/>
              <w:ind w:right="42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2,673</w:t>
            </w:r>
          </w:p>
        </w:tc>
        <w:tc>
          <w:tcPr>
            <w:tcW w:w="900" w:type="dxa"/>
            <w:vAlign w:val="bottom"/>
            <w:gridSpan w:val="4"/>
            <w:shd w:val="clear" w:color="auto" w:fill="CCEEFF"/>
          </w:tcPr>
          <w:p>
            <w:pPr>
              <w:jc w:val="right"/>
              <w:ind w:right="240"/>
              <w:spacing w:after="0" w:line="203"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10,341</w:t>
            </w:r>
          </w:p>
        </w:tc>
        <w:tc>
          <w:tcPr>
            <w:tcW w:w="8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Arial" w:cs="Arial" w:eastAsia="Arial" w:hAnsi="Arial"/>
                <w:sz w:val="18"/>
                <w:szCs w:val="18"/>
                <w:b w:val="1"/>
                <w:bCs w:val="1"/>
                <w:color w:val="auto"/>
              </w:rPr>
              <w:t>Geographic Areas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Second Quarter 2013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8"/>
            <w:vMerge w:val="continue"/>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Second Quarter 2012</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rPr>
              <w:t>Revenue</w:t>
            </w:r>
          </w:p>
        </w:tc>
        <w:tc>
          <w:tcPr>
            <w:tcW w:w="10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90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25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$ 3,357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  662</w:t>
            </w:r>
          </w:p>
        </w:tc>
        <w:tc>
          <w:tcPr>
            <w:tcW w:w="420" w:type="dxa"/>
            <w:vAlign w:val="bottom"/>
          </w:tcPr>
          <w:p>
            <w:pPr>
              <w:spacing w:after="0"/>
              <w:rPr>
                <w:sz w:val="18"/>
                <w:szCs w:val="18"/>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w w:val="93"/>
              </w:rPr>
              <w:t>$ 3,376</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693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25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25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3,125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643</w:t>
            </w:r>
          </w:p>
        </w:tc>
        <w:tc>
          <w:tcPr>
            <w:tcW w:w="420" w:type="dxa"/>
            <w:vAlign w:val="bottom"/>
          </w:tcPr>
          <w:p>
            <w:pPr>
              <w:spacing w:after="0"/>
              <w:rPr>
                <w:sz w:val="18"/>
                <w:szCs w:val="18"/>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2,924</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25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2,667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655</w:t>
            </w: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2,091</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45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2000" w:type="dxa"/>
            <w:vAlign w:val="bottom"/>
            <w:gridSpan w:val="3"/>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(76)</w:t>
            </w:r>
          </w:p>
        </w:tc>
        <w:tc>
          <w:tcPr>
            <w:tcW w:w="420" w:type="dxa"/>
            <w:vAlign w:val="bottom"/>
          </w:tcPr>
          <w:p>
            <w:pPr>
              <w:spacing w:after="0"/>
              <w:rPr>
                <w:sz w:val="19"/>
                <w:szCs w:val="19"/>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11,182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7"/>
              </w:rPr>
              <w:t>$</w:t>
            </w:r>
            <w:r>
              <w:rPr>
                <w:rFonts w:ascii="Arial" w:cs="Arial" w:eastAsia="Arial" w:hAnsi="Arial"/>
                <w:sz w:val="18"/>
                <w:szCs w:val="18"/>
                <w:b w:val="1"/>
                <w:bCs w:val="1"/>
                <w:color w:val="auto"/>
                <w:w w:val="77"/>
              </w:rPr>
              <w:t xml:space="preserve"> 11,182</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2,673</w:t>
            </w:r>
          </w:p>
        </w:tc>
        <w:tc>
          <w:tcPr>
            <w:tcW w:w="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10,341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Second-quarter 2013 revenue of $11.2 billion was 8% higher than the same period last year with International Area revenue increasing 12% while North America Area was essentially flat.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Internationally, higher exploration and development activities in a number of GeoMarkets both offshore and in key land markets contributed to the increase. The increase was led by the Middle East &amp; Asia Area mainly due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robust results in Saudi Arabia and Iraq, and sustained land and offshore drilling activity in the Australasia and China GeoMarkets. Europe/CIS/Africa Area increased, on strong development, exploration and seismic activities in the Sub-Saharan Africa region, while the Russia and Central Asia region saw strong land activity in West Siberia and robust offshore projects in Sakhalin. Latin America was also higher due to solid progress on a Schlumberger Production Management (SPM) project in Ecuador and strong IPM results in Argentina.</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North America revenue was essentially flat as a decline in land revenue was largely offset by the increase in offshore revenue. The decline in land revenue resulted from a reduction in rig count combined with pricing weakness in the areas of drilling, stimulation and wireline. The improvement in offshore revenue resulted from higher drilling and exploration activities.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 Product Group basis, Reservoir Characterization and Drilling Group revenue increased 11% and 8%, respectively as a result of robust exploration and development activities in a number of international GeoMarkets and in North America offshore, particularly in the US Gulf of Mexico. Production Group revenue increased 6%, mostly from Well Intervention and Completions Technologies in the international GeoMarkets.</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Second-quarter 2013 pretax operating margin of 20.4% grew 66 bps versus the same period last year, as International pretax operating margin expanded 173 bps to 22.0% while North America pretax operating margin declined 83 bps to 19.7%. The expansion in International margins was due to increased high-margin exploration, seismic and deepwater activities while North America margin contraction was due to pricing weakness.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Second-quarter 2013 revenue of $3.01 billion was 11.1% higher than the same period last year led by WesternGeco, Testing Services and Wireline Technologies, as a result of market share gains and higher exploration activity in both offshore and key international land markets.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Year-on-year, pretax operating margin increased 256 bps to 30.1%, largely due to the higher-margin exploration activities that benefited WesternGeco, Testing Services, and Wireline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Second-quarter 2013 revenue of $4.29 billion was 8% higher than the previous year primarily due to the robust demand for Drilling &amp; Measurements services as offshore drilling activity strengthened in the US Gulf of Mexico, Sub-Sahara Africa, Russia and the Middle East &amp; Asia Area and as rig count increased in key international land markets, namely in Saudi Arabia, China and Australia. M-I SWACO and Drilling Tools &amp; Remedial Technologies expanded across all Areas and IPM grew on projects in Iraq, Australia and Argentina.</w:t>
      </w:r>
    </w:p>
    <w:p>
      <w:pPr>
        <w:spacing w:after="0" w:line="143" w:lineRule="exact"/>
        <w:rPr>
          <w:sz w:val="20"/>
          <w:szCs w:val="20"/>
          <w:color w:val="auto"/>
        </w:rPr>
      </w:pPr>
    </w:p>
    <w:p>
      <w:pPr>
        <w:jc w:val="both"/>
        <w:ind w:right="500"/>
        <w:spacing w:after="0" w:line="332" w:lineRule="auto"/>
        <w:rPr>
          <w:sz w:val="20"/>
          <w:szCs w:val="20"/>
          <w:color w:val="auto"/>
        </w:rPr>
      </w:pPr>
      <w:r>
        <w:rPr>
          <w:rFonts w:ascii="Arial" w:cs="Arial" w:eastAsia="Arial" w:hAnsi="Arial"/>
          <w:sz w:val="16"/>
          <w:szCs w:val="16"/>
          <w:color w:val="auto"/>
        </w:rPr>
        <w:t>Year-on-year, pretax operating margin increased 44 bps to 18.7% primarily due to the increase in higher-margin activities of Drilling &amp; Measurements that benefited from higher-margin exploration activities in North America offshore and in the international markets and improved profitability on IPM projects.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Second-quarter 2013 revenue of $3.93 billion increased 6% year-on-year on increasing Well Intervention global coiled tubing activity and strong international sales of Completion products and Well Services technologies. Well Services revenue in North America declined on pricing weakness.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23 bps to 15.9% mainly due to decline in margins for Well Services technologies, primarily in North America, as a result of pricing pressure and cost inflation.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Six Months 2013 Compared to Six Months 2012</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8"/>
            <w:vMerge w:val="restart"/>
          </w:tcPr>
          <w:p>
            <w:pPr>
              <w:jc w:val="right"/>
              <w:ind w:right="740"/>
              <w:spacing w:after="0"/>
              <w:rPr>
                <w:sz w:val="20"/>
                <w:szCs w:val="20"/>
                <w:color w:val="auto"/>
              </w:rPr>
            </w:pPr>
            <w:r>
              <w:rPr>
                <w:rFonts w:ascii="Arial" w:cs="Arial" w:eastAsia="Arial" w:hAnsi="Arial"/>
                <w:sz w:val="14"/>
                <w:szCs w:val="14"/>
                <w:b w:val="1"/>
                <w:bCs w:val="1"/>
                <w:color w:val="auto"/>
              </w:rPr>
              <w:t>Six Months 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8"/>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440"/>
              <w:spacing w:after="0" w:line="159" w:lineRule="exact"/>
              <w:rPr>
                <w:sz w:val="20"/>
                <w:szCs w:val="20"/>
                <w:color w:val="auto"/>
              </w:rPr>
            </w:pPr>
            <w:r>
              <w:rPr>
                <w:rFonts w:ascii="Arial" w:cs="Arial" w:eastAsia="Arial" w:hAnsi="Arial"/>
                <w:sz w:val="14"/>
                <w:szCs w:val="14"/>
                <w:color w:val="auto"/>
              </w:rPr>
              <w:t>Six Months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Income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Taxes</w:t>
            </w:r>
          </w:p>
        </w:tc>
        <w:tc>
          <w:tcPr>
            <w:tcW w:w="80" w:type="dxa"/>
            <w:vAlign w:val="bottom"/>
          </w:tcPr>
          <w:p>
            <w:pPr>
              <w:spacing w:after="0"/>
              <w:rPr>
                <w:sz w:val="14"/>
                <w:szCs w:val="14"/>
                <w:color w:val="auto"/>
              </w:rPr>
            </w:pPr>
          </w:p>
        </w:tc>
        <w:tc>
          <w:tcPr>
            <w:tcW w:w="860" w:type="dxa"/>
            <w:vAlign w:val="bottom"/>
            <w:gridSpan w:val="4"/>
          </w:tcPr>
          <w:p>
            <w:pPr>
              <w:jc w:val="right"/>
              <w:ind w:right="34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314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rPr>
              <w:t>$ 5,764</w:t>
            </w:r>
          </w:p>
        </w:tc>
        <w:tc>
          <w:tcPr>
            <w:tcW w:w="10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$1,633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5,231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314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8,405</w:t>
            </w: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7,737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314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rPr>
              <w:t>7,684</w:t>
            </w:r>
          </w:p>
        </w:tc>
        <w:tc>
          <w:tcPr>
            <w:tcW w:w="10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1,181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7,241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2160" w:type="dxa"/>
            <w:vAlign w:val="bottom"/>
            <w:gridSpan w:val="4"/>
            <w:shd w:val="clear" w:color="auto" w:fill="CCEEFF"/>
          </w:tcPr>
          <w:p>
            <w:pPr>
              <w:spacing w:after="0"/>
              <w:rPr>
                <w:sz w:val="18"/>
                <w:szCs w:val="18"/>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(101)</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21,752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4,243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20,150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14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21,752</w:t>
            </w:r>
          </w:p>
        </w:tc>
        <w:tc>
          <w:tcPr>
            <w:tcW w:w="1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4,291</w:t>
            </w:r>
          </w:p>
        </w:tc>
        <w:tc>
          <w:tcPr>
            <w:tcW w:w="9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20,150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140" w:type="dxa"/>
            <w:vAlign w:val="bottom"/>
            <w:gridSpan w:val="8"/>
          </w:tcPr>
          <w:p>
            <w:pPr>
              <w:jc w:val="right"/>
              <w:ind w:right="1780"/>
              <w:spacing w:after="0"/>
              <w:rPr>
                <w:sz w:val="20"/>
                <w:szCs w:val="20"/>
                <w:color w:val="auto"/>
              </w:rPr>
            </w:pPr>
            <w:r>
              <w:rPr>
                <w:rFonts w:ascii="Arial" w:cs="Arial" w:eastAsia="Arial" w:hAnsi="Arial"/>
                <w:sz w:val="18"/>
                <w:szCs w:val="18"/>
                <w:b w:val="1"/>
                <w:bCs w:val="1"/>
                <w:color w:val="auto"/>
                <w:w w:val="86"/>
              </w:rPr>
              <w:t>Geographic Areas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8"/>
            <w:vMerge w:val="restart"/>
          </w:tcPr>
          <w:p>
            <w:pPr>
              <w:jc w:val="right"/>
              <w:ind w:right="880"/>
              <w:spacing w:after="0"/>
              <w:rPr>
                <w:sz w:val="20"/>
                <w:szCs w:val="20"/>
                <w:color w:val="auto"/>
              </w:rPr>
            </w:pPr>
            <w:r>
              <w:rPr>
                <w:rFonts w:ascii="Arial" w:cs="Arial" w:eastAsia="Arial" w:hAnsi="Arial"/>
                <w:sz w:val="14"/>
                <w:szCs w:val="14"/>
                <w:b w:val="1"/>
                <w:bCs w:val="1"/>
                <w:color w:val="auto"/>
              </w:rPr>
              <w:t>Six Months 2013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8"/>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480"/>
              <w:spacing w:after="0" w:line="159" w:lineRule="exact"/>
              <w:rPr>
                <w:sz w:val="20"/>
                <w:szCs w:val="20"/>
                <w:color w:val="auto"/>
              </w:rPr>
            </w:pPr>
            <w:r>
              <w:rPr>
                <w:rFonts w:ascii="Arial" w:cs="Arial" w:eastAsia="Arial" w:hAnsi="Arial"/>
                <w:sz w:val="14"/>
                <w:szCs w:val="14"/>
                <w:color w:val="auto"/>
              </w:rPr>
              <w:t>Six Months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5"/>
              </w:rPr>
              <w:t>Revenue</w:t>
            </w:r>
          </w:p>
        </w:tc>
        <w:tc>
          <w:tcPr>
            <w:tcW w:w="10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940" w:type="dxa"/>
            <w:vAlign w:val="bottom"/>
            <w:gridSpan w:val="5"/>
          </w:tcPr>
          <w:p>
            <w:pPr>
              <w:jc w:val="right"/>
              <w:ind w:right="420"/>
              <w:spacing w:after="0"/>
              <w:rPr>
                <w:sz w:val="20"/>
                <w:szCs w:val="20"/>
                <w:color w:val="auto"/>
              </w:rPr>
            </w:pPr>
            <w:r>
              <w:rPr>
                <w:rFonts w:ascii="Arial" w:cs="Arial" w:eastAsia="Arial" w:hAnsi="Arial"/>
                <w:sz w:val="14"/>
                <w:szCs w:val="14"/>
                <w:color w:val="auto"/>
                <w:w w:val="89"/>
              </w:rPr>
              <w:t>Revenue</w:t>
            </w:r>
          </w:p>
        </w:tc>
        <w:tc>
          <w:tcPr>
            <w:tcW w:w="2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25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$ 6,647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$1,289</w:t>
            </w:r>
          </w:p>
        </w:tc>
        <w:tc>
          <w:tcPr>
            <w:tcW w:w="42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8"/>
              </w:rPr>
              <w:t>6,809</w:t>
            </w: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25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3,817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3,623</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25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5,976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8"/>
              </w:rPr>
              <w:t>5,501</w:t>
            </w: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25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4,046</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25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239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5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21,752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4,243</w:t>
            </w:r>
          </w:p>
        </w:tc>
        <w:tc>
          <w:tcPr>
            <w:tcW w:w="4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20,150</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(348)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21,752</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4,291</w:t>
            </w:r>
          </w:p>
        </w:tc>
        <w:tc>
          <w:tcPr>
            <w:tcW w:w="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20,150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Six-month 2013 revenue of $21.8 billion increased 8% versus the same period last year with International Area revenue 13% higher while North America Area revenue declined 2%.</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Internationally, higher exploration and development activities in a number of GeoMarkets both offshore and in key land markets contributed to the increase. The increase was led by the Middle East &amp; Asia Area mainly due to robust results in Saudi Arabia and Iraq, and sustained land and offshore drilling activity in the Australasia and China GeoMarkets. Europe/CIS/Africa Area increased on strong development, exploration and seismic activities in the Sub-Saharan Africa region while the Russia and Central Asia region saw strong land activity in West Siberia and robust offshore projects in Sakhalin. Latin America was also higher due to solid progress on a SPM project in Ecuador and strong IPM results in Argentina.</w:t>
      </w:r>
    </w:p>
    <w:p>
      <w:pPr>
        <w:spacing w:after="0" w:line="1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decline in North America revenue was due to a reduction in rig count and pricing weakness in the areas of drilling, stimulation and wireline, although the pace of the downward pricing trend slowed during the second quarter. This decrease was offset, in part by an increase in offshore revenue as a result of higher drilling and exploration activities.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 Product Group basis, Reservoir Characterization and Drilling Group revenue increased 10% and 9%, respectively, as a result of robust exploration and development activities in a number of international GeoMarkets and in North America offshore, particularly in the US Gulf of Mexico. Production Group revenue increased 6%, mostly from Well Intervention, Completions, Artificial Lift and Well Services Technologies in the international GeoMarkets.</w:t>
      </w:r>
    </w:p>
    <w:p>
      <w:pPr>
        <w:spacing w:after="0" w:line="107"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Year-to-date 2013 pretax operating margin of 19.5% was flat versus the same period last year, as International pretax operating margin expanded 156 bps to 21.0% while North America pretax operating margin contracted 220 bps to 19.4%. The expansion in International margins was due to increased high-margin exploration, seismic and deepwater activities while the North America margin contraction was due to pricing weakness.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Six-month 2013 revenue of $5.76 billion was 10.2% higher than the same period last year, led by Testing Services, WesternGeco, SIS and Wireline Technologies, as a result of market share gains and higher exploration activity in both offshore and key international land markets.</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Year-on-year, pretax operating margin increased 186 bps to 28.3%, largely due to the higher-margin exploration activities that benefited Testing Services, WesternGeco and Wireline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Six-month 2013 revenue of $8.40 billion was 9% higher than the previous year, primarily due to the robust demand for Drilling &amp; Measurements services as offshore drilling activity strengthened in the US Gulf of Mexico, Sub-Sahara Africa, Russia and the Middle East &amp; Asia Area and as rig count increased in key international land markets, namely in Saudi Arabia, China and Australia. Drilling Tools &amp; Remedial and M-I SWACO Technologies expanded across all Areas and IPM grew on projects in Iraq, Australia and Argentina.</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Year-on-year, pretax operating margin increased 49 basis points to 18.3% primarily due to the increase in higher-margin activities of Drilling &amp; Measurements that benefited from exploration activities in North America offshore and in the international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Six-month 2013 revenue of $7.68 billion increased 6% year-on-year on increasing Well Intervention global coiled tubing activity and strong international sales of Completions products and Well Services technologies. Subsea and SPM also contributed to the growth. Well Services revenue in North America declined on pricing weakness.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133 bps to 15.4% mainly due to decline in margins for Well Services technologies, primarily in North America, as a result of pricing pressure and cost inflation.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second quarter and six months ended June 30, 2013 and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w w:val="93"/>
              </w:rPr>
              <w:t>(Stated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7200" w:type="dxa"/>
            <w:vAlign w:val="bottom"/>
          </w:tcPr>
          <w:p>
            <w:pPr>
              <w:spacing w:after="0"/>
              <w:rPr>
                <w:sz w:val="13"/>
                <w:szCs w:val="13"/>
                <w:color w:val="auto"/>
              </w:rPr>
            </w:pPr>
          </w:p>
        </w:tc>
        <w:tc>
          <w:tcPr>
            <w:tcW w:w="10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Second Quarter</w:t>
            </w:r>
          </w:p>
        </w:tc>
        <w:tc>
          <w:tcPr>
            <w:tcW w:w="20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12"/>
              <w:spacing w:after="0" w:line="159" w:lineRule="exact"/>
              <w:rPr>
                <w:sz w:val="20"/>
                <w:szCs w:val="20"/>
                <w:color w:val="auto"/>
              </w:rPr>
            </w:pPr>
            <w:r>
              <w:rPr>
                <w:rFonts w:ascii="Arial" w:cs="Arial" w:eastAsia="Arial" w:hAnsi="Arial"/>
                <w:sz w:val="14"/>
                <w:szCs w:val="14"/>
                <w:color w:val="auto"/>
                <w:w w:val="89"/>
              </w:rPr>
              <w:t>Six Months</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2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54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$ 24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92</w:t>
            </w:r>
          </w:p>
        </w:tc>
        <w:tc>
          <w:tcPr>
            <w:tcW w:w="10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60" w:type="dxa"/>
            <w:vAlign w:val="bottom"/>
            <w:gridSpan w:val="4"/>
          </w:tcPr>
          <w:p>
            <w:pPr>
              <w:jc w:val="right"/>
              <w:ind w:right="820"/>
              <w:spacing w:after="0"/>
              <w:rPr>
                <w:sz w:val="20"/>
                <w:szCs w:val="20"/>
                <w:color w:val="auto"/>
              </w:rPr>
            </w:pPr>
            <w:r>
              <w:rPr>
                <w:rFonts w:ascii="Arial" w:cs="Arial" w:eastAsia="Arial" w:hAnsi="Arial"/>
                <w:sz w:val="14"/>
                <w:szCs w:val="14"/>
                <w:color w:val="auto"/>
              </w:rPr>
              <w:t>Second Quarter</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9"/>
              </w:rPr>
              <w:t>Six Months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2013</w:t>
            </w:r>
          </w:p>
        </w:tc>
        <w:tc>
          <w:tcPr>
            <w:tcW w:w="6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6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engineering</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2.6%</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w:t>
            </w:r>
          </w:p>
        </w:tc>
      </w:tr>
      <w:tr>
        <w:trPr>
          <w:trHeight w:val="228"/>
        </w:trPr>
        <w:tc>
          <w:tcPr>
            <w:tcW w:w="72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0.9%</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w:t>
            </w:r>
          </w:p>
        </w:tc>
      </w:tr>
    </w:tbl>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effective tax rate for the second quarter of 2013 was 16.8% compared to 24.7% for the same period of 2012. The effective tax rate for the second quarter of 2013 was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 second quarter 2013 charges and credits, the effective tax rate was 23.3%.</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effective tax rate for the six months ended June 30, 2013 was 19.9% compared to 24.4% for the same period of the prior year. The effective tax rate for the six months ended June 30, 2013 was also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 charges and credits, the effective tax rate was 23.5%</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the effective tax rate excluding charges and credits for both the three- and six-month periods ended June 30, 2013 as compared to the same periods of the prior year, is primarily attributable to the fact that Schlumberger generated a smaller percentage of its pretax earnings in North America in 2013 as compared to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Schlumberger recorded the following charges and credits during the second quarter and the first six months of 2013 and 2012.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2013 charges and credits: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i w:val="1"/>
                <w:iCs w:val="1"/>
                <w:color w:val="auto"/>
              </w:rPr>
              <w:t>(Stated in millions)</w:t>
            </w:r>
          </w:p>
        </w:tc>
        <w:tc>
          <w:tcPr>
            <w:tcW w:w="2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25"/>
        </w:trPr>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Pretax</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2"/>
              </w:rPr>
              <w:t>Tax</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84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formation of OneSubsea joint venture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3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i w:val="1"/>
                <w:iCs w:val="1"/>
                <w:color w:val="auto"/>
                <w:w w:val="87"/>
              </w:rPr>
              <w:t>Gain on formation of OneSubsea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during the first six months of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00"/>
              <w:spacing w:after="0"/>
              <w:rPr>
                <w:sz w:val="20"/>
                <w:szCs w:val="20"/>
                <w:color w:val="auto"/>
              </w:rPr>
            </w:pPr>
            <w:r>
              <w:rPr>
                <w:rFonts w:ascii="Arial" w:cs="Arial" w:eastAsia="Arial" w:hAnsi="Arial"/>
                <w:sz w:val="14"/>
                <w:szCs w:val="14"/>
                <w:i w:val="1"/>
                <w:iCs w:val="1"/>
                <w:color w:val="auto"/>
              </w:rPr>
              <w:t>(Stated in millions)</w:t>
            </w: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25"/>
        </w:trPr>
        <w:tc>
          <w:tcPr>
            <w:tcW w:w="5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Pretax</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2"/>
              </w:rPr>
              <w:t>Tax</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2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920" w:type="dxa"/>
            <w:vAlign w:val="bottom"/>
            <w:gridSpan w:val="2"/>
          </w:tcPr>
          <w:p>
            <w:pPr>
              <w:ind w:left="140"/>
              <w:spacing w:after="0" w:line="159" w:lineRule="exact"/>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formation of OneSubsea joint venture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Currency devaluation loss in Venezuela</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Schlumberger recorded the following merger and integration-related charges related to its 2010 acquisitions of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i w:val="1"/>
                <w:iCs w:val="1"/>
                <w:color w:val="auto"/>
                <w:w w:val="97"/>
              </w:rPr>
              <w:t>(Stated in millions)</w:t>
            </w:r>
          </w:p>
        </w:tc>
      </w:tr>
      <w:tr>
        <w:trPr>
          <w:trHeight w:val="161"/>
        </w:trPr>
        <w:tc>
          <w:tcPr>
            <w:tcW w:w="3740" w:type="dxa"/>
            <w:vAlign w:val="bottom"/>
          </w:tcPr>
          <w:p>
            <w:pPr>
              <w:spacing w:after="0"/>
              <w:rPr>
                <w:sz w:val="14"/>
                <w:szCs w:val="14"/>
                <w:color w:val="auto"/>
              </w:rPr>
            </w:pPr>
          </w:p>
        </w:tc>
        <w:tc>
          <w:tcPr>
            <w:tcW w:w="30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Pretax</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Tax</w:t>
            </w:r>
          </w:p>
        </w:tc>
        <w:tc>
          <w:tcPr>
            <w:tcW w:w="66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Second Quarter</w:t>
            </w: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16"/>
        </w:trPr>
        <w:tc>
          <w:tcPr>
            <w:tcW w:w="37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4"/>
              </w:rPr>
              <w:t>Six Months ended Jun.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5"/>
          </w:tcPr>
          <w:p>
            <w:pPr>
              <w:jc w:val="right"/>
              <w:ind w:right="132"/>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(5,111)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(4,850)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2,573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1,706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Gain on formation of OneSubsea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(1,028)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Non-cash charges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(231)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(1,140)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(2,706)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(1,800)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(2,080)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Multiclient seismic data capitalized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(781)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acquisitions, net of cash acquired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Proceeds from divestiture of Wilson distribution business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3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Payment for OneSubsea transaction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tcPr>
          <w:p>
            <w:pPr>
              <w:ind w:left="440"/>
              <w:spacing w:after="0"/>
              <w:rPr>
                <w:sz w:val="20"/>
                <w:szCs w:val="20"/>
                <w:color w:val="auto"/>
              </w:rPr>
            </w:pPr>
            <w:r>
              <w:rPr>
                <w:rFonts w:ascii="Arial" w:cs="Arial" w:eastAsia="Arial" w:hAnsi="Arial"/>
                <w:sz w:val="18"/>
                <w:szCs w:val="18"/>
                <w:color w:val="auto"/>
              </w:rPr>
              <w:t>Currency effect on net debt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(269)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160" w:type="dxa"/>
            <w:vAlign w:val="bottom"/>
            <w:gridSpan w:val="4"/>
            <w:vMerge w:val="restart"/>
          </w:tcPr>
          <w:p>
            <w:pPr>
              <w:ind w:left="160"/>
              <w:spacing w:after="0"/>
              <w:rPr>
                <w:sz w:val="20"/>
                <w:szCs w:val="20"/>
                <w:color w:val="auto"/>
              </w:rPr>
            </w:pPr>
            <w:r>
              <w:rPr>
                <w:rFonts w:ascii="Arial" w:cs="Arial" w:eastAsia="Arial" w:hAnsi="Arial"/>
                <w:sz w:val="18"/>
                <w:szCs w:val="18"/>
                <w:color w:val="auto"/>
              </w:rPr>
              <w:t>Net Debt, end of period</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7160" w:type="dxa"/>
            <w:vAlign w:val="bottom"/>
            <w:gridSpan w:val="4"/>
            <w:vMerge w:val="continue"/>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(5,614</w:t>
            </w:r>
          </w:p>
        </w:tc>
        <w:tc>
          <w:tcPr>
            <w:tcW w:w="220" w:type="dxa"/>
            <w:vAlign w:val="bottom"/>
            <w:vMerge w:val="continue"/>
          </w:tcPr>
          <w:p>
            <w:pPr>
              <w:spacing w:after="0"/>
              <w:rPr>
                <w:sz w:val="19"/>
                <w:szCs w:val="19"/>
                <w:color w:val="auto"/>
              </w:rPr>
            </w:pPr>
          </w:p>
        </w:tc>
        <w:tc>
          <w:tcPr>
            <w:tcW w:w="740" w:type="dxa"/>
            <w:vAlign w:val="bottom"/>
            <w:gridSpan w:val="3"/>
          </w:tcPr>
          <w:p>
            <w:pPr>
              <w:jc w:val="right"/>
              <w:ind w:right="8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(6,720)</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(1)</w:t>
            </w:r>
          </w:p>
        </w:tc>
        <w:tc>
          <w:tcPr>
            <w:tcW w:w="7160" w:type="dxa"/>
            <w:vAlign w:val="bottom"/>
            <w:gridSpan w:val="4"/>
            <w:vMerge w:val="restart"/>
          </w:tcPr>
          <w:p>
            <w:pPr>
              <w:ind w:left="160"/>
              <w:spacing w:after="0"/>
              <w:rPr>
                <w:sz w:val="20"/>
                <w:szCs w:val="20"/>
                <w:color w:val="auto"/>
              </w:rPr>
            </w:pPr>
            <w:r>
              <w:rPr>
                <w:rFonts w:ascii="Arial" w:cs="Arial" w:eastAsia="Arial" w:hAnsi="Arial"/>
                <w:sz w:val="18"/>
                <w:szCs w:val="18"/>
                <w:color w:val="auto"/>
              </w:rPr>
              <w:t>Includes multiclient seismic data costs.</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 w:type="dxa"/>
            <w:vAlign w:val="bottom"/>
            <w:vMerge w:val="continue"/>
          </w:tcPr>
          <w:p>
            <w:pPr>
              <w:spacing w:after="0"/>
              <w:rPr>
                <w:sz w:val="16"/>
                <w:szCs w:val="16"/>
                <w:color w:val="auto"/>
              </w:rPr>
            </w:pPr>
          </w:p>
        </w:tc>
        <w:tc>
          <w:tcPr>
            <w:tcW w:w="7160" w:type="dxa"/>
            <w:vAlign w:val="bottom"/>
            <w:gridSpan w:val="4"/>
            <w:vMerge w:val="continue"/>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716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6"/>
          </w:tcPr>
          <w:p>
            <w:pPr>
              <w:jc w:val="right"/>
              <w:ind w:right="283"/>
              <w:spacing w:after="0"/>
              <w:rPr>
                <w:sz w:val="20"/>
                <w:szCs w:val="20"/>
                <w:color w:val="auto"/>
              </w:rPr>
            </w:pPr>
            <w:r>
              <w:rPr>
                <w:rFonts w:ascii="Arial" w:cs="Arial" w:eastAsia="Arial" w:hAnsi="Arial"/>
                <w:sz w:val="14"/>
                <w:szCs w:val="14"/>
                <w:i w:val="1"/>
                <w:iCs w:val="1"/>
                <w:color w:val="auto"/>
                <w:w w:val="97"/>
              </w:rPr>
              <w:t>(Stated in millions)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5080" w:type="dxa"/>
            <w:vAlign w:val="bottom"/>
            <w:vMerge w:val="restart"/>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Jun. 30,</w:t>
            </w:r>
          </w:p>
        </w:tc>
        <w:tc>
          <w:tcPr>
            <w:tcW w:w="1000" w:type="dxa"/>
            <w:vAlign w:val="bottom"/>
            <w:gridSpan w:val="5"/>
          </w:tcPr>
          <w:p>
            <w:pPr>
              <w:jc w:val="right"/>
              <w:ind w:right="418"/>
              <w:spacing w:after="0" w:line="149" w:lineRule="exact"/>
              <w:rPr>
                <w:sz w:val="20"/>
                <w:szCs w:val="20"/>
                <w:color w:val="auto"/>
              </w:rPr>
            </w:pPr>
            <w:r>
              <w:rPr>
                <w:rFonts w:ascii="Arial" w:cs="Arial" w:eastAsia="Arial" w:hAnsi="Arial"/>
                <w:sz w:val="14"/>
                <w:szCs w:val="14"/>
                <w:b w:val="1"/>
                <w:bCs w:val="1"/>
                <w:color w:val="auto"/>
                <w:w w:val="91"/>
              </w:rPr>
              <w:t>Jun. 30,</w:t>
            </w: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 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63"/>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$ 2,586</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$ 1,521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$ 1,905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261</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2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(2,858)</w:t>
            </w: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(2,521)</w:t>
            </w:r>
          </w:p>
        </w:tc>
        <w:tc>
          <w:tcPr>
            <w:tcW w:w="2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(2,121)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(9,098)</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(7,953)</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gridSpan w:val="2"/>
            <w:vMerge w:val="restart"/>
          </w:tcPr>
          <w:p>
            <w:pPr>
              <w:jc w:val="right"/>
              <w:ind w:right="580"/>
              <w:spacing w:after="0"/>
              <w:rPr>
                <w:sz w:val="20"/>
                <w:szCs w:val="20"/>
                <w:color w:val="auto"/>
              </w:rPr>
            </w:pPr>
            <w:r>
              <w:rPr>
                <w:rFonts w:ascii="Arial" w:cs="Arial" w:eastAsia="Arial" w:hAnsi="Arial"/>
                <w:sz w:val="16"/>
                <w:szCs w:val="16"/>
                <w:b w:val="1"/>
                <w:bCs w:val="1"/>
                <w:color w:val="auto"/>
                <w:w w:val="74"/>
              </w:rPr>
              <w:t>)</w:t>
            </w:r>
          </w:p>
        </w:tc>
        <w:tc>
          <w:tcPr>
            <w:tcW w:w="5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(5,614</w:t>
            </w:r>
          </w:p>
        </w:tc>
        <w:tc>
          <w:tcPr>
            <w:tcW w:w="640" w:type="dxa"/>
            <w:vAlign w:val="bottom"/>
            <w:gridSpan w:val="2"/>
            <w:vMerge w:val="continue"/>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(6,720)</w:t>
            </w:r>
          </w:p>
        </w:tc>
        <w:tc>
          <w:tcPr>
            <w:tcW w:w="22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(5,111)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2013 and 2012 included:</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second quarter of 2013, Schlumberger paid Cameron $600 million in connection with the formation of the OneSubsea joint venture.</w:t>
      </w:r>
    </w:p>
    <w:p>
      <w:pPr>
        <w:spacing w:after="0" w:line="113"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Schlumberger had repurchased $7.8 billion of shares under this program as of June 30, 2013.</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activity, during the six months ended June 30, under this share repurchase program:</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60" w:type="dxa"/>
            <w:vAlign w:val="bottom"/>
            <w:gridSpan w:val="5"/>
          </w:tcPr>
          <w:p>
            <w:pPr>
              <w:ind w:left="20"/>
              <w:spacing w:after="0"/>
              <w:rPr>
                <w:sz w:val="20"/>
                <w:szCs w:val="20"/>
                <w:color w:val="auto"/>
              </w:rPr>
            </w:pPr>
            <w:r>
              <w:rPr>
                <w:rFonts w:ascii="Arial" w:cs="Arial" w:eastAsia="Arial" w:hAnsi="Arial"/>
                <w:sz w:val="14"/>
                <w:szCs w:val="14"/>
                <w:i w:val="1"/>
                <w:iCs w:val="1"/>
                <w:color w:val="auto"/>
                <w:w w:val="89"/>
              </w:rPr>
              <w:t>(Stated in millions except per share amounts)</w:t>
            </w:r>
          </w:p>
        </w:tc>
      </w:tr>
      <w:tr>
        <w:trPr>
          <w:trHeight w:val="149"/>
        </w:trPr>
        <w:tc>
          <w:tcPr>
            <w:tcW w:w="3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cost</w:t>
            </w: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7"/>
              </w:rPr>
              <w:t>Total number</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Average price</w:t>
            </w:r>
          </w:p>
        </w:tc>
      </w:tr>
      <w:tr>
        <w:trPr>
          <w:trHeight w:val="149"/>
        </w:trPr>
        <w:tc>
          <w:tcPr>
            <w:tcW w:w="3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shares</w:t>
            </w: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3"/>
              </w:rPr>
              <w:t>of shares</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paid per</w:t>
            </w:r>
          </w:p>
        </w:tc>
      </w:tr>
      <w:tr>
        <w:trPr>
          <w:trHeight w:val="159"/>
        </w:trPr>
        <w:tc>
          <w:tcPr>
            <w:tcW w:w="3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60" w:type="dxa"/>
            <w:vAlign w:val="bottom"/>
            <w:gridSpan w:val="3"/>
          </w:tcPr>
          <w:p>
            <w:pPr>
              <w:spacing w:after="0" w:line="159" w:lineRule="exact"/>
              <w:rPr>
                <w:sz w:val="20"/>
                <w:szCs w:val="20"/>
                <w:color w:val="auto"/>
              </w:rPr>
            </w:pPr>
            <w:r>
              <w:rPr>
                <w:rFonts w:ascii="Arial" w:cs="Arial" w:eastAsia="Arial" w:hAnsi="Arial"/>
                <w:sz w:val="14"/>
                <w:szCs w:val="14"/>
                <w:color w:val="auto"/>
              </w:rPr>
              <w:t>purchased</w:t>
            </w:r>
          </w:p>
        </w:tc>
        <w:tc>
          <w:tcPr>
            <w:tcW w:w="1660" w:type="dxa"/>
            <w:vAlign w:val="bottom"/>
            <w:gridSpan w:val="2"/>
          </w:tcPr>
          <w:p>
            <w:pPr>
              <w:jc w:val="center"/>
              <w:ind w:right="920"/>
              <w:spacing w:after="0" w:line="159" w:lineRule="exact"/>
              <w:rPr>
                <w:sz w:val="20"/>
                <w:szCs w:val="20"/>
                <w:color w:val="auto"/>
              </w:rPr>
            </w:pPr>
            <w:r>
              <w:rPr>
                <w:rFonts w:ascii="Arial" w:cs="Arial" w:eastAsia="Arial" w:hAnsi="Arial"/>
                <w:sz w:val="14"/>
                <w:szCs w:val="14"/>
                <w:color w:val="auto"/>
                <w:w w:val="82"/>
              </w:rPr>
              <w:t>purchased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79"/>
              </w:rPr>
              <w:t>share</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2013</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9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Six months ended June 30, 2012</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823</w:t>
            </w:r>
          </w:p>
        </w:tc>
        <w:tc>
          <w:tcPr>
            <w:tcW w:w="900" w:type="dxa"/>
            <w:vAlign w:val="bottom"/>
          </w:tcPr>
          <w:p>
            <w:pPr>
              <w:spacing w:after="0"/>
              <w:rPr>
                <w:sz w:val="19"/>
                <w:szCs w:val="19"/>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On July 18, 2013, the Board approved a new $10 billion share repurchase program for shares of Schlumberger common stock, to be completed at the latest by June 30, 2018.</w:t>
      </w:r>
    </w:p>
    <w:p>
      <w:pPr>
        <w:spacing w:after="0" w:line="51" w:lineRule="exact"/>
        <w:rPr>
          <w:sz w:val="20"/>
          <w:szCs w:val="20"/>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flow provided by operations was $3.4 billion in the first six months of 2013 compared to $1.4 billion in the first six months of 2012 reflecting a lower increase in working capital requirements year-on-year.</w:t>
      </w:r>
    </w:p>
    <w:p>
      <w:pPr>
        <w:spacing w:after="0" w:line="50" w:lineRule="exact"/>
        <w:rPr>
          <w:rFonts w:ascii="Arial" w:cs="Arial" w:eastAsia="Arial" w:hAnsi="Arial"/>
          <w:sz w:val="18"/>
          <w:szCs w:val="18"/>
          <w:color w:val="auto"/>
        </w:rPr>
      </w:pPr>
    </w:p>
    <w:p>
      <w:pPr>
        <w:ind w:left="900" w:right="8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Capital expenditures were $1.8 billion in the first six months of 2013 compared to $2.1 billion during the first six months of 2012. Capital expenditures for full year 2013 are expected to be approximately $3.9 billion as compared to $4.7 billion in 2012.</w:t>
      </w:r>
    </w:p>
    <w:p>
      <w:pPr>
        <w:spacing w:after="0" w:line="8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At times in recent quarters, Schlumberger has experienced delays in payments from its national oil company customer in Venezuela. Schlumberger operates in more than 85 countries. At June 30, 2013, only five of those countries (including Venezuela) individually accounted for greater than 5% of Schlumberger’s accounts receivable balance of which only two, the United States and Mexico, represented greater than 10%.</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June 30, 2013, Schlumberger had $5.9 billion of cash and short-term investments on hand. Schlumberger had separate committed debt facility agreements aggregating $4.0 billion with commercial banks, of which $3.1 billion was available and unused as of June 30, 2013. This included $3.5 billion of committed facilities which support commercial paper programs in the United States and Europe. Schlumberger believes that these amounts are sufficient to meet future business requirements for at least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commercial paper of $650 million outstanding as of June 30,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first six months of 2013, certain non-US subsidiaries of Schlumberger provided oilfield services to the National Iranian Oil Company and certain of its affiliates (“NIOC”). Schlumberger’s revenue for the six months ended June 30, 2013 attributable to this activity was $102 million, which resulted in a net loss of $69 million. During the second quarter of 2013, Schlumberger completed the wind down of its service operations in Iran. As a result, Schlumberger has classified the results of this business as a discontinued operation. All prior periods have been restated accordingly.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Schlumberger’s activity in Iran included obtaining services from and engaging in other dealings with the government of Iran that are incidental to operating in Iran, and the expenses of which are reflected in the results disclosed above. These services and other dealings consisted of paying taxes, duties, license fees and other typical governmental charges, along with payments for utilities, transportation, hotel accommodations, facility rentals, telecommunications services, newspaper advertisements, recreational and fitness memberships, and the purchase of routine office and similar supplies from entities associated with the government of Iran. Two non-U.S. subsidiaries of Schlumberger maintain depository accounts at Bank Saderat Iran (“Saderat”) and Bank Tejarat (“Tejarat”) for the deposit by NIOC of amounts owed to non-US subsidiaries of Schlumberger. One of the non-U.S. subsidiaries also maintains a depository account at Bank Sarmayeh (“Sarmayeh”) which, together with Tejarat, is used for payment of local expenses such as rent, taxes and utilities. Schlumberger anticipates that it will discontinue its dealings with Saderat, Sarmayeh and Tejarat following the receipt of all amounts owed to Schlumberger for prior services rendered in Iran.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Schlumberger’s share repurchase program;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2012. Schlumberger’s exposure to market risk has not changed materially since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*Markof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PART II.</w:t>
        <w:tab/>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June 30, 2013, $0.2 billion remained available for repurchase under the existing repurchase authorization. On July 18, 2013, the Board approved a new $10 billion share repurchase program for shares of Schlumberger common stock, to be completed at the latest by June 30,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2013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1"/>
              </w:rPr>
              <w:t>(Stated in thousands, except per share amounts)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Total number of</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w:t>
            </w:r>
          </w:p>
        </w:tc>
        <w:tc>
          <w:tcPr>
            <w:tcW w:w="7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Maximum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7"/>
              </w:rPr>
              <w:t>Total number</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85"/>
              </w:rPr>
              <w:t>Average price</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 publicly</w:t>
            </w:r>
          </w:p>
        </w:tc>
        <w:tc>
          <w:tcPr>
            <w:tcW w:w="7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3"/>
              </w:rPr>
              <w:t>of shares</w:t>
            </w:r>
          </w:p>
        </w:tc>
        <w:tc>
          <w:tcPr>
            <w:tcW w:w="12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color w:val="auto"/>
                <w:w w:val="90"/>
              </w:rPr>
              <w:t>paid per</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3"/>
              </w:rPr>
              <w:t>announced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4"/>
              </w:rPr>
              <w:t>be purchased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500" w:type="dxa"/>
            <w:vAlign w:val="bottom"/>
            <w:gridSpan w:val="2"/>
          </w:tcPr>
          <w:p>
            <w:pPr>
              <w:jc w:val="center"/>
              <w:ind w:right="780"/>
              <w:spacing w:after="0" w:line="159" w:lineRule="exact"/>
              <w:rPr>
                <w:sz w:val="20"/>
                <w:szCs w:val="20"/>
                <w:color w:val="auto"/>
              </w:rPr>
            </w:pPr>
            <w:r>
              <w:rPr>
                <w:rFonts w:ascii="Arial" w:cs="Arial" w:eastAsia="Arial" w:hAnsi="Arial"/>
                <w:sz w:val="14"/>
                <w:szCs w:val="14"/>
                <w:color w:val="auto"/>
                <w:w w:val="85"/>
              </w:rPr>
              <w:t>purchased</w:t>
            </w:r>
          </w:p>
        </w:tc>
        <w:tc>
          <w:tcPr>
            <w:tcW w:w="120" w:type="dxa"/>
            <w:vAlign w:val="bottom"/>
          </w:tcPr>
          <w:p>
            <w:pPr>
              <w:spacing w:after="0"/>
              <w:rPr>
                <w:sz w:val="13"/>
                <w:szCs w:val="13"/>
                <w:color w:val="auto"/>
              </w:rPr>
            </w:pPr>
          </w:p>
        </w:tc>
        <w:tc>
          <w:tcPr>
            <w:tcW w:w="640" w:type="dxa"/>
            <w:vAlign w:val="bottom"/>
          </w:tcPr>
          <w:p>
            <w:pPr>
              <w:jc w:val="right"/>
              <w:ind w:right="159"/>
              <w:spacing w:after="0" w:line="159" w:lineRule="exact"/>
              <w:rPr>
                <w:sz w:val="20"/>
                <w:szCs w:val="20"/>
                <w:color w:val="auto"/>
              </w:rPr>
            </w:pPr>
            <w:r>
              <w:rPr>
                <w:rFonts w:ascii="Arial" w:cs="Arial" w:eastAsia="Arial" w:hAnsi="Arial"/>
                <w:sz w:val="14"/>
                <w:szCs w:val="14"/>
                <w:color w:val="auto"/>
              </w:rPr>
              <w:t>share</w:t>
            </w:r>
          </w:p>
        </w:tc>
        <w:tc>
          <w:tcPr>
            <w:tcW w:w="78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88"/>
              </w:rPr>
              <w:t>program</w:t>
            </w:r>
          </w:p>
        </w:tc>
        <w:tc>
          <w:tcPr>
            <w:tcW w:w="780" w:type="dxa"/>
            <w:vAlign w:val="bottom"/>
          </w:tcPr>
          <w:p>
            <w:pPr>
              <w:spacing w:after="0"/>
              <w:rPr>
                <w:sz w:val="13"/>
                <w:szCs w:val="13"/>
                <w:color w:val="auto"/>
              </w:rPr>
            </w:pPr>
          </w:p>
        </w:tc>
        <w:tc>
          <w:tcPr>
            <w:tcW w:w="11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w w:val="86"/>
              </w:rPr>
              <w:t>under the program</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May 1 through May 31, 2013</w:t>
            </w:r>
          </w:p>
        </w:tc>
        <w:tc>
          <w:tcPr>
            <w:tcW w:w="720" w:type="dxa"/>
            <w:vAlign w:val="bottom"/>
          </w:tcPr>
          <w:p>
            <w:pPr>
              <w:jc w:val="right"/>
              <w:spacing w:after="0"/>
              <w:rPr>
                <w:sz w:val="20"/>
                <w:szCs w:val="20"/>
                <w:color w:val="auto"/>
              </w:rPr>
            </w:pPr>
            <w:r>
              <w:rPr>
                <w:rFonts w:ascii="Arial" w:cs="Arial" w:eastAsia="Arial" w:hAnsi="Arial"/>
                <w:sz w:val="18"/>
                <w:szCs w:val="18"/>
                <w:color w:val="auto"/>
              </w:rPr>
              <w:t>654.1</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73.75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80</w:t>
            </w:r>
          </w:p>
        </w:tc>
        <w:tc>
          <w:tcPr>
            <w:tcW w:w="7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6,838.7</w:t>
            </w: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u w:val="single" w:color="auto"/>
                <w:color w:val="auto"/>
              </w:rPr>
              <w:t>07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6,838.7</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barite and bentonite mining operations of M-I LLC, an indirect wholly-owned subsidiary, are subject to regulation by the federal Mine Safety and Health Administration under the Federal Mine Safety and Health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5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51" w:lineRule="exact"/>
        <w:rPr>
          <w:sz w:val="20"/>
          <w:szCs w:val="20"/>
          <w:color w:val="auto"/>
        </w:rPr>
      </w:pPr>
    </w:p>
    <w:p>
      <w:pPr>
        <w:ind w:left="600" w:hanging="136"/>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Exhibit 10.1—Employment Agreement dated June 11, 2013 and effective as of July 1, 2013, between Schlumberger Limited and Satish Pai. (+)</w:t>
      </w:r>
    </w:p>
    <w:p>
      <w:pPr>
        <w:spacing w:after="0" w:line="113" w:lineRule="exact"/>
        <w:rPr>
          <w:rFonts w:ascii="Arial" w:cs="Arial" w:eastAsia="Arial" w:hAnsi="Arial"/>
          <w:sz w:val="16"/>
          <w:szCs w:val="16"/>
          <w:color w:val="auto"/>
        </w:rPr>
      </w:pPr>
    </w:p>
    <w:p>
      <w:pPr>
        <w:ind w:left="460" w:right="520" w:firstLine="4"/>
        <w:spacing w:after="0" w:line="268" w:lineRule="auto"/>
        <w:tabs>
          <w:tab w:leader="none" w:pos="5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10.2—Employment Agreement dated February 19, 2013 and effective as of March 1, 2013, between Schlumberger Limited and Kjell-Erik Oestdahl. (+)</w:t>
      </w:r>
    </w:p>
    <w:p>
      <w:pPr>
        <w:spacing w:after="0" w:line="5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10.3—Fifth Amendment to Schlumberger 1994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10.4—Third Amendment to Schlumberger 1998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10.5—Second Amendment to Schlumberger 2001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10.6—Third Amendment to Schlumberger 2005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10.7—Second Amendment to Schlumberger 2008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10.8—First Amendment to Schlumberger 2010 Omnibus Stock Option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10.9—First Amendment to Schlumberger 2013 Omnibus Stock Incentive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Exhibit 10.10—Form of Option Agreement (Employees in France), Incentive Stock Option, under Schlumberger 2010 Omnibus Stock Incentive Plan. (+)</w:t>
      </w:r>
    </w:p>
    <w:p>
      <w:pPr>
        <w:spacing w:after="0" w:line="113" w:lineRule="exact"/>
        <w:rPr>
          <w:rFonts w:ascii="Arial" w:cs="Arial" w:eastAsia="Arial" w:hAnsi="Arial"/>
          <w:sz w:val="16"/>
          <w:szCs w:val="16"/>
          <w:color w:val="auto"/>
        </w:rPr>
      </w:pPr>
    </w:p>
    <w:p>
      <w:pPr>
        <w:ind w:left="460" w:right="280" w:firstLine="4"/>
        <w:spacing w:after="0" w:line="268" w:lineRule="auto"/>
        <w:tabs>
          <w:tab w:leader="none" w:pos="5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10.11—Form of Option Agreement (Employees in France), Non-Qualified Stock Option, under Schlumberger 2010 Omnibus Stock Incentive Plan. (+)</w:t>
      </w:r>
    </w:p>
    <w:p>
      <w:pPr>
        <w:spacing w:after="0" w:line="50" w:lineRule="exact"/>
        <w:rPr>
          <w:rFonts w:ascii="Arial" w:cs="Arial" w:eastAsia="Arial" w:hAnsi="Arial"/>
          <w:sz w:val="18"/>
          <w:szCs w:val="18"/>
          <w:color w:val="auto"/>
        </w:rPr>
      </w:pPr>
    </w:p>
    <w:p>
      <w:pPr>
        <w:ind w:left="600" w:hanging="136"/>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Exhibit 10.12—Form of Restricted Stock Unit Award Agreement (Employees in France) under Schlumberger 2010 Omnibus Stock Incentive Plan. (+)</w:t>
      </w:r>
    </w:p>
    <w:p>
      <w:pPr>
        <w:spacing w:after="0" w:line="113" w:lineRule="exact"/>
        <w:rPr>
          <w:rFonts w:ascii="Arial" w:cs="Arial" w:eastAsia="Arial" w:hAnsi="Arial"/>
          <w:sz w:val="16"/>
          <w:szCs w:val="16"/>
          <w:color w:val="auto"/>
        </w:rPr>
      </w:pPr>
    </w:p>
    <w:p>
      <w:pPr>
        <w:ind w:left="460" w:right="480" w:firstLine="4"/>
        <w:spacing w:after="0" w:line="268" w:lineRule="auto"/>
        <w:tabs>
          <w:tab w:leader="none" w:pos="5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20" w:firstLine="4"/>
        <w:spacing w:after="0" w:line="268" w:lineRule="auto"/>
        <w:tabs>
          <w:tab w:leader="none" w:pos="5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180" w:firstLine="4"/>
        <w:spacing w:after="0" w:line="268"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120" w:firstLine="4"/>
        <w:spacing w:after="0" w:line="268"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Exhibit 95—Mine Safety Disclosures.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
        <w:spacing w:after="0" w:line="286" w:lineRule="auto"/>
        <w:tabs>
          <w:tab w:leader="none" w:pos="5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Exhibit 101—The following materials from Schlumberger Limited’s Quarterly Report on Form 10-Q for the quarter ended June 30, 2013, formatted in XBRL (Extensible Business Reporting Language): (i) Consolidated Statement of Income; (ii) Consolidated Statement of Comprehensive Income;</w:t>
      </w:r>
    </w:p>
    <w:p>
      <w:pPr>
        <w:ind w:left="460" w:right="40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 (iv) Consolidated Statement of Cash Flows; (v) Consolidated Statement of Equity and (vi) Notes to Consolidated Financial Statements.</w:t>
      </w:r>
    </w:p>
    <w:p>
      <w:pPr>
        <w:spacing w:after="0" w:line="5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Compensatory plans or arrangements.</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Howard Guild</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1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240" w:top="459" w:right="7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THIS EMPLOYMENT AGREEMENT (“Agreement”) is effective as of 1</w:t>
      </w:r>
      <w:r>
        <w:rPr>
          <w:rFonts w:ascii="Arial" w:cs="Arial" w:eastAsia="Arial" w:hAnsi="Arial"/>
          <w:sz w:val="11"/>
          <w:szCs w:val="11"/>
          <w:color w:val="auto"/>
        </w:rPr>
        <w:t>st</w:t>
      </w:r>
      <w:r>
        <w:rPr>
          <w:rFonts w:ascii="Arial" w:cs="Arial" w:eastAsia="Arial" w:hAnsi="Arial"/>
          <w:sz w:val="18"/>
          <w:szCs w:val="18"/>
          <w:color w:val="auto"/>
        </w:rPr>
        <w:t xml:space="preserve"> of July, 2013, by and between </w:t>
      </w:r>
      <w:r>
        <w:rPr>
          <w:rFonts w:ascii="Arial" w:cs="Arial" w:eastAsia="Arial" w:hAnsi="Arial"/>
          <w:sz w:val="18"/>
          <w:szCs w:val="18"/>
          <w:b w:val="1"/>
          <w:bCs w:val="1"/>
          <w:color w:val="auto"/>
        </w:rPr>
        <w:t>SCHLUMBERGER LIMITED</w:t>
      </w:r>
      <w:r>
        <w:rPr>
          <w:rFonts w:ascii="Arial" w:cs="Arial" w:eastAsia="Arial" w:hAnsi="Arial"/>
          <w:sz w:val="18"/>
          <w:szCs w:val="18"/>
          <w:color w:val="auto"/>
        </w:rPr>
        <w:t>, a Curaçao corporation (the “Company”), and Satish Pai (“Executive”).</w:t>
      </w:r>
    </w:p>
    <w:p>
      <w:pPr>
        <w:spacing w:after="0" w:line="126" w:lineRule="exact"/>
        <w:rPr>
          <w:sz w:val="20"/>
          <w:szCs w:val="20"/>
          <w:color w:val="auto"/>
        </w:rPr>
      </w:pPr>
    </w:p>
    <w:p>
      <w:pPr>
        <w:ind w:right="260" w:firstLine="464"/>
        <w:spacing w:after="0" w:line="306"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Employment of Executive</w:t>
      </w:r>
      <w:r>
        <w:rPr>
          <w:rFonts w:ascii="Arial" w:cs="Arial" w:eastAsia="Arial" w:hAnsi="Arial"/>
          <w:sz w:val="16"/>
          <w:szCs w:val="16"/>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establishing certain incentive, tenure and performance criteria related to such employment and otherwise fixing Executive’s benefits.</w:t>
      </w:r>
    </w:p>
    <w:p>
      <w:pPr>
        <w:spacing w:after="0" w:line="106" w:lineRule="exact"/>
        <w:rPr>
          <w:rFonts w:ascii="Arial" w:cs="Arial" w:eastAsia="Arial" w:hAnsi="Arial"/>
          <w:sz w:val="16"/>
          <w:szCs w:val="16"/>
          <w:color w:val="auto"/>
        </w:rPr>
      </w:pPr>
    </w:p>
    <w:p>
      <w:pPr>
        <w:ind w:right="60" w:firstLine="464"/>
        <w:spacing w:after="0" w:line="291"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The term shall commence the 1</w:t>
      </w:r>
      <w:r>
        <w:rPr>
          <w:rFonts w:ascii="Arial" w:cs="Arial" w:eastAsia="Arial" w:hAnsi="Arial"/>
          <w:sz w:val="10"/>
          <w:szCs w:val="10"/>
          <w:color w:val="auto"/>
        </w:rPr>
        <w:t>st</w:t>
      </w:r>
      <w:r>
        <w:rPr>
          <w:rFonts w:ascii="Arial" w:cs="Arial" w:eastAsia="Arial" w:hAnsi="Arial"/>
          <w:sz w:val="16"/>
          <w:szCs w:val="16"/>
          <w:color w:val="auto"/>
        </w:rPr>
        <w:t xml:space="preserve"> of July, 2013 (the “Effective Date”) and shall continue until the close of business on the 30</w:t>
      </w:r>
      <w:r>
        <w:rPr>
          <w:rFonts w:ascii="Arial" w:cs="Arial" w:eastAsia="Arial" w:hAnsi="Arial"/>
          <w:sz w:val="10"/>
          <w:szCs w:val="10"/>
          <w:color w:val="auto"/>
        </w:rPr>
        <w:t>th</w:t>
      </w:r>
      <w:r>
        <w:rPr>
          <w:rFonts w:ascii="Arial" w:cs="Arial" w:eastAsia="Arial" w:hAnsi="Arial"/>
          <w:sz w:val="16"/>
          <w:szCs w:val="16"/>
          <w:color w:val="auto"/>
        </w:rPr>
        <w:t xml:space="preserve"> of June, 2015 (the “Term”). This Agreement does not constitute a guarantee of continued employment but instead provides for certain rights and benefits for the Executive during his employment, and in the event his employment with the Company terminates under the circumstances described herein. Effective the 30</w:t>
      </w:r>
      <w:r>
        <w:rPr>
          <w:rFonts w:ascii="Arial" w:cs="Arial" w:eastAsia="Arial" w:hAnsi="Arial"/>
          <w:sz w:val="10"/>
          <w:szCs w:val="10"/>
          <w:color w:val="auto"/>
        </w:rPr>
        <w:t>th</w:t>
      </w:r>
      <w:r>
        <w:rPr>
          <w:rFonts w:ascii="Arial" w:cs="Arial" w:eastAsia="Arial" w:hAnsi="Arial"/>
          <w:sz w:val="16"/>
          <w:szCs w:val="16"/>
          <w:color w:val="auto"/>
        </w:rPr>
        <w:t xml:space="preserve"> of June, 2013, Executive resigns from his position as Executive Vice President of Operations of the Company and will remain employed by the Company during the Term, unless otherwise terminated under Section 4. During the Term, the Executive shall be employed as an advisor reporting to the Chief Executive Officer. At the expiration of the Term, Executive’s employment with the Company and all of its affiliates shall terminate.</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Nothing herein shall prohibit Executive, during the Term, from being engaged as a consultant or employee to organizations and businesses or to be appointed to their board of directors except those specifically identified as Unauthorized Competitors in Section 5. Executive agrees that he will not accept employment with any oil and gas related company without giving prior written notice to the Chief Executive Officer. For the avoidance of doubt, “oil and gas related company” expressly excludes any Unauthorized Competitor.</w:t>
      </w:r>
    </w:p>
    <w:p>
      <w:pPr>
        <w:spacing w:after="0" w:line="6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NonCompetition Payments and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In consideration for the Executive’s agreement in Section 5, Executive shall receive the following payments: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€400,000.00 paid no later than 31</w:t>
      </w:r>
      <w:r>
        <w:rPr>
          <w:rFonts w:ascii="Arial" w:cs="Arial" w:eastAsia="Arial" w:hAnsi="Arial"/>
          <w:sz w:val="11"/>
          <w:szCs w:val="11"/>
          <w:color w:val="auto"/>
        </w:rPr>
        <w:t>st</w:t>
      </w:r>
      <w:r>
        <w:rPr>
          <w:rFonts w:ascii="Arial" w:cs="Arial" w:eastAsia="Arial" w:hAnsi="Arial"/>
          <w:sz w:val="18"/>
          <w:szCs w:val="18"/>
          <w:color w:val="auto"/>
        </w:rPr>
        <w:t xml:space="preserve"> of January, 2014;</w:t>
      </w:r>
    </w:p>
    <w:p>
      <w:pPr>
        <w:spacing w:after="0" w:line="90" w:lineRule="exact"/>
        <w:rPr>
          <w:rFonts w:ascii="Arial" w:cs="Arial" w:eastAsia="Arial" w:hAnsi="Arial"/>
          <w:sz w:val="18"/>
          <w:szCs w:val="18"/>
          <w:color w:val="auto"/>
        </w:rPr>
      </w:pPr>
    </w:p>
    <w:p>
      <w:pPr>
        <w:ind w:left="1920" w:right="100" w:hanging="440"/>
        <w:spacing w:after="0" w:line="268" w:lineRule="auto"/>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€308,180 an amount equal to the Supplementary French Defined Benefit Pension Plan earned and valued as of June 2013 and paid no later than 1</w:t>
      </w:r>
      <w:r>
        <w:rPr>
          <w:rFonts w:ascii="Arial" w:cs="Arial" w:eastAsia="Arial" w:hAnsi="Arial"/>
          <w:sz w:val="11"/>
          <w:szCs w:val="11"/>
          <w:color w:val="auto"/>
        </w:rPr>
        <w:t>st</w:t>
      </w:r>
      <w:r>
        <w:rPr>
          <w:rFonts w:ascii="Arial" w:cs="Arial" w:eastAsia="Arial" w:hAnsi="Arial"/>
          <w:sz w:val="18"/>
          <w:szCs w:val="18"/>
          <w:color w:val="auto"/>
        </w:rPr>
        <w:t xml:space="preserve"> January 2017.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6" w:name="page37"/>
    <w:bookmarkEnd w:id="36"/>
    <w:p>
      <w:pPr>
        <w:ind w:left="1320" w:hanging="567"/>
        <w:spacing w:after="0"/>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Plans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60" w:right="160" w:hanging="440"/>
        <w:spacing w:after="0" w:line="259" w:lineRule="auto"/>
        <w:tabs>
          <w:tab w:leader="none" w:pos="17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 under the Company’s plans in accordance with the terms of those plans and any applicable agreement</w:t>
      </w:r>
    </w:p>
    <w:p>
      <w:pPr>
        <w:spacing w:after="0" w:line="59" w:lineRule="exact"/>
        <w:rPr>
          <w:rFonts w:ascii="Arial" w:cs="Arial" w:eastAsia="Arial" w:hAnsi="Arial"/>
          <w:sz w:val="18"/>
          <w:szCs w:val="18"/>
          <w:color w:val="auto"/>
        </w:rPr>
      </w:pPr>
    </w:p>
    <w:p>
      <w:pPr>
        <w:ind w:left="1760" w:hanging="440"/>
        <w:spacing w:after="0" w:line="298" w:lineRule="auto"/>
        <w:tabs>
          <w:tab w:leader="none" w:pos="1760" w:val="left"/>
        </w:tabs>
        <w:numPr>
          <w:ilvl w:val="2"/>
          <w:numId w:val="34"/>
        </w:numPr>
        <w:rPr>
          <w:rFonts w:ascii="Arial" w:cs="Arial" w:eastAsia="Arial" w:hAnsi="Arial"/>
          <w:sz w:val="16"/>
          <w:szCs w:val="16"/>
          <w:color w:val="auto"/>
        </w:rPr>
      </w:pPr>
      <w:r>
        <w:rPr>
          <w:rFonts w:ascii="Arial" w:cs="Arial" w:eastAsia="Arial" w:hAnsi="Arial"/>
          <w:sz w:val="16"/>
          <w:szCs w:val="16"/>
          <w:color w:val="auto"/>
        </w:rPr>
        <w:t>Upon termination of employment, except for a termination for Cause pursuant to Section 4 (c) or upon Executive’s employment with an Unauthorized Competitor identified in Section 5 (c) (i), Executive shall have the period to exercise stock options as per the plan rules, to the extent that such options were exercisable as of the date of such termination. For example, if Executive retires from the Company after reaching the age of 50 with 10 years of service, Executive would five (5) years to exercise vested options.</w:t>
      </w:r>
    </w:p>
    <w:p>
      <w:pPr>
        <w:spacing w:after="0" w:line="31" w:lineRule="exact"/>
        <w:rPr>
          <w:rFonts w:ascii="Arial" w:cs="Arial" w:eastAsia="Arial" w:hAnsi="Arial"/>
          <w:sz w:val="16"/>
          <w:szCs w:val="16"/>
          <w:color w:val="auto"/>
        </w:rPr>
      </w:pPr>
    </w:p>
    <w:p>
      <w:pPr>
        <w:ind w:left="1320" w:right="300" w:hanging="567"/>
        <w:spacing w:after="0" w:line="268" w:lineRule="auto"/>
        <w:tabs>
          <w:tab w:leader="none" w:pos="132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paid a cash amount representing his accrued and unused vacation accumulated as of the 30</w:t>
      </w:r>
      <w:r>
        <w:rPr>
          <w:rFonts w:ascii="Arial" w:cs="Arial" w:eastAsia="Arial" w:hAnsi="Arial"/>
          <w:sz w:val="11"/>
          <w:szCs w:val="11"/>
          <w:color w:val="auto"/>
        </w:rPr>
        <w:t>th</w:t>
      </w:r>
      <w:r>
        <w:rPr>
          <w:rFonts w:ascii="Arial" w:cs="Arial" w:eastAsia="Arial" w:hAnsi="Arial"/>
          <w:sz w:val="18"/>
          <w:szCs w:val="18"/>
          <w:color w:val="auto"/>
        </w:rPr>
        <w:t xml:space="preserve"> of June 2013. During the Term, Executive shall not be eligible to accrue vacation pay.</w:t>
      </w:r>
    </w:p>
    <w:p>
      <w:pPr>
        <w:spacing w:after="0" w:line="50" w:lineRule="exact"/>
        <w:rPr>
          <w:rFonts w:ascii="Arial" w:cs="Arial" w:eastAsia="Arial" w:hAnsi="Arial"/>
          <w:sz w:val="18"/>
          <w:szCs w:val="18"/>
          <w:color w:val="auto"/>
        </w:rPr>
      </w:pPr>
    </w:p>
    <w:p>
      <w:pPr>
        <w:ind w:left="1320" w:right="20" w:hanging="567"/>
        <w:spacing w:after="0" w:line="298" w:lineRule="auto"/>
        <w:tabs>
          <w:tab w:leader="none" w:pos="132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xml:space="preserve"> Executive shall be reimbursed for reasonable business expenses incurred in the normal course of performing his duties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14 days of receipt of such invoices.</w:t>
      </w:r>
    </w:p>
    <w:p>
      <w:pPr>
        <w:spacing w:after="0" w:line="112" w:lineRule="exact"/>
        <w:rPr>
          <w:rFonts w:ascii="Arial" w:cs="Arial" w:eastAsia="Arial" w:hAnsi="Arial"/>
          <w:sz w:val="16"/>
          <w:szCs w:val="16"/>
          <w:color w:val="auto"/>
        </w:rPr>
      </w:pPr>
    </w:p>
    <w:p>
      <w:pPr>
        <w:ind w:left="-160" w:right="200" w:firstLine="464"/>
        <w:spacing w:after="0" w:line="268" w:lineRule="auto"/>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ind w:left="1320" w:right="160" w:hanging="567"/>
        <w:spacing w:after="0" w:line="306" w:lineRule="auto"/>
        <w:tabs>
          <w:tab w:leader="none" w:pos="132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25" w:lineRule="exact"/>
        <w:rPr>
          <w:rFonts w:ascii="Arial" w:cs="Arial" w:eastAsia="Arial" w:hAnsi="Arial"/>
          <w:sz w:val="16"/>
          <w:szCs w:val="16"/>
          <w:color w:val="auto"/>
        </w:rPr>
      </w:pPr>
    </w:p>
    <w:p>
      <w:pPr>
        <w:ind w:left="1320" w:hanging="567"/>
        <w:spacing w:after="0" w:line="268" w:lineRule="auto"/>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Executive’s employment terminates during the Term due to his disability within the meaning of any long-term disability plan maintained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400" w:top="280" w:right="399" w:bottom="1440" w:gutter="0" w:footer="0" w:header="0"/>
        </w:sectPr>
      </w:pPr>
    </w:p>
    <w:bookmarkStart w:id="37" w:name="page38"/>
    <w:bookmarkEnd w:id="37"/>
    <w:p>
      <w:pPr>
        <w:ind w:left="567"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59" w:lineRule="exact"/>
        <w:rPr>
          <w:sz w:val="20"/>
          <w:szCs w:val="20"/>
          <w:color w:val="auto"/>
        </w:rPr>
      </w:pPr>
    </w:p>
    <w:p>
      <w:pPr>
        <w:ind w:left="567" w:right="340" w:hanging="567"/>
        <w:spacing w:after="0" w:line="259"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he shall be entitled to any other amounts earned, accrued or owing as of the date of termination of employment under the applicable employee benefit plans or programs of the Company.</w:t>
      </w:r>
    </w:p>
    <w:p>
      <w:pPr>
        <w:spacing w:after="0" w:line="59" w:lineRule="exact"/>
        <w:rPr>
          <w:sz w:val="20"/>
          <w:szCs w:val="20"/>
          <w:color w:val="auto"/>
        </w:rPr>
      </w:pPr>
    </w:p>
    <w:p>
      <w:pPr>
        <w:ind w:left="7" w:right="380"/>
        <w:spacing w:after="0" w:line="268" w:lineRule="auto"/>
        <w:rPr>
          <w:sz w:val="20"/>
          <w:szCs w:val="20"/>
          <w:color w:val="auto"/>
        </w:rPr>
      </w:pPr>
      <w:r>
        <w:rPr>
          <w:rFonts w:ascii="Arial" w:cs="Arial" w:eastAsia="Arial" w:hAnsi="Arial"/>
          <w:sz w:val="18"/>
          <w:szCs w:val="18"/>
          <w:color w:val="auto"/>
        </w:rPr>
        <w:t>“Cause” means Executive’s dishonesty relating to his employment with the Company, conviction of a felony, willful unauthorized disclosure of confidential information of the Company, or breach of the Executive’s obligations in Section 5.</w:t>
      </w:r>
    </w:p>
    <w:p>
      <w:pPr>
        <w:spacing w:after="0" w:line="51" w:lineRule="exact"/>
        <w:rPr>
          <w:sz w:val="20"/>
          <w:szCs w:val="20"/>
          <w:color w:val="auto"/>
        </w:rPr>
      </w:pPr>
    </w:p>
    <w:p>
      <w:pPr>
        <w:ind w:left="567" w:hanging="567"/>
        <w:spacing w:after="0" w:line="255" w:lineRule="auto"/>
        <w:tabs>
          <w:tab w:leader="none" w:pos="56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Voluntary Termination and Termination Due to Mutual Agreement</w:t>
      </w:r>
      <w:r>
        <w:rPr>
          <w:rFonts w:ascii="Arial" w:cs="Arial" w:eastAsia="Arial" w:hAnsi="Arial"/>
          <w:sz w:val="18"/>
          <w:szCs w:val="18"/>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during the Term of this Agreement).</w:t>
      </w:r>
    </w:p>
    <w:p>
      <w:pPr>
        <w:spacing w:after="0" w:line="61" w:lineRule="exact"/>
        <w:rPr>
          <w:rFonts w:ascii="Arial" w:cs="Arial" w:eastAsia="Arial" w:hAnsi="Arial"/>
          <w:sz w:val="18"/>
          <w:szCs w:val="18"/>
          <w:color w:val="auto"/>
        </w:rPr>
      </w:pPr>
    </w:p>
    <w:p>
      <w:pPr>
        <w:ind w:left="587" w:right="220"/>
        <w:spacing w:after="0" w:line="286" w:lineRule="auto"/>
        <w:rPr>
          <w:rFonts w:ascii="Arial" w:cs="Arial" w:eastAsia="Arial" w:hAnsi="Arial"/>
          <w:sz w:val="18"/>
          <w:szCs w:val="18"/>
          <w:color w:val="auto"/>
        </w:rPr>
      </w:pPr>
      <w:r>
        <w:rPr>
          <w:rFonts w:ascii="Arial" w:cs="Arial" w:eastAsia="Arial" w:hAnsi="Arial"/>
          <w:sz w:val="16"/>
          <w:szCs w:val="16"/>
          <w:color w:val="auto"/>
        </w:rPr>
        <w:t>Executive may work for another employer (excluding an Unauthorized Competitor) during the Term without terminating his employment relationship with the Company. In the event Executive voluntarily terminates his employment with the Company during the Term, and</w:t>
      </w:r>
    </w:p>
    <w:p>
      <w:pPr>
        <w:ind w:left="587" w:right="380" w:hanging="8"/>
        <w:spacing w:after="0" w:line="323" w:lineRule="auto"/>
        <w:tabs>
          <w:tab w:leader="none" w:pos="806" w:val="left"/>
        </w:tabs>
        <w:numPr>
          <w:ilvl w:val="2"/>
          <w:numId w:val="37"/>
        </w:numPr>
        <w:rPr>
          <w:rFonts w:ascii="Arial" w:cs="Arial" w:eastAsia="Arial" w:hAnsi="Arial"/>
          <w:sz w:val="16"/>
          <w:szCs w:val="16"/>
          <w:color w:val="auto"/>
        </w:rPr>
      </w:pPr>
      <w:r>
        <w:rPr>
          <w:rFonts w:ascii="Arial" w:cs="Arial" w:eastAsia="Arial" w:hAnsi="Arial"/>
          <w:sz w:val="16"/>
          <w:szCs w:val="16"/>
          <w:color w:val="auto"/>
        </w:rPr>
        <w:t>does not become employed by an Unauthorized Competitor or (II) becomes employed by an oil &amp; gas related company in which the Executive will have given written notice the Chief Executive Officer prior to acceptance of employment, he shall be entitled to:</w:t>
      </w:r>
    </w:p>
    <w:p>
      <w:pPr>
        <w:spacing w:after="0" w:line="11" w:lineRule="exact"/>
        <w:rPr>
          <w:rFonts w:ascii="Arial" w:cs="Arial" w:eastAsia="Arial" w:hAnsi="Arial"/>
          <w:sz w:val="16"/>
          <w:szCs w:val="16"/>
          <w:color w:val="auto"/>
        </w:rPr>
      </w:pPr>
    </w:p>
    <w:p>
      <w:pPr>
        <w:ind w:left="1007" w:hanging="440"/>
        <w:spacing w:after="0"/>
        <w:tabs>
          <w:tab w:leader="none" w:pos="10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ind w:left="1007" w:right="100" w:hanging="440"/>
        <w:spacing w:after="0" w:line="268" w:lineRule="auto"/>
        <w:tabs>
          <w:tab w:leader="none" w:pos="10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exercise any stock options granted under a plan of the Company that vested during the Term (and prior to his termination date) as per the plan rules.</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38" w:name="page39"/>
    <w:bookmarkEnd w:id="38"/>
    <w:p>
      <w:pPr>
        <w:ind w:left="1026" w:right="20" w:hanging="567"/>
        <w:spacing w:after="0" w:line="298" w:lineRule="auto"/>
        <w:tabs>
          <w:tab w:leader="none" w:pos="102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Employment by Unauthorized Competitor</w:t>
      </w:r>
      <w:r>
        <w:rPr>
          <w:rFonts w:ascii="Arial" w:cs="Arial" w:eastAsia="Arial" w:hAnsi="Arial"/>
          <w:sz w:val="16"/>
          <w:szCs w:val="16"/>
          <w:color w:val="auto"/>
        </w:rPr>
        <w:t>: If during the Term, Executive accepts employment with an Unauthorized Competitor, Executive shall be required to reimburse all payments or value received by Executive under this Agreement no later than 30 days from the date the Company learns of the acceptance. This repayment obligation shall not apply if Executive becomes an employee of an Unauthorized Competitor as a result of a merger or acquisition involving Executive’s employer and an Unauthorized Competitor.</w:t>
      </w:r>
    </w:p>
    <w:p>
      <w:pPr>
        <w:spacing w:after="0" w:line="3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For purposes of this Agreement, an Unauthorized Competitor means those companies as specifically identified in Section 5.</w:t>
      </w:r>
    </w:p>
    <w:p>
      <w:pPr>
        <w:spacing w:after="0" w:line="90"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hanging="567"/>
        <w:spacing w:after="0" w:line="308" w:lineRule="auto"/>
        <w:tabs>
          <w:tab w:leader="none" w:pos="1026"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Executive agrees that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28" w:lineRule="exact"/>
        <w:rPr>
          <w:rFonts w:ascii="Arial" w:cs="Arial" w:eastAsia="Arial" w:hAnsi="Arial"/>
          <w:sz w:val="15"/>
          <w:szCs w:val="15"/>
          <w:color w:val="auto"/>
        </w:rPr>
      </w:pPr>
    </w:p>
    <w:p>
      <w:pPr>
        <w:ind w:left="1026" w:right="180" w:hanging="567"/>
        <w:spacing w:after="0" w:line="298" w:lineRule="auto"/>
        <w:tabs>
          <w:tab w:leader="none" w:pos="102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Executive agrees that at the time of leaving the Company’s employ, if not sooner,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39" w:name="page40"/>
    <w:bookmarkEnd w:id="39"/>
    <w:p>
      <w:pPr>
        <w:ind w:left="567"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aforementioned items) belonging to the Company or any of its affiliates or ventures, regardless of whether such items were prepared by Executive.</w:t>
      </w:r>
    </w:p>
    <w:p>
      <w:pPr>
        <w:spacing w:after="0" w:line="51" w:lineRule="exact"/>
        <w:rPr>
          <w:sz w:val="20"/>
          <w:szCs w:val="20"/>
          <w:color w:val="auto"/>
        </w:rPr>
      </w:pPr>
    </w:p>
    <w:p>
      <w:pPr>
        <w:ind w:left="567" w:right="20" w:hanging="567"/>
        <w:spacing w:after="0" w:line="290" w:lineRule="auto"/>
        <w:tabs>
          <w:tab w:leader="none" w:pos="56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37" w:lineRule="exact"/>
        <w:rPr>
          <w:rFonts w:ascii="Arial" w:cs="Arial" w:eastAsia="Arial" w:hAnsi="Arial"/>
          <w:sz w:val="16"/>
          <w:szCs w:val="16"/>
          <w:color w:val="auto"/>
        </w:rPr>
      </w:pPr>
    </w:p>
    <w:p>
      <w:pPr>
        <w:ind w:left="1007" w:right="40" w:hanging="440"/>
        <w:spacing w:after="0" w:line="290" w:lineRule="auto"/>
        <w:tabs>
          <w:tab w:leader="none" w:pos="1007" w:val="left"/>
        </w:tabs>
        <w:numPr>
          <w:ilvl w:val="1"/>
          <w:numId w:val="40"/>
        </w:numPr>
        <w:rPr>
          <w:rFonts w:ascii="Arial" w:cs="Arial" w:eastAsia="Arial" w:hAnsi="Arial"/>
          <w:sz w:val="16"/>
          <w:szCs w:val="16"/>
          <w:color w:val="auto"/>
        </w:rPr>
      </w:pPr>
      <w:r>
        <w:rPr>
          <w:rFonts w:ascii="Arial" w:cs="Arial" w:eastAsia="Arial" w:hAnsi="Arial"/>
          <w:sz w:val="16"/>
          <w:szCs w:val="16"/>
          <w:color w:val="auto"/>
        </w:rPr>
        <w:t>During the Term, Executive shall not accept employment with or otherwise render services, directly or indirectly, anywhere in the world, to any specifically identified Unauthorized Competitor, whether as a director, officer, agent, employee, independent contractor or consultant, or take any action inconsistent with the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or otherwise rendering any services, anywhere in the world with any company or other enterprise except an Unauthorized Competitor.</w:t>
      </w:r>
    </w:p>
    <w:p>
      <w:pPr>
        <w:spacing w:after="0" w:line="31" w:lineRule="exact"/>
        <w:rPr>
          <w:sz w:val="20"/>
          <w:szCs w:val="20"/>
          <w:color w:val="auto"/>
        </w:rPr>
      </w:pPr>
    </w:p>
    <w:p>
      <w:pPr>
        <w:ind w:left="1027"/>
        <w:spacing w:after="0" w:line="293" w:lineRule="auto"/>
        <w:rPr>
          <w:sz w:val="20"/>
          <w:szCs w:val="20"/>
          <w:color w:val="auto"/>
        </w:rPr>
      </w:pPr>
      <w:r>
        <w:rPr>
          <w:rFonts w:ascii="Arial" w:cs="Arial" w:eastAsia="Arial" w:hAnsi="Arial"/>
          <w:sz w:val="16"/>
          <w:szCs w:val="16"/>
          <w:b w:val="1"/>
          <w:bCs w:val="1"/>
          <w:color w:val="auto"/>
        </w:rPr>
        <w:t>For purposes of this Agreement, an “Unauthorized Competitor” refers specifically and exclusively to Halliburton Company, Baker Hughes Inc., Weatherford International, Archer, Oilserv, Aker Solutions, FMC, GE Oil &amp; Gas, National Oilwell Varco, including any and all of their parents, subsidiaries, affiliates, joint ventures or divisions, as of the date of this Agreement as well as any of their successors or assigns; provided, however, that the restrictions in this Section 5(c) shall not apply if Executive becomes an employee of an Unauthorized Competitor as a result of a merger or other acquisition involving Executive’s employer and an Unauthorized Competitor.</w:t>
      </w:r>
    </w:p>
    <w:p>
      <w:pPr>
        <w:spacing w:after="0" w:line="103"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7"/>
          </w:cols>
          <w:pgMar w:left="1153" w:top="280" w:right="319" w:bottom="1440" w:gutter="0" w:footer="0" w:header="0"/>
        </w:sectPr>
      </w:pPr>
    </w:p>
    <w:bookmarkStart w:id="40" w:name="page41"/>
    <w:bookmarkEnd w:id="40"/>
    <w:p>
      <w:pPr>
        <w:ind w:left="720" w:right="20" w:hanging="440"/>
        <w:spacing w:after="0" w:line="259"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59" w:lineRule="exact"/>
        <w:rPr>
          <w:rFonts w:ascii="Arial" w:cs="Arial" w:eastAsia="Arial" w:hAnsi="Arial"/>
          <w:sz w:val="18"/>
          <w:szCs w:val="18"/>
          <w:color w:val="auto"/>
        </w:rPr>
      </w:pPr>
    </w:p>
    <w:p>
      <w:pPr>
        <w:ind w:left="720" w:right="80" w:hanging="440"/>
        <w:spacing w:after="0" w:line="255"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acknowledges that this restrictive covenant under Section 5, for which he received consideration from the Company as provided in this Section 3,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61" w:lineRule="exact"/>
        <w:rPr>
          <w:rFonts w:ascii="Arial" w:cs="Arial" w:eastAsia="Arial" w:hAnsi="Arial"/>
          <w:sz w:val="18"/>
          <w:szCs w:val="18"/>
          <w:color w:val="auto"/>
        </w:rPr>
      </w:pPr>
    </w:p>
    <w:p>
      <w:pPr>
        <w:ind w:left="720" w:hanging="440"/>
        <w:spacing w:after="0" w:line="255"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61" w:lineRule="exact"/>
        <w:rPr>
          <w:rFonts w:ascii="Arial" w:cs="Arial" w:eastAsia="Arial" w:hAnsi="Arial"/>
          <w:sz w:val="18"/>
          <w:szCs w:val="18"/>
          <w:color w:val="auto"/>
        </w:rPr>
      </w:pPr>
    </w:p>
    <w:p>
      <w:pPr>
        <w:ind w:left="720" w:right="500" w:hanging="440"/>
        <w:spacing w:after="0" w:line="332"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Executive further acknowledges that if his employment terminates prior to the Term, pursuant to Section 4 (c), (d) or (e) of this Agreement, the covenant not to compete provisions of this Agreement will extend throughout the remainder of the Term.</w:t>
      </w:r>
    </w:p>
    <w:p>
      <w:pPr>
        <w:spacing w:after="0" w:line="4" w:lineRule="exact"/>
        <w:rPr>
          <w:rFonts w:ascii="Arial" w:cs="Arial" w:eastAsia="Arial" w:hAnsi="Arial"/>
          <w:sz w:val="16"/>
          <w:szCs w:val="16"/>
          <w:color w:val="auto"/>
        </w:rPr>
      </w:pPr>
    </w:p>
    <w:p>
      <w:pPr>
        <w:ind w:left="720" w:hanging="440"/>
        <w:spacing w:after="0"/>
        <w:tabs>
          <w:tab w:leader="none" w:pos="7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 Executive further agrees that in the event that (1) the Company determines that Executive has breached any term of Section 5(c) or</w:t>
      </w:r>
    </w:p>
    <w:p>
      <w:pPr>
        <w:spacing w:after="0" w:line="49" w:lineRule="exact"/>
        <w:rPr>
          <w:rFonts w:ascii="Arial" w:cs="Arial" w:eastAsia="Arial" w:hAnsi="Arial"/>
          <w:sz w:val="15"/>
          <w:szCs w:val="15"/>
          <w:color w:val="auto"/>
        </w:rPr>
      </w:pPr>
    </w:p>
    <w:p>
      <w:pPr>
        <w:ind w:left="720" w:right="40" w:firstLine="6"/>
        <w:spacing w:after="0" w:line="253" w:lineRule="auto"/>
        <w:tabs>
          <w:tab w:leader="none" w:pos="9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or any part or of Section 5(c)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of any future amounts due pursuant to Section 3 and may in its sole discretion require that Executive repay to the Company, within five business days of receipt of written demand therefor, an amount equal to the</w:t>
      </w:r>
    </w:p>
    <w:p>
      <w:pPr>
        <w:spacing w:after="0" w:line="1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280" w:right="299" w:bottom="1440" w:gutter="0" w:footer="0" w:header="0"/>
        </w:sectPr>
      </w:pPr>
    </w:p>
    <w:bookmarkStart w:id="41" w:name="page42"/>
    <w:bookmarkEnd w:id="41"/>
    <w:p>
      <w:pPr>
        <w:ind w:left="148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received by Executive pursuant to Section 3. The repayment required by the foregoing provision shall be net of any taxes withheld on the original payments to Executive.</w:t>
      </w:r>
    </w:p>
    <w:p>
      <w:pPr>
        <w:spacing w:after="0" w:line="51" w:lineRule="exact"/>
        <w:rPr>
          <w:sz w:val="20"/>
          <w:szCs w:val="20"/>
          <w:color w:val="auto"/>
        </w:rPr>
      </w:pPr>
    </w:p>
    <w:p>
      <w:pPr>
        <w:ind w:left="1460" w:right="20" w:hanging="440"/>
        <w:spacing w:after="0" w:line="306" w:lineRule="auto"/>
        <w:tabs>
          <w:tab w:leader="none" w:pos="1460" w:val="left"/>
        </w:tabs>
        <w:numPr>
          <w:ilvl w:val="2"/>
          <w:numId w:val="42"/>
        </w:numPr>
        <w:rPr>
          <w:rFonts w:ascii="Arial" w:cs="Arial" w:eastAsia="Arial" w:hAnsi="Arial"/>
          <w:sz w:val="16"/>
          <w:szCs w:val="16"/>
          <w:color w:val="auto"/>
        </w:rPr>
      </w:pPr>
      <w:r>
        <w:rPr>
          <w:rFonts w:ascii="Arial" w:cs="Arial" w:eastAsia="Arial" w:hAnsi="Arial"/>
          <w:sz w:val="16"/>
          <w:szCs w:val="16"/>
          <w:color w:val="auto"/>
        </w:rPr>
        <w:t>Executive expressly recognizes that Executive was a high-level, executive employee who was provided with access to Confidential Information of the Company as part of Executive’s employment and that the restrictive covenants set forth in this Section 5 are reasonable and necessary in light of Executive’s prior executive position and prior access to the Company’s Confidential Information.</w:t>
      </w:r>
    </w:p>
    <w:p>
      <w:pPr>
        <w:spacing w:after="0" w:line="25" w:lineRule="exact"/>
        <w:rPr>
          <w:rFonts w:ascii="Arial" w:cs="Arial" w:eastAsia="Arial" w:hAnsi="Arial"/>
          <w:sz w:val="16"/>
          <w:szCs w:val="16"/>
          <w:color w:val="auto"/>
        </w:rPr>
      </w:pPr>
    </w:p>
    <w:p>
      <w:pPr>
        <w:ind w:left="1020" w:hanging="567"/>
        <w:spacing w:after="0" w:line="291"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Employment by Affiliates</w:t>
      </w:r>
      <w:r>
        <w:rPr>
          <w:rFonts w:ascii="Arial" w:cs="Arial" w:eastAsia="Arial" w:hAnsi="Arial"/>
          <w:sz w:val="16"/>
          <w:szCs w:val="16"/>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Curaçao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20" w:lineRule="exact"/>
        <w:rPr>
          <w:rFonts w:ascii="Arial" w:cs="Arial" w:eastAsia="Arial" w:hAnsi="Arial"/>
          <w:sz w:val="16"/>
          <w:szCs w:val="16"/>
          <w:color w:val="auto"/>
        </w:rPr>
      </w:pPr>
    </w:p>
    <w:p>
      <w:pPr>
        <w:jc w:val="both"/>
        <w:ind w:left="-460" w:right="440" w:firstLine="464"/>
        <w:spacing w:after="0" w:line="259" w:lineRule="auto"/>
        <w:tabs>
          <w:tab w:leader="none" w:pos="1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ind w:left="-460" w:right="180" w:firstLine="464"/>
        <w:spacing w:after="0" w:line="370" w:lineRule="auto"/>
        <w:tabs>
          <w:tab w:leader="none" w:pos="172"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0880"/>
          </w:cols>
          <w:pgMar w:left="700" w:top="280" w:right="31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Sivakumar Nadarajah,</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Executive Compensation</w:t>
      </w:r>
    </w:p>
    <w:p>
      <w:pPr>
        <w:spacing w:after="0" w:line="186" w:lineRule="exact"/>
        <w:rPr>
          <w:sz w:val="20"/>
          <w:szCs w:val="20"/>
          <w:color w:val="auto"/>
        </w:rPr>
      </w:pPr>
    </w:p>
    <w:p>
      <w:pPr>
        <w:sectPr>
          <w:pgSz w:w="11900" w:h="16838" w:orient="portrait"/>
          <w:cols w:equalWidth="0" w:num="2">
            <w:col w:w="1600" w:space="720"/>
            <w:col w:w="8560"/>
          </w:cols>
          <w:pgMar w:left="700" w:top="280" w:right="319" w:bottom="1440" w:gutter="0" w:footer="0" w:header="0"/>
          <w:type w:val="continuous"/>
        </w:sectPr>
      </w:pPr>
    </w:p>
    <w:p>
      <w:pPr>
        <w:jc w:val="center"/>
        <w:ind w:right="3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880"/>
          </w:cols>
          <w:pgMar w:left="700" w:top="280" w:right="319" w:bottom="1440" w:gutter="0" w:footer="0" w:header="0"/>
          <w:type w:val="continuous"/>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Executive: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Satish Pai</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 the address on file at the Company]</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32" w:lineRule="exact"/>
        <w:rPr>
          <w:sz w:val="20"/>
          <w:szCs w:val="20"/>
          <w:color w:val="auto"/>
        </w:rPr>
      </w:pPr>
    </w:p>
    <w:p>
      <w:pPr>
        <w:ind w:right="100" w:firstLine="464"/>
        <w:spacing w:after="0" w:line="291"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Applicable Law; Venue</w:t>
      </w:r>
      <w:r>
        <w:rPr>
          <w:rFonts w:ascii="Arial" w:cs="Arial" w:eastAsia="Arial" w:hAnsi="Arial"/>
          <w:sz w:val="16"/>
          <w:szCs w:val="16"/>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20" w:lineRule="exact"/>
        <w:rPr>
          <w:rFonts w:ascii="Arial" w:cs="Arial" w:eastAsia="Arial" w:hAnsi="Arial"/>
          <w:sz w:val="16"/>
          <w:szCs w:val="16"/>
          <w:color w:val="auto"/>
        </w:rPr>
      </w:pPr>
    </w:p>
    <w:p>
      <w:pPr>
        <w:ind w:right="460" w:firstLine="464"/>
        <w:spacing w:after="0" w:line="268"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31" w:lineRule="exact"/>
        <w:rPr>
          <w:rFonts w:ascii="Arial" w:cs="Arial" w:eastAsia="Arial" w:hAnsi="Arial"/>
          <w:sz w:val="18"/>
          <w:szCs w:val="18"/>
          <w:color w:val="auto"/>
        </w:rPr>
      </w:pPr>
    </w:p>
    <w:p>
      <w:pPr>
        <w:ind w:right="34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31" w:lineRule="exact"/>
        <w:rPr>
          <w:rFonts w:ascii="Arial" w:cs="Arial" w:eastAsia="Arial" w:hAnsi="Arial"/>
          <w:sz w:val="18"/>
          <w:szCs w:val="18"/>
          <w:color w:val="auto"/>
        </w:rPr>
      </w:pPr>
    </w:p>
    <w:p>
      <w:pPr>
        <w:ind w:right="80" w:firstLine="464"/>
        <w:spacing w:after="0" w:line="294" w:lineRule="auto"/>
        <w:tabs>
          <w:tab w:leader="none" w:pos="71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560" w:firstLine="464"/>
        <w:spacing w:after="0" w:line="332" w:lineRule="auto"/>
        <w:tabs>
          <w:tab w:leader="none" w:pos="71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Effect of Prior Agreements</w:t>
      </w:r>
      <w:r>
        <w:rPr>
          <w:rFonts w:ascii="Arial" w:cs="Arial" w:eastAsia="Arial" w:hAnsi="Arial"/>
          <w:sz w:val="16"/>
          <w:szCs w:val="16"/>
          <w:color w:val="auto"/>
        </w:rPr>
        <w:t>: This Agreement contains the entire understanding between the parties hereto and supersedes any prior employment, severance or other agreement between the Company or any predecessor of the Company and Executive.</w:t>
      </w:r>
    </w:p>
    <w:p>
      <w:pPr>
        <w:spacing w:after="0" w:line="85" w:lineRule="exact"/>
        <w:rPr>
          <w:rFonts w:ascii="Arial" w:cs="Arial" w:eastAsia="Arial" w:hAnsi="Arial"/>
          <w:sz w:val="16"/>
          <w:szCs w:val="16"/>
          <w:color w:val="auto"/>
        </w:rPr>
      </w:pPr>
    </w:p>
    <w:p>
      <w:pPr>
        <w:ind w:right="240" w:firstLine="464"/>
        <w:spacing w:after="0" w:line="259"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June 11, 2013, and was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3" w:name="page44"/>
    <w:bookmarkEnd w:id="4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sufficient time to consider whether to sign the Agreement and the Waiver and Release. The Company’s obligations under this Agreement are expressly conditioned on the execution of the Waiver and Release within the time period set forth in Section 2, and Executive’s failure to execute and deliver such Waiver and Release, or Executive’s revocation of the Waiver and Release within the seven day period provided in the Release, will void the Company’s obligations hereunder.</w:t>
      </w:r>
    </w:p>
    <w:p>
      <w:pPr>
        <w:spacing w:after="0" w:line="143" w:lineRule="exact"/>
        <w:rPr>
          <w:sz w:val="20"/>
          <w:szCs w:val="20"/>
          <w:color w:val="auto"/>
        </w:rPr>
      </w:pPr>
    </w:p>
    <w:p>
      <w:pPr>
        <w:ind w:firstLine="464"/>
        <w:spacing w:after="0" w:line="332"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85" w:lineRule="exact"/>
        <w:rPr>
          <w:rFonts w:ascii="Arial" w:cs="Arial" w:eastAsia="Arial" w:hAnsi="Arial"/>
          <w:sz w:val="16"/>
          <w:szCs w:val="16"/>
          <w:color w:val="auto"/>
        </w:rPr>
      </w:pPr>
    </w:p>
    <w:p>
      <w:pPr>
        <w:ind w:right="40" w:firstLine="464"/>
        <w:spacing w:after="0" w:line="26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have been inserted for purposes of convenience and shall not be used for interpretive purposes.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have caused this Agreement to be executed and delivered the 11 of June 2013, but effective as 1</w:t>
      </w:r>
      <w:r>
        <w:rPr>
          <w:rFonts w:ascii="Arial" w:cs="Arial" w:eastAsia="Arial" w:hAnsi="Arial"/>
          <w:sz w:val="10"/>
          <w:szCs w:val="10"/>
          <w:color w:val="auto"/>
        </w:rPr>
        <w:t>st</w:t>
      </w:r>
      <w:r>
        <w:rPr>
          <w:rFonts w:ascii="Arial" w:cs="Arial" w:eastAsia="Arial" w:hAnsi="Arial"/>
          <w:sz w:val="16"/>
          <w:szCs w:val="16"/>
          <w:color w:val="auto"/>
        </w:rPr>
        <w:t xml:space="preserve"> of July, 2013.</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Stephanie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940"/>
        <w:spacing w:after="0"/>
        <w:tabs>
          <w:tab w:leader="none" w:pos="7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Satish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AIVER</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ELEASE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Schlumberger Limited has offered to pay me the Release Payment pursuant to section 2(a) of my Resignation and Noncompetition Agreement with Schlumberger Limited, effective as of July 1, 2013 (the “Agreement”), which is in addition to any remuneration or benefits to which I am already entitled. This Release Payment was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said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payment of the Release Payment is voluntary on the part of the Company and is not required by any legal obligation other than the Agreement. I choose to accept this offer.</w:t>
      </w:r>
    </w:p>
    <w:p>
      <w:pPr>
        <w:spacing w:after="0" w:line="12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I understand that signing this Waiver and Release is an important legal act. I acknowledge that the Company has advised me in writing to consult an attorney before signing this Waiver and Release. I understand that, in order to be eligible for the Release Payment, I must sign (and return to Sivakumar Nadarajah, Executive Compensation, Schlumberger Limited, 5599 San Felipe, 17</w:t>
      </w:r>
      <w:r>
        <w:rPr>
          <w:rFonts w:ascii="Arial" w:cs="Arial" w:eastAsia="Arial" w:hAnsi="Arial"/>
          <w:sz w:val="10"/>
          <w:szCs w:val="10"/>
          <w:color w:val="auto"/>
        </w:rPr>
        <w:t>th</w:t>
      </w:r>
      <w:r>
        <w:rPr>
          <w:rFonts w:ascii="Arial" w:cs="Arial" w:eastAsia="Arial" w:hAnsi="Arial"/>
          <w:sz w:val="16"/>
          <w:szCs w:val="16"/>
          <w:color w:val="auto"/>
        </w:rPr>
        <w:t xml:space="preserve"> Floor, Houston, TX 77056) this Waiver and Release by 5 p.m. on July 1, 2013. I acknowledge that I have been given at least 21 days to consider whether to sign the Agreement and whether to execute this Waiver and Release.</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exchange for the payment to me of the Release Payment, which is in addition to any remuneration or benefits to which I am already entitled, I, among other things, (1) agree not to sue the Corporate Group in any local, state and/or federal court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 and Release includes, but is not limited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5" w:name="page46"/>
    <w:bookmarkEnd w:id="4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 and causes of action under: Title VII of the Civil Rights Act of 1964, as amended (“Title VII”); the 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Fair Labor Standards Act; the Occupational Safety and Health Act; claims in connection with workers’ compensation or “whistle blower” statutes; and/or contract, tort, defamation, slander, wrongful termination or any other state or federal regulatory, statutory or common law, whether of the United States or any other country.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Waiver and Release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or (iii) prevent me from filing any claims that are not permitted to be waived or released under applicable law (although my ability to recover damages or other relief is still waived and released to the extent permitted by law).</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 acknowledge that payment of the Release Payment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I acknowledge that this Waiver and Release does not create any right on my part to be rehired by the Company or the Affiliates and I hereby waive any right to future employment by the Company or any other member of the Corporate Group.</w:t>
      </w:r>
    </w:p>
    <w:p>
      <w:pPr>
        <w:spacing w:after="0" w:line="1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and, in that connection, from making confidential disclosure to potential employers of such facts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6" w:name="page47"/>
    <w:bookmarkEnd w:id="46"/>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as I may elect to convey, nor is it intended to restrict the Company from conducting such confidential internal communications as may be necessary to manage this resignation in a businesslike way.</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and/or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Sivakumar Nadarajah, Director Executive Compensation of Schlumberger Limited - Houston, in which case the Waiver and Release will not become effective. In the event I revoke my acceptance of this offer, the Company shall have no obligation to pay me the Release Payment. I understand that failure to revoke my acceptance of the offer within 7 calendar days from the date I sign this Waiver and Release will result in this Waiver and Release being permanent and irrevocable.</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ectPr>
          <w:pgSz w:w="11900" w:h="16838" w:orient="portrait"/>
          <w:cols w:equalWidth="0" w:num="1">
            <w:col w:w="11380"/>
          </w:cols>
          <w:pgMar w:left="240" w:top="280" w:right="27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Employee’s Printed 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Company Representative</w:t>
      </w:r>
    </w:p>
    <w:p>
      <w:pPr>
        <w:spacing w:after="0" w:line="211"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Employee’s Signature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Company’s Execution Date</w:t>
      </w:r>
    </w:p>
    <w:p>
      <w:pPr>
        <w:spacing w:after="0" w:line="211"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280" w:right="27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THIS EMPLOYMENT AGREEMENT (“Agreement”) is effective as of the 1</w:t>
      </w:r>
      <w:r>
        <w:rPr>
          <w:rFonts w:ascii="Arial" w:cs="Arial" w:eastAsia="Arial" w:hAnsi="Arial"/>
          <w:sz w:val="11"/>
          <w:szCs w:val="11"/>
          <w:color w:val="auto"/>
        </w:rPr>
        <w:t>st</w:t>
      </w:r>
      <w:r>
        <w:rPr>
          <w:rFonts w:ascii="Arial" w:cs="Arial" w:eastAsia="Arial" w:hAnsi="Arial"/>
          <w:sz w:val="18"/>
          <w:szCs w:val="18"/>
          <w:color w:val="auto"/>
        </w:rPr>
        <w:t xml:space="preserve"> of March, 2013, by and between </w:t>
      </w:r>
      <w:r>
        <w:rPr>
          <w:rFonts w:ascii="Arial" w:cs="Arial" w:eastAsia="Arial" w:hAnsi="Arial"/>
          <w:sz w:val="18"/>
          <w:szCs w:val="18"/>
          <w:b w:val="1"/>
          <w:bCs w:val="1"/>
          <w:color w:val="auto"/>
        </w:rPr>
        <w:t>SCHLUMBERGER LIMITED</w:t>
      </w:r>
      <w:r>
        <w:rPr>
          <w:rFonts w:ascii="Arial" w:cs="Arial" w:eastAsia="Arial" w:hAnsi="Arial"/>
          <w:sz w:val="18"/>
          <w:szCs w:val="18"/>
          <w:color w:val="auto"/>
        </w:rPr>
        <w:t>, a Curaçao corporation (the “Company”), and Kjell-Erik Oestdahl (“Executive”).</w:t>
      </w:r>
    </w:p>
    <w:p>
      <w:pPr>
        <w:spacing w:after="0" w:line="126" w:lineRule="exact"/>
        <w:rPr>
          <w:sz w:val="20"/>
          <w:szCs w:val="20"/>
          <w:color w:val="auto"/>
        </w:rPr>
      </w:pPr>
    </w:p>
    <w:p>
      <w:pPr>
        <w:jc w:val="both"/>
        <w:ind w:right="80" w:firstLine="464"/>
        <w:spacing w:after="0" w:line="335"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Employment of Executive</w:t>
      </w:r>
      <w:r>
        <w:rPr>
          <w:rFonts w:ascii="Arial" w:cs="Arial" w:eastAsia="Arial" w:hAnsi="Arial"/>
          <w:sz w:val="15"/>
          <w:szCs w:val="15"/>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and base salary.</w:t>
      </w:r>
    </w:p>
    <w:p>
      <w:pPr>
        <w:spacing w:after="0" w:line="88" w:lineRule="exact"/>
        <w:rPr>
          <w:rFonts w:ascii="Arial" w:cs="Arial" w:eastAsia="Arial" w:hAnsi="Arial"/>
          <w:sz w:val="15"/>
          <w:szCs w:val="15"/>
          <w:color w:val="auto"/>
        </w:rPr>
      </w:pPr>
    </w:p>
    <w:p>
      <w:pPr>
        <w:ind w:left="640" w:hanging="17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The term shall commence March 1</w:t>
      </w:r>
      <w:r>
        <w:rPr>
          <w:rFonts w:ascii="Arial" w:cs="Arial" w:eastAsia="Arial" w:hAnsi="Arial"/>
          <w:sz w:val="10"/>
          <w:szCs w:val="10"/>
          <w:color w:val="auto"/>
        </w:rPr>
        <w:t>st</w:t>
      </w:r>
      <w:r>
        <w:rPr>
          <w:rFonts w:ascii="Arial" w:cs="Arial" w:eastAsia="Arial" w:hAnsi="Arial"/>
          <w:sz w:val="16"/>
          <w:szCs w:val="16"/>
          <w:color w:val="auto"/>
        </w:rPr>
        <w:t>, 2013 (the “Effective Date”) and shall continue until the close of business on</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February 28</w:t>
      </w:r>
      <w:r>
        <w:rPr>
          <w:rFonts w:ascii="Arial" w:cs="Arial" w:eastAsia="Arial" w:hAnsi="Arial"/>
          <w:sz w:val="11"/>
          <w:szCs w:val="11"/>
          <w:color w:val="auto"/>
        </w:rPr>
        <w:t>th</w:t>
      </w:r>
      <w:r>
        <w:rPr>
          <w:rFonts w:ascii="Arial" w:cs="Arial" w:eastAsia="Arial" w:hAnsi="Arial"/>
          <w:sz w:val="18"/>
          <w:szCs w:val="18"/>
          <w:color w:val="auto"/>
        </w:rPr>
        <w:t>, 2015 (the “Term”). During the Term, the Executive shall be employed as Senior Advisor reporting to Paal Kibsgaard, CEO. At the expiration of the Term, Executive agrees to voluntarily terminate his employment with the Company and all affiliates.</w:t>
      </w:r>
    </w:p>
    <w:p>
      <w:pPr>
        <w:spacing w:after="0" w:line="13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Nothing herein shall prohibit Executive, during the Term, from being engaged as a consultant to organizations and businesses or to be appointed to their board of directors except those specifically identified as Unauthorized Competitors in Section 5. Executive agrees that he will not accept employment with any oil and gas related company without giving prior notice to the Company’s CEO.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ind w:left="1480" w:right="100" w:hanging="567"/>
        <w:spacing w:after="0" w:line="298"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From March 1</w:t>
      </w:r>
      <w:r>
        <w:rPr>
          <w:rFonts w:ascii="Arial" w:cs="Arial" w:eastAsia="Arial" w:hAnsi="Arial"/>
          <w:sz w:val="10"/>
          <w:szCs w:val="10"/>
          <w:color w:val="auto"/>
        </w:rPr>
        <w:t>st</w:t>
      </w:r>
      <w:r>
        <w:rPr>
          <w:rFonts w:ascii="Arial" w:cs="Arial" w:eastAsia="Arial" w:hAnsi="Arial"/>
          <w:sz w:val="16"/>
          <w:szCs w:val="16"/>
          <w:color w:val="auto"/>
        </w:rPr>
        <w:t>, 2013 through to February 28</w:t>
      </w:r>
      <w:r>
        <w:rPr>
          <w:rFonts w:ascii="Arial" w:cs="Arial" w:eastAsia="Arial" w:hAnsi="Arial"/>
          <w:sz w:val="10"/>
          <w:szCs w:val="10"/>
          <w:color w:val="auto"/>
        </w:rPr>
        <w:t>th</w:t>
      </w:r>
      <w:r>
        <w:rPr>
          <w:rFonts w:ascii="Arial" w:cs="Arial" w:eastAsia="Arial" w:hAnsi="Arial"/>
          <w:sz w:val="16"/>
          <w:szCs w:val="16"/>
          <w:color w:val="auto"/>
        </w:rPr>
        <w:t>, 2015, Executive’s base salary shall be 396,231.49NOK per month. During the Term, Executive’s base salary shall be payable monthly in accordance with the Company’s normal payroll practices. In the event the Executive works for another employer during the Term of this Agreement, the base salary under this section 3(a) will end as of the date that such employment commences; however all other benefits described in this section 3 shall continue for the Term of the Agreement.</w:t>
      </w:r>
    </w:p>
    <w:p>
      <w:pPr>
        <w:spacing w:after="0" w:line="31" w:lineRule="exact"/>
        <w:rPr>
          <w:rFonts w:ascii="Arial" w:cs="Arial" w:eastAsia="Arial" w:hAnsi="Arial"/>
          <w:sz w:val="16"/>
          <w:szCs w:val="16"/>
          <w:color w:val="auto"/>
        </w:rPr>
      </w:pPr>
    </w:p>
    <w:p>
      <w:pPr>
        <w:ind w:left="1480" w:right="400" w:hanging="567"/>
        <w:spacing w:after="0" w:line="370" w:lineRule="auto"/>
        <w:tabs>
          <w:tab w:leader="none" w:pos="1480"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Welfare Benefits</w:t>
      </w:r>
      <w:r>
        <w:rPr>
          <w:rFonts w:ascii="Arial" w:cs="Arial" w:eastAsia="Arial" w:hAnsi="Arial"/>
          <w:sz w:val="15"/>
          <w:szCs w:val="15"/>
          <w:color w:val="auto"/>
        </w:rPr>
        <w:t>: During the Term, Executive shall be eligible to participate in the Company’s health, welfare and insurance plans (e.g., medical, dental, vision, life insurance, short- and long-term disability, etc.) on a basis comparable to that of other Norway employees.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8" w:name="page49"/>
    <w:bookmarkEnd w:id="48"/>
    <w:p>
      <w:pPr>
        <w:ind w:left="567" w:right="20" w:hanging="567"/>
        <w:spacing w:after="0" w:line="332" w:lineRule="auto"/>
        <w:tabs>
          <w:tab w:leader="none" w:pos="56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w:t>
      </w:r>
      <w:r>
        <w:rPr>
          <w:rFonts w:ascii="Arial" w:cs="Arial" w:eastAsia="Arial" w:hAnsi="Arial"/>
          <w:sz w:val="16"/>
          <w:szCs w:val="16"/>
          <w:color w:val="auto"/>
        </w:rPr>
        <w:t>: During the Term, or if Executive’s employment is terminated sooner pursuant to Section 4, until such termination, Executive shall continue to accrue benefits under the Company’s pension plans based on an annual base salary of 4,754,777.88 NOK.</w:t>
      </w:r>
    </w:p>
    <w:p>
      <w:pPr>
        <w:spacing w:after="0" w:line="4" w:lineRule="exact"/>
        <w:rPr>
          <w:rFonts w:ascii="Arial" w:cs="Arial" w:eastAsia="Arial" w:hAnsi="Arial"/>
          <w:sz w:val="16"/>
          <w:szCs w:val="16"/>
          <w:color w:val="auto"/>
        </w:rPr>
      </w:pPr>
    </w:p>
    <w:p>
      <w:pPr>
        <w:ind w:left="567" w:hanging="567"/>
        <w:spacing w:after="0"/>
        <w:tabs>
          <w:tab w:leader="none" w:pos="56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Incentive Plans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right="180" w:hanging="440"/>
        <w:spacing w:after="0" w:line="259" w:lineRule="auto"/>
        <w:tabs>
          <w:tab w:leader="none" w:pos="100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 under the Company’s plans in accordance with the terms of those plans and any applicable agreements.</w:t>
      </w:r>
    </w:p>
    <w:p>
      <w:pPr>
        <w:spacing w:after="0" w:line="59" w:lineRule="exact"/>
        <w:rPr>
          <w:rFonts w:ascii="Arial" w:cs="Arial" w:eastAsia="Arial" w:hAnsi="Arial"/>
          <w:sz w:val="18"/>
          <w:szCs w:val="18"/>
          <w:color w:val="auto"/>
        </w:rPr>
      </w:pPr>
    </w:p>
    <w:p>
      <w:pPr>
        <w:ind w:left="1007" w:hanging="440"/>
        <w:spacing w:after="0" w:line="255" w:lineRule="auto"/>
        <w:tabs>
          <w:tab w:leader="none" w:pos="1007" w:val="left"/>
        </w:tabs>
        <w:numPr>
          <w:ilvl w:val="1"/>
          <w:numId w:val="50"/>
        </w:numPr>
        <w:rPr>
          <w:rFonts w:ascii="Arial" w:cs="Arial" w:eastAsia="Arial" w:hAnsi="Arial"/>
          <w:sz w:val="18"/>
          <w:szCs w:val="18"/>
          <w:color w:val="auto"/>
        </w:rPr>
      </w:pPr>
      <w:r>
        <w:rPr>
          <w:rFonts w:ascii="Arial" w:cs="Arial" w:eastAsia="Arial" w:hAnsi="Arial"/>
          <w:sz w:val="18"/>
          <w:szCs w:val="18"/>
          <w:color w:val="auto"/>
        </w:rPr>
        <w:t>Upon termination of employment, except for a termination for Cause pursuant to Section 4 (c) or upon Executive’s employment with an Unauthorized Competitor identified in Section 5 (c) (i), Executive shall have the period to exercise stock options as per the plan rules, to the extent that such options were exercisable as of the date of such termination. For example, if Executive retires from the Company after reaching the age of 50, Executive would be eligible to “Special Early Retire,” and would therefore have five (5) years to exercise vested options.</w:t>
      </w:r>
    </w:p>
    <w:p>
      <w:pPr>
        <w:spacing w:after="0" w:line="61" w:lineRule="exact"/>
        <w:rPr>
          <w:rFonts w:ascii="Arial" w:cs="Arial" w:eastAsia="Arial" w:hAnsi="Arial"/>
          <w:sz w:val="18"/>
          <w:szCs w:val="18"/>
          <w:color w:val="auto"/>
        </w:rPr>
      </w:pPr>
    </w:p>
    <w:p>
      <w:pPr>
        <w:ind w:left="1007" w:right="340" w:hanging="440"/>
        <w:spacing w:after="0" w:line="268" w:lineRule="auto"/>
        <w:tabs>
          <w:tab w:leader="none" w:pos="100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paid a cash amount representing his accrued and unused vacation accumulated as of Feb 28</w:t>
      </w:r>
      <w:r>
        <w:rPr>
          <w:rFonts w:ascii="Arial" w:cs="Arial" w:eastAsia="Arial" w:hAnsi="Arial"/>
          <w:sz w:val="11"/>
          <w:szCs w:val="11"/>
          <w:color w:val="auto"/>
        </w:rPr>
        <w:t>th</w:t>
      </w:r>
      <w:r>
        <w:rPr>
          <w:rFonts w:ascii="Arial" w:cs="Arial" w:eastAsia="Arial" w:hAnsi="Arial"/>
          <w:sz w:val="18"/>
          <w:szCs w:val="18"/>
          <w:color w:val="auto"/>
        </w:rPr>
        <w:t>, 2013. During the Term, Executive shall not be eligible to accrue vacation pay.</w:t>
      </w:r>
    </w:p>
    <w:p>
      <w:pPr>
        <w:spacing w:after="0" w:line="50" w:lineRule="exact"/>
        <w:rPr>
          <w:rFonts w:ascii="Arial" w:cs="Arial" w:eastAsia="Arial" w:hAnsi="Arial"/>
          <w:sz w:val="18"/>
          <w:szCs w:val="18"/>
          <w:color w:val="auto"/>
        </w:rPr>
      </w:pPr>
    </w:p>
    <w:p>
      <w:pPr>
        <w:ind w:left="567" w:hanging="567"/>
        <w:spacing w:after="0" w:line="256" w:lineRule="auto"/>
        <w:tabs>
          <w:tab w:leader="none" w:pos="56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xml:space="preserve"> Executive shall be reimbursed for reasonable business expenses incurred in the normal course of performing his duties. Executive shall submit all invoices for such incurred costs to the Company no later than 30 days prior to the end of the taxable year following the taxable year in which they were incurred. The Company shall reimburse Executive for such costs within 14 days of receipt of such invoices.</w:t>
      </w:r>
    </w:p>
    <w:p>
      <w:pPr>
        <w:spacing w:after="0" w:line="62" w:lineRule="exact"/>
        <w:rPr>
          <w:rFonts w:ascii="Arial" w:cs="Arial" w:eastAsia="Arial" w:hAnsi="Arial"/>
          <w:sz w:val="18"/>
          <w:szCs w:val="18"/>
          <w:color w:val="auto"/>
        </w:rPr>
      </w:pPr>
    </w:p>
    <w:p>
      <w:pPr>
        <w:ind w:left="567" w:right="220" w:hanging="567"/>
        <w:spacing w:after="0" w:line="268" w:lineRule="auto"/>
        <w:tabs>
          <w:tab w:leader="none" w:pos="56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Administrative Assistance:</w:t>
      </w:r>
      <w:r>
        <w:rPr>
          <w:rFonts w:ascii="Arial" w:cs="Arial" w:eastAsia="Arial" w:hAnsi="Arial"/>
          <w:sz w:val="18"/>
          <w:szCs w:val="18"/>
          <w:color w:val="auto"/>
        </w:rPr>
        <w:t xml:space="preserve"> This will be provided during the Term from the Paris office to support the transition from Paris to Norway as required related to tax preparation and relocation.</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7"/>
          </w:cols>
          <w:pgMar w:left="1153" w:top="280" w:right="379" w:bottom="1440" w:gutter="0" w:footer="0" w:header="0"/>
        </w:sectPr>
      </w:pPr>
    </w:p>
    <w:bookmarkStart w:id="49" w:name="page50"/>
    <w:bookmarkEnd w:id="49"/>
    <w:p>
      <w:pPr>
        <w:ind w:right="300" w:firstLine="464"/>
        <w:spacing w:after="0" w:line="268"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ind w:left="1480" w:right="260" w:hanging="567"/>
        <w:spacing w:after="0" w:line="306"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25" w:lineRule="exact"/>
        <w:rPr>
          <w:rFonts w:ascii="Arial" w:cs="Arial" w:eastAsia="Arial" w:hAnsi="Arial"/>
          <w:sz w:val="16"/>
          <w:szCs w:val="16"/>
          <w:color w:val="auto"/>
        </w:rPr>
      </w:pPr>
    </w:p>
    <w:p>
      <w:pPr>
        <w:ind w:left="1480" w:right="100" w:hanging="567"/>
        <w:spacing w:after="0" w:line="298"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31" w:lineRule="exact"/>
        <w:rPr>
          <w:rFonts w:ascii="Arial" w:cs="Arial" w:eastAsia="Arial" w:hAnsi="Arial"/>
          <w:sz w:val="16"/>
          <w:szCs w:val="16"/>
          <w:color w:val="auto"/>
        </w:rPr>
      </w:pPr>
    </w:p>
    <w:p>
      <w:pPr>
        <w:ind w:left="1480" w:right="500" w:hanging="567"/>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he shall be entitled to:</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 for Cause; and</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“Cause” means Executive’s dishonesty relating to his employment with the Company, conviction of a felony, or willful unauthorized disclosure of confidential information of the Company.</w:t>
      </w:r>
    </w:p>
    <w:p>
      <w:pPr>
        <w:spacing w:after="0" w:line="51" w:lineRule="exact"/>
        <w:rPr>
          <w:sz w:val="20"/>
          <w:szCs w:val="20"/>
          <w:color w:val="auto"/>
        </w:rPr>
      </w:pPr>
    </w:p>
    <w:p>
      <w:pPr>
        <w:ind w:left="1480" w:right="40" w:hanging="567"/>
        <w:spacing w:after="0" w:line="255"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Voluntary Termination and Termination Due to Mutual Agreement</w:t>
      </w:r>
      <w:r>
        <w:rPr>
          <w:rFonts w:ascii="Arial" w:cs="Arial" w:eastAsia="Arial" w:hAnsi="Arial"/>
          <w:sz w:val="18"/>
          <w:szCs w:val="18"/>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as defined below, during the Term of this Agreement).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50" w:name="page51"/>
    <w:bookmarkEnd w:id="50"/>
    <w:p>
      <w:pPr>
        <w:jc w:val="both"/>
        <w:ind w:left="15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may work for another employer (excluding an Unauthorized Competitor) during the Term of this Agreement without terminating his employment relationship with the Company. In the event Executive voluntarily terminates his employment during the Term, and (I) does not become employed by an Unauthorized Competitor or (II) becomes employed by Oil &amp; Gas related Company in which the Executive will have given notice the Chief Executive Officer prior to acceptance of employment, he shall be entitled to:</w:t>
      </w:r>
    </w:p>
    <w:p>
      <w:pPr>
        <w:spacing w:after="0" w:line="32" w:lineRule="exact"/>
        <w:rPr>
          <w:sz w:val="20"/>
          <w:szCs w:val="20"/>
          <w:color w:val="auto"/>
        </w:rPr>
      </w:pPr>
    </w:p>
    <w:p>
      <w:pPr>
        <w:ind w:left="1920" w:hanging="440"/>
        <w:spacing w:after="0"/>
        <w:tabs>
          <w:tab w:leader="none" w:pos="1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ind w:left="1920" w:right="540" w:hanging="440"/>
        <w:spacing w:after="0" w:line="268" w:lineRule="auto"/>
        <w:tabs>
          <w:tab w:leader="none" w:pos="1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exercise any stock options granted under a plan of the Company that vested during the Term of the Agreement (and prior to his termination date) as per the Plan rules.</w:t>
      </w:r>
    </w:p>
    <w:p>
      <w:pPr>
        <w:spacing w:after="0" w:line="132"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during the Term, Executive accepts employment with an Unauthorized Competitor, Executive shall be required to repay all amounts received by Executive under this Agreement. This repayment obligation shall not apply if Executive becomes an employee of an Unauthorized Competitor as a result of a merger or acquisition involving Executive’s employer and an Unauthorized Competitor.</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purposes of this Agreement, an Unauthorized Competitor means those companies as specifically identified in Section 5, involved in the oilfield services and equipment business.</w:t>
      </w:r>
    </w:p>
    <w:p>
      <w:pPr>
        <w:spacing w:after="0" w:line="132"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8" w:lineRule="auto"/>
        <w:tabs>
          <w:tab w:leader="none" w:pos="1152"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agrees that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1" w:name="page52"/>
    <w:bookmarkEnd w:id="51"/>
    <w:p>
      <w:pPr>
        <w:ind w:left="-40" w:right="20" w:firstLine="464"/>
        <w:spacing w:after="0" w:line="255" w:lineRule="auto"/>
        <w:tabs>
          <w:tab w:leader="none" w:pos="66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r>
        <w:rPr>
          <w:rFonts w:ascii="Arial" w:cs="Arial" w:eastAsia="Arial" w:hAnsi="Arial"/>
          <w:sz w:val="18"/>
          <w:szCs w:val="18"/>
          <w:color w:val="auto"/>
        </w:rPr>
        <w:t>: Executive agrees that at the time of leaving the Company’s employ, if not sooner,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42" w:lineRule="exact"/>
        <w:rPr>
          <w:rFonts w:ascii="Arial" w:cs="Arial" w:eastAsia="Arial" w:hAnsi="Arial"/>
          <w:sz w:val="18"/>
          <w:szCs w:val="18"/>
          <w:color w:val="auto"/>
        </w:rPr>
      </w:pPr>
    </w:p>
    <w:p>
      <w:pPr>
        <w:ind w:left="-40" w:right="200" w:firstLine="464"/>
        <w:spacing w:after="0" w:line="306" w:lineRule="auto"/>
        <w:tabs>
          <w:tab w:leader="none" w:pos="65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Accordingly, for the consideration provided to Executive in this Agreement, Executive agrees to be bound by the following restrictive covenants:</w:t>
      </w:r>
    </w:p>
    <w:p>
      <w:pPr>
        <w:spacing w:after="0" w:line="25" w:lineRule="exact"/>
        <w:rPr>
          <w:rFonts w:ascii="Arial" w:cs="Arial" w:eastAsia="Arial" w:hAnsi="Arial"/>
          <w:sz w:val="16"/>
          <w:szCs w:val="16"/>
          <w:color w:val="auto"/>
        </w:rPr>
      </w:pPr>
    </w:p>
    <w:p>
      <w:pPr>
        <w:ind w:left="860" w:hanging="446"/>
        <w:spacing w:after="0" w:line="289"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During the Term, Executive shall not accept employment with or render services to any specifically identified Unauthorized Competitor as a director, officer, agent, employee, independent contractor or consultant, or take any action inconsistent with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anywhere in the world with </w:t>
      </w:r>
      <w:r>
        <w:rPr>
          <w:rFonts w:ascii="Arial" w:cs="Arial" w:eastAsia="Arial" w:hAnsi="Arial"/>
          <w:sz w:val="16"/>
          <w:szCs w:val="16"/>
          <w:b w:val="1"/>
          <w:bCs w:val="1"/>
          <w:color w:val="auto"/>
        </w:rPr>
        <w:t>any company or other enterprise except an Unauthorized Competitor. For</w:t>
      </w:r>
      <w:r>
        <w:rPr>
          <w:rFonts w:ascii="Arial" w:cs="Arial" w:eastAsia="Arial" w:hAnsi="Arial"/>
          <w:sz w:val="16"/>
          <w:szCs w:val="16"/>
          <w:color w:val="auto"/>
        </w:rPr>
        <w:t xml:space="preserve"> </w:t>
      </w:r>
      <w:r>
        <w:rPr>
          <w:rFonts w:ascii="Arial" w:cs="Arial" w:eastAsia="Arial" w:hAnsi="Arial"/>
          <w:sz w:val="16"/>
          <w:szCs w:val="16"/>
          <w:b w:val="1"/>
          <w:bCs w:val="1"/>
          <w:color w:val="auto"/>
        </w:rPr>
        <w:t>purposes of this Agreement, an “Unauthorized Competitor” refers specifically and exclusively to Halliburton Company, Baker Hughes Inc., Weatherford International, Archer Limited, OiLSERV, Aker Solutions ASA, FMC Technologies, including any and all of their parents, subsidiaries, affiliates, joint ventures, divisions, successors, or assigns, as of the date of this Agreement.</w:t>
      </w:r>
    </w:p>
    <w:p>
      <w:pPr>
        <w:spacing w:after="0" w:line="37" w:lineRule="exact"/>
        <w:rPr>
          <w:rFonts w:ascii="Arial" w:cs="Arial" w:eastAsia="Arial" w:hAnsi="Arial"/>
          <w:sz w:val="16"/>
          <w:szCs w:val="16"/>
          <w:color w:val="auto"/>
        </w:rPr>
      </w:pPr>
    </w:p>
    <w:p>
      <w:pPr>
        <w:jc w:val="both"/>
        <w:ind w:left="860" w:right="80" w:hanging="446"/>
        <w:spacing w:after="0" w:line="332"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4" w:lineRule="exact"/>
        <w:rPr>
          <w:rFonts w:ascii="Arial" w:cs="Arial" w:eastAsia="Arial" w:hAnsi="Arial"/>
          <w:sz w:val="16"/>
          <w:szCs w:val="16"/>
          <w:color w:val="auto"/>
        </w:rPr>
      </w:pPr>
    </w:p>
    <w:p>
      <w:pPr>
        <w:ind w:left="860" w:right="280" w:hanging="446"/>
        <w:spacing w:after="0" w:line="268"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acknowledges that this restrictive covenant under Section 5, for which he received consideration from the Company as provided in this Section 5, is ancillary to otherwise enforceable provisions of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52" w:name="page53"/>
    <w:bookmarkEnd w:id="52"/>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37" w:lineRule="exact"/>
        <w:rPr>
          <w:sz w:val="20"/>
          <w:szCs w:val="20"/>
          <w:color w:val="auto"/>
        </w:rPr>
      </w:pPr>
    </w:p>
    <w:p>
      <w:pPr>
        <w:ind w:left="446" w:right="440" w:hanging="446"/>
        <w:spacing w:after="0" w:line="268"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further acknowledges that if his employment terminates prior to the Term, pursuant to Section 4 (c), (d) or (e) of this Agreement, the covenant not to compete provisions of this Agreement will extend throughout the remainder of the Term.</w:t>
      </w:r>
    </w:p>
    <w:p>
      <w:pPr>
        <w:spacing w:after="0" w:line="131" w:lineRule="exact"/>
        <w:rPr>
          <w:rFonts w:ascii="Arial" w:cs="Arial" w:eastAsia="Arial" w:hAnsi="Arial"/>
          <w:sz w:val="18"/>
          <w:szCs w:val="18"/>
          <w:color w:val="auto"/>
        </w:rPr>
      </w:pPr>
    </w:p>
    <w:p>
      <w:pPr>
        <w:ind w:left="-454" w:right="260" w:firstLine="464"/>
        <w:spacing w:after="0" w:line="318" w:lineRule="auto"/>
        <w:tabs>
          <w:tab w:leader="none" w:pos="251"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Employment by Affiliates</w:t>
      </w:r>
      <w:r>
        <w:rPr>
          <w:rFonts w:ascii="Arial" w:cs="Arial" w:eastAsia="Arial" w:hAnsi="Arial"/>
          <w:sz w:val="15"/>
          <w:szCs w:val="15"/>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Curaçao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00" w:lineRule="exact"/>
        <w:rPr>
          <w:sz w:val="20"/>
          <w:szCs w:val="20"/>
          <w:color w:val="auto"/>
        </w:rPr>
      </w:pPr>
    </w:p>
    <w:p>
      <w:pPr>
        <w:jc w:val="both"/>
        <w:ind w:left="-454" w:right="500" w:firstLine="464"/>
        <w:spacing w:after="0" w:line="259" w:lineRule="auto"/>
        <w:tabs>
          <w:tab w:leader="none" w:pos="17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ind w:left="-454" w:right="80" w:firstLine="464"/>
        <w:spacing w:after="0" w:line="332" w:lineRule="auto"/>
        <w:tabs>
          <w:tab w:leader="none" w:pos="17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purposes of this Agreement,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0946"/>
          </w:cols>
          <w:pgMar w:left="694" w:top="280" w:right="259" w:bottom="1440" w:gutter="0" w:footer="0" w:header="0"/>
        </w:sectPr>
      </w:pPr>
    </w:p>
    <w:p>
      <w:pPr>
        <w:spacing w:after="0" w:line="126" w:lineRule="exact"/>
        <w:rPr>
          <w:sz w:val="20"/>
          <w:szCs w:val="20"/>
          <w:color w:val="auto"/>
        </w:rPr>
      </w:pPr>
    </w:p>
    <w:p>
      <w:pPr>
        <w:ind w:left="466"/>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Sivakumar Nadarajah,</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Executive Compensation</w:t>
      </w:r>
    </w:p>
    <w:p>
      <w:pPr>
        <w:spacing w:after="0" w:line="186" w:lineRule="exact"/>
        <w:rPr>
          <w:sz w:val="20"/>
          <w:szCs w:val="20"/>
          <w:color w:val="auto"/>
        </w:rPr>
      </w:pPr>
    </w:p>
    <w:p>
      <w:pPr>
        <w:sectPr>
          <w:pgSz w:w="11900" w:h="16838" w:orient="portrait"/>
          <w:cols w:equalWidth="0" w:num="2">
            <w:col w:w="1866" w:space="720"/>
            <w:col w:w="8360"/>
          </w:cols>
          <w:pgMar w:left="694" w:top="280" w:right="259" w:bottom="1440" w:gutter="0" w:footer="0" w:header="0"/>
          <w:type w:val="continuous"/>
        </w:sectPr>
      </w:pPr>
    </w:p>
    <w:p>
      <w:pPr>
        <w:jc w:val="center"/>
        <w:ind w:right="414"/>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46"/>
          </w:cols>
          <w:pgMar w:left="694" w:top="280" w:right="259" w:bottom="1440" w:gutter="0" w:footer="0" w:header="0"/>
          <w:type w:val="continuous"/>
        </w:sectPr>
      </w:pPr>
    </w:p>
    <w:bookmarkStart w:id="53" w:name="page54"/>
    <w:bookmarkEnd w:id="53"/>
    <w:p>
      <w:pPr>
        <w:ind w:left="9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Kjell-Erik Oestdahl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-219710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[At the address on file at the Company]</w:t>
      </w:r>
    </w:p>
    <w:p>
      <w:pPr>
        <w:spacing w:after="0" w:line="200" w:lineRule="exact"/>
        <w:rPr>
          <w:sz w:val="20"/>
          <w:szCs w:val="20"/>
          <w:color w:val="auto"/>
        </w:rPr>
      </w:pPr>
    </w:p>
    <w:p>
      <w:pPr>
        <w:sectPr>
          <w:pgSz w:w="11900" w:h="16838" w:orient="portrait"/>
          <w:cols w:equalWidth="0" w:num="2">
            <w:col w:w="2320" w:space="720"/>
            <w:col w:w="8360"/>
          </w:cols>
          <w:pgMar w:left="240" w:top="280" w:right="259" w:bottom="1440" w:gutter="0" w:footer="0" w:header="0"/>
        </w:sectPr>
      </w:pP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32" w:lineRule="exact"/>
        <w:rPr>
          <w:sz w:val="20"/>
          <w:szCs w:val="20"/>
          <w:color w:val="auto"/>
        </w:rPr>
      </w:pPr>
    </w:p>
    <w:p>
      <w:pPr>
        <w:ind w:right="68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w:t>
      </w:r>
    </w:p>
    <w:p>
      <w:pPr>
        <w:spacing w:after="0" w:line="85" w:lineRule="exact"/>
        <w:rPr>
          <w:rFonts w:ascii="Arial" w:cs="Arial" w:eastAsia="Arial" w:hAnsi="Arial"/>
          <w:sz w:val="16"/>
          <w:szCs w:val="16"/>
          <w:color w:val="auto"/>
        </w:rPr>
      </w:pPr>
    </w:p>
    <w:p>
      <w:pPr>
        <w:ind w:right="460" w:firstLine="464"/>
        <w:spacing w:after="0" w:line="268"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31" w:lineRule="exact"/>
        <w:rPr>
          <w:rFonts w:ascii="Arial" w:cs="Arial" w:eastAsia="Arial" w:hAnsi="Arial"/>
          <w:sz w:val="18"/>
          <w:szCs w:val="18"/>
          <w:color w:val="auto"/>
        </w:rPr>
      </w:pPr>
    </w:p>
    <w:p>
      <w:pPr>
        <w:ind w:right="340" w:firstLine="464"/>
        <w:spacing w:after="0" w:line="268"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31" w:lineRule="exact"/>
        <w:rPr>
          <w:rFonts w:ascii="Arial" w:cs="Arial" w:eastAsia="Arial" w:hAnsi="Arial"/>
          <w:sz w:val="18"/>
          <w:szCs w:val="18"/>
          <w:color w:val="auto"/>
        </w:rPr>
      </w:pPr>
    </w:p>
    <w:p>
      <w:pPr>
        <w:ind w:right="320" w:firstLine="464"/>
        <w:spacing w:after="0" w:line="294" w:lineRule="auto"/>
        <w:tabs>
          <w:tab w:leader="none" w:pos="71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340" w:firstLine="464"/>
        <w:spacing w:after="0" w:line="335" w:lineRule="auto"/>
        <w:tabs>
          <w:tab w:leader="none" w:pos="72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Effect of Prior Agreements</w:t>
      </w:r>
      <w:r>
        <w:rPr>
          <w:rFonts w:ascii="Arial" w:cs="Arial" w:eastAsia="Arial" w:hAnsi="Arial"/>
          <w:sz w:val="15"/>
          <w:szCs w:val="15"/>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ensuring to Executive of a kind elsewhere provided and not expressly provided or modified in this Agreement.</w:t>
      </w:r>
    </w:p>
    <w:p>
      <w:pPr>
        <w:spacing w:after="0" w:line="88" w:lineRule="exact"/>
        <w:rPr>
          <w:rFonts w:ascii="Arial" w:cs="Arial" w:eastAsia="Arial" w:hAnsi="Arial"/>
          <w:sz w:val="15"/>
          <w:szCs w:val="15"/>
          <w:color w:val="auto"/>
        </w:rPr>
      </w:pPr>
    </w:p>
    <w:p>
      <w:pPr>
        <w:ind w:right="560"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consideration for the compensation and other benefits provided pursuant to this Agreement, Executive agrees to execute a “Waiver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type w:val="continuous"/>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 a form of which is attached hereto as Exhibit A. Executive acknowledges that he was given copies of this Agreement and the Waiver and Release on February 19th, 2013, and was given sufficient time to consider whether to sign the Agreement and the Waiver and Release. The Company’s obligations under this Agreement are expressly conditioned on the execution of the Waiver and Release contemporaneously with the execution of this Agreement, and Executive’s failure to execute and deliver such Waiver and Release, or Executive’s revocation of the Waiver and Release within the seven day period provided in the Release, will void the Company’s obligations hereunder.</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WITNESS WHEREOF, the parties have caused this Agreement to be executed and delivered the 19th day of February 2013, but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Stephanie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940"/>
        <w:spacing w:after="0"/>
        <w:tabs>
          <w:tab w:leader="none" w:pos="7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Kjell-Erik Oestdahl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AIVER</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ELEASE</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Limited has offered to pay me certain benefits (“Benefits”) pursuant to my Employment Agreement with Schlumberger Limited, effective as of March 1</w:t>
      </w:r>
      <w:r>
        <w:rPr>
          <w:rFonts w:ascii="Arial" w:cs="Arial" w:eastAsia="Arial" w:hAnsi="Arial"/>
          <w:sz w:val="10"/>
          <w:szCs w:val="10"/>
          <w:color w:val="auto"/>
        </w:rPr>
        <w:t>st</w:t>
      </w:r>
      <w:r>
        <w:rPr>
          <w:rFonts w:ascii="Arial" w:cs="Arial" w:eastAsia="Arial" w:hAnsi="Arial"/>
          <w:sz w:val="16"/>
          <w:szCs w:val="16"/>
          <w:color w:val="auto"/>
        </w:rPr>
        <w:t>, 2013 (the “Agreement”), which are in addition to any remuneration or benefits to which I am already entitled. These Benefits were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said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provision of the Benefits is voluntary on the part of the Company and is not required by any legal obligation other than the Agreement. I choose to accept this offer.</w:t>
      </w:r>
    </w:p>
    <w:p>
      <w:pPr>
        <w:spacing w:after="0" w:line="12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 understand that signing this Waiver and Release is an important legal act. I acknowledge that the Company has advised me in writing to consult an attorney before signing this Waiver and Release. I understand that, in order to be eligible for Benefits, I must sign (and return to Sivakumar Nadarajah, Executive Compensation, Schlumberger Limited, 5599 San Felipe, 17</w:t>
      </w:r>
      <w:r>
        <w:rPr>
          <w:rFonts w:ascii="Arial" w:cs="Arial" w:eastAsia="Arial" w:hAnsi="Arial"/>
          <w:sz w:val="10"/>
          <w:szCs w:val="10"/>
          <w:color w:val="auto"/>
        </w:rPr>
        <w:t>th</w:t>
      </w:r>
      <w:r>
        <w:rPr>
          <w:rFonts w:ascii="Arial" w:cs="Arial" w:eastAsia="Arial" w:hAnsi="Arial"/>
          <w:sz w:val="16"/>
          <w:szCs w:val="16"/>
          <w:color w:val="auto"/>
        </w:rPr>
        <w:t xml:space="preserve"> Floor, Houston, TX 77056) this Waiver and Release by 5 p.m. on March 22, 2013. I acknowledge that I have been given at least 21 days to consider whether to sign the Agreement and whether to execute this Waiver and Release.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exchange for the payment to me of Benefits, which are in addition to any remuneration or benefits to which I am already entitled, I, among other things,</w:t>
      </w:r>
    </w:p>
    <w:p>
      <w:pPr>
        <w:spacing w:after="0" w:line="38" w:lineRule="exact"/>
        <w:rPr>
          <w:sz w:val="20"/>
          <w:szCs w:val="20"/>
          <w:color w:val="auto"/>
        </w:rPr>
      </w:pPr>
    </w:p>
    <w:p>
      <w:pPr>
        <w:ind w:right="20" w:firstLine="8"/>
        <w:spacing w:after="0" w:line="290"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agree not to sue the Corporate Group in any local, state and/or federal court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 and Release includes, but is not limited to, claims and causes of action under: Title VII of the Civil Rights Act of 1964, as amended (“Title VII”);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Fair Labor Standards Act; the Occupational Safety and Health Act; claims in connection with workers’ compensation or “whistle blower” statutes; and/or contract, tort, defamation, slander, wrongful termination or any other state or federal regulatory, statutory or common law.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Agreement is intended to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 acknowledge that payment of Benefits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I acknowledge that this Waiver and Release does not create any right on my part to be rehired by the Company or the Affiliates and I hereby waive any right to future employment by the Company or any other member of the Corporate Group.</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and, in that connection, from making confidential disclosure to potential employers of such facts or opinions as I may elect to convey, nor is it intended to restrict Schlumberger from conducting such confidential internal communications as may be necessary to manage this resignation in a businesslike way.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57" w:name="page58"/>
    <w:bookmarkEnd w:id="5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and/or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Sivakumar Nadarajah, Director Executive Compensation of Schlumberger Limited - Houston, in which case the Waiver and Release will not become effective. In the event I revoke my acceptance of this offer, the Company shall have no obligation to provide me Benefits. I understand that failure to revoke my acceptance of the offer within 7 calendar days from the date I sign this Waiver and Release will result in this Waiver and Release being permanent and irrevocable.</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ectPr>
          <w:pgSz w:w="11900" w:h="16838" w:orient="portrait"/>
          <w:cols w:equalWidth="0" w:num="1">
            <w:col w:w="11380"/>
          </w:cols>
          <w:pgMar w:left="240" w:top="280" w:right="27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Employee’s Printed 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Company Representative</w:t>
      </w:r>
    </w:p>
    <w:p>
      <w:pPr>
        <w:spacing w:after="0" w:line="211"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Employee’s Signature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Company’s Execution Date</w:t>
      </w:r>
    </w:p>
    <w:p>
      <w:pPr>
        <w:spacing w:after="0" w:line="211"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280" w:right="27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1994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1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1994 Stock Option Plan (the “Plan”), and having reserved the right under Section 12 thereof to amend the Plan, does hereby amend Section 3(a) of the Plan by adding the following sentence to the end thereto, effective as of June 30, 2013:</w:t>
      </w:r>
    </w:p>
    <w:p>
      <w:pPr>
        <w:spacing w:after="0" w:line="59"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“The foregoing notwithstanding, with respect to an employee who has received a Stock Option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Stock Options shall not be affected by such employee’s subsequent transfer of employment directly and without interruption from a OneSubsea Company to the Company or any of its Subsidiaries, from the Company or any of its Subsidiaries to a One Subsea Company or between One Subsea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1998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1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1998 Stock Option Plan (the “Plan”), and having reserved the right under Section 12 thereof to amend the Plan, does hereby amend Section 3(a) of the Plan by adding the following sentence to the end thereto, effective as of June 30, 2013:</w:t>
      </w:r>
    </w:p>
    <w:p>
      <w:pPr>
        <w:spacing w:after="0" w:line="59"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“The foregoing notwithstanding, with respect to an employee who has received a Stock Option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Stock Options shall not be affected by such employee’s subsequent transfer of employment directly and without interruption from a OneSubsea Company to the Company or any of its Subsidiaries, from the Company or any of its Subsidiaries to a One Subsea Company or between OneSubsea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2001 Stock Option Plan (the “Plan”), and having reserved the right under Section 12 thereof to amend the Plan, does hereby amend Section 3(a) of the Plan by adding the following sentence to the end thereto, effective as of June 30, 2013:</w:t>
      </w:r>
    </w:p>
    <w:p>
      <w:pPr>
        <w:spacing w:after="0" w:line="59" w:lineRule="exact"/>
        <w:rPr>
          <w:sz w:val="20"/>
          <w:szCs w:val="20"/>
          <w:color w:val="auto"/>
        </w:rPr>
      </w:pPr>
    </w:p>
    <w:p>
      <w:pPr>
        <w:ind w:left="460" w:right="140"/>
        <w:spacing w:after="0" w:line="252" w:lineRule="auto"/>
        <w:rPr>
          <w:sz w:val="20"/>
          <w:szCs w:val="20"/>
          <w:color w:val="auto"/>
        </w:rPr>
      </w:pPr>
      <w:r>
        <w:rPr>
          <w:rFonts w:ascii="Arial" w:cs="Arial" w:eastAsia="Arial" w:hAnsi="Arial"/>
          <w:sz w:val="18"/>
          <w:szCs w:val="18"/>
          <w:color w:val="auto"/>
        </w:rPr>
        <w:t>“The foregoing notwithstanding, with respect to an employee who has received a Stock Option and whose employment is transferred directly and without interruption to a corporation, limited liability company or other entity (a ‘One Subsea Company’) pursuant to and in accordance with the terms of that certain Master Formation Agreement by and among Cameron International Corporation, the Company, Schlumberger Technology Corporation and Schlumberger B.V., dated as of</w:t>
      </w:r>
    </w:p>
    <w:p>
      <w:pPr>
        <w:spacing w:after="0" w:line="1" w:lineRule="exact"/>
        <w:rPr>
          <w:sz w:val="20"/>
          <w:szCs w:val="20"/>
          <w:color w:val="auto"/>
        </w:rPr>
      </w:pPr>
    </w:p>
    <w:p>
      <w:pPr>
        <w:ind w:left="460" w:right="200"/>
        <w:spacing w:after="0" w:line="295" w:lineRule="auto"/>
        <w:rPr>
          <w:sz w:val="20"/>
          <w:szCs w:val="20"/>
          <w:color w:val="auto"/>
        </w:rPr>
      </w:pPr>
      <w:r>
        <w:rPr>
          <w:rFonts w:ascii="Arial" w:cs="Arial" w:eastAsia="Arial" w:hAnsi="Arial"/>
          <w:sz w:val="16"/>
          <w:szCs w:val="16"/>
          <w:color w:val="auto"/>
        </w:rPr>
        <w:t>November 14, 2012, and the related agreements contemplated therein, such employee’s employment with the Company shall include employment with a One Subsea Company for all purposes under the Plan (other than eligibility for new grants), and any Stock Options shall not be affected by such employee’s subsequent transfer of employment directly and without interruption from a One Subsea Company to the Company or any of its Subsidiaries, from the Company or any of its Subsidiaries to a One Subsea Company or between One Subsea Companies.”</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2005 STOCK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1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2005 Stock Incentive Plan (the “Plan”), and having reserved the right under Section 12 thereof to amend the Plan, does hereby amend Section 3(a) of the Plan by adding the following sentence to the end thereto, effective as of June 30, 2013:</w:t>
      </w:r>
    </w:p>
    <w:p>
      <w:pPr>
        <w:spacing w:after="0" w:line="59" w:lineRule="exact"/>
        <w:rPr>
          <w:sz w:val="20"/>
          <w:szCs w:val="20"/>
          <w:color w:val="auto"/>
        </w:rPr>
      </w:pPr>
    </w:p>
    <w:p>
      <w:pPr>
        <w:ind w:left="460" w:right="200"/>
        <w:spacing w:after="0" w:line="290" w:lineRule="auto"/>
        <w:rPr>
          <w:sz w:val="20"/>
          <w:szCs w:val="20"/>
          <w:color w:val="auto"/>
        </w:rPr>
      </w:pPr>
      <w:r>
        <w:rPr>
          <w:rFonts w:ascii="Arial" w:cs="Arial" w:eastAsia="Arial" w:hAnsi="Arial"/>
          <w:sz w:val="16"/>
          <w:szCs w:val="16"/>
          <w:color w:val="auto"/>
        </w:rPr>
        <w:t>“The foregoing notwithstanding, with respect to an employee who has received an Award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Awards shall not be affected by such employee’s subsequent transfer of employment directly and without interruption from a OneSubsea Company to the Company or any of its Subsidiaries, from the Company or any of its Subsidiaries to a OneSubsea Company or between OneSubsea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2008 STOCK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2008 Stock Incentive Plan (the “Plan”), and having reserved the right under Section 12 thereof to amend the Plan, does hereby amend Section 3(a) of the Plan by adding the following sentence to the end thereto, effective as of June 30, 2013:</w:t>
      </w:r>
    </w:p>
    <w:p>
      <w:pPr>
        <w:spacing w:after="0" w:line="59" w:lineRule="exact"/>
        <w:rPr>
          <w:sz w:val="20"/>
          <w:szCs w:val="20"/>
          <w:color w:val="auto"/>
        </w:rPr>
      </w:pPr>
    </w:p>
    <w:p>
      <w:pPr>
        <w:ind w:left="460" w:right="200"/>
        <w:spacing w:after="0" w:line="290" w:lineRule="auto"/>
        <w:rPr>
          <w:sz w:val="20"/>
          <w:szCs w:val="20"/>
          <w:color w:val="auto"/>
        </w:rPr>
      </w:pPr>
      <w:r>
        <w:rPr>
          <w:rFonts w:ascii="Arial" w:cs="Arial" w:eastAsia="Arial" w:hAnsi="Arial"/>
          <w:sz w:val="16"/>
          <w:szCs w:val="16"/>
          <w:color w:val="auto"/>
        </w:rPr>
        <w:t>“The foregoing notwithstanding, with respect to an employee who has received an Award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Awards shall not be affected by such employee’s subsequent transfer of employment directly and without interruption from a OneSubsea Company to the Company or any of its Subsidiaries, from the Company or any of its Subsidiaries to a One Subsea Company or between OneSubsea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2010 OMNIBUS STOCK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77"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2010 Omnibus Stock Incentive Plan (the “Plan”), and having reserved the right under Section 11 thereof to amend the Plan, does hereby amend the definition of “Employee” in Section 2 of the Plan, effective as of June 30, 2013, to read as follows:</w:t>
      </w:r>
    </w:p>
    <w:p>
      <w:pPr>
        <w:spacing w:after="0" w:line="59"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‘“Employee’ means an employee of the Company or any of its Subsidiaries and an individual who has agreed to become an employee of the Company or any of its Subsidiaries and actually becomes such an employee within the following six months. The foregoing notwithstanding, with respect to an Employee who has received an Award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Awards shall not be affected by such employee’s subsequent transfer of employment directly and without interruption from a OneSubsea Company to the Company or any of its Subsidiaries, from the Company or any of its Subsidiaries to a One Subsea Company or between OneSubsea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77"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Schlumberger Limited, a Curaçao corporation, having heretofore adopted the Schlumberger 2013 Omnibus Stock Incentive Plan (the “Plan”), and having reserved the right under Section 11 thereof to amend the Plan, does hereby amend the definition of “Employee” in Section 2 of the Plan, effective as of June 30, 2013, to read as follows:</w:t>
      </w:r>
    </w:p>
    <w:p>
      <w:pPr>
        <w:spacing w:after="0" w:line="59"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‘“Employee’ means an employee of the Company or any of its Subsidiaries and an individual who has agreed to become an employee of the Company or any of its Subsidiaries and actually becomes such an employee within the following six months. The foregoing notwithstanding, with respect to an Employee who has received an Award and whose employment is transferred directly and without interruption to a corporation, limited liability company or other entity (a ‘OneSubsea Company’) pursuant to and in accordance with the terms of that certain Master Formation Agreement by and among Cameron International Corporation, the Company, Schlumberger Technology Corporation and Schlumberger B.V., dated as of November 14, 2012, and the related agreements contemplated therein, such employee’s employment with the Company shall include employment with a OneSubsea Company for all purposes under the Plan (other than eligibility for new grants), and any Awards shall not be affected by such employee’s subsequent transfer of employment directly and without interruption from a OneSubsea Company to the Company or any of its Subsidiaries, from the Company or any of its Subsidiaries to a One Subsea Company or between OneSubsea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Approved on behalf of Schlumberger Limited by:</w:t>
      </w:r>
    </w:p>
    <w:p>
      <w:pPr>
        <w:spacing w:after="0" w:line="171" w:lineRule="exact"/>
        <w:rPr>
          <w:sz w:val="20"/>
          <w:szCs w:val="20"/>
          <w:color w:val="auto"/>
        </w:rPr>
      </w:pPr>
    </w:p>
    <w:p>
      <w:pPr>
        <w:spacing w:after="0"/>
        <w:tabs>
          <w:tab w:leader="none" w:pos="640" w:val="left"/>
          <w:tab w:leader="none" w:pos="960" w:val="left"/>
        </w:tabs>
        <w:rPr>
          <w:sz w:val="20"/>
          <w:szCs w:val="20"/>
          <w:color w:val="auto"/>
        </w:rPr>
      </w:pPr>
      <w:r>
        <w:rPr>
          <w:rFonts w:ascii="Arial" w:cs="Arial" w:eastAsia="Arial" w:hAnsi="Arial"/>
          <w:sz w:val="18"/>
          <w:szCs w:val="18"/>
          <w:color w:val="auto"/>
        </w:rPr>
        <w:t>Name:</w:t>
        <w:tab/>
        <w:t>/s/</w:t>
      </w:r>
      <w:r>
        <w:rPr>
          <w:sz w:val="20"/>
          <w:szCs w:val="20"/>
          <w:color w:val="auto"/>
        </w:rPr>
        <w:tab/>
      </w:r>
      <w:r>
        <w:rPr>
          <w:rFonts w:ascii="Arial" w:cs="Arial" w:eastAsia="Arial" w:hAnsi="Arial"/>
          <w:sz w:val="15"/>
          <w:szCs w:val="15"/>
          <w:color w:val="auto"/>
        </w:rPr>
        <w:t>Alexander C. Juden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 and General Counsel</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SCHLUMBERGER 2010 STOCK INCENTIVE PLAN</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STOCK OPTION AWARD AGREEMENT FOR FRANCE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(“FRENCH QUALIFIED INCENTIVE STOCK OPTIONS”)</w:t>
      </w:r>
    </w:p>
    <w:p>
      <w:pPr>
        <w:spacing w:after="0" w:line="16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SCHLUMBERGER LIMITED, a Curacao corporation (the “Company”), hereby grants to you an incentive stock option (the “ISO”) to purchase Common Stock of the Company, par value $0.01 per share, as more fully described below. The date of grant of this ISO (the “Grant Date”), the ISO exercise price and the number of shares subject to this ISO (collectively, the “Option Shares”) are set forth in an award notice that has been previously delivered to you. Your ISO is subject to all the terms and conditions of the Schlumberger 2010 Omnibus Stock Incentive Plan (the “Plan”) and the Schlumberger 2010 Omnibus Stock Incentive Plan for Employees in France (the “French Plan”) as in effect on the date hereof and this Agreement. Your ISO is intended to constitute an “incentive stock option” under Section 422 of the U.S. Internal Revenue Code of 1986 (the “Code”) and the Treasury Regulations promulgated thereunder. The meaning of the term “non qualified” in this agreement is only with reference to the applicable regulations of the U.S. Internal Revenue Code and has no bearing with respect to the French tax and social security regulations. It is intended that stock options granted under the French Plan shall qualify for the specific tax and social security treatment applicable to Stock-Options granted under Articles L. 225-177 to L. 225-186 of the French Commercial Code, as subsequently amended, and in accordance with the relevant provisions set forth by French tax law and the French tax administration.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set forth below, this ISO expires on the nine year and six month anniversary of the Grant Date (the “Expiration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on which your ISO will become exercisable is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ind w:left="2460"/>
              <w:spacing w:after="0"/>
              <w:rPr>
                <w:sz w:val="20"/>
                <w:szCs w:val="20"/>
                <w:color w:val="auto"/>
              </w:rPr>
            </w:pPr>
            <w:r>
              <w:rPr>
                <w:rFonts w:ascii="Arial" w:cs="Arial" w:eastAsia="Arial" w:hAnsi="Arial"/>
                <w:sz w:val="14"/>
                <w:szCs w:val="14"/>
                <w:color w:val="auto"/>
              </w:rPr>
              <w:t>DATE</w:t>
            </w:r>
          </w:p>
        </w:tc>
        <w:tc>
          <w:tcPr>
            <w:tcW w:w="3100" w:type="dxa"/>
            <w:vAlign w:val="bottom"/>
          </w:tcPr>
          <w:p>
            <w:pPr>
              <w:jc w:val="right"/>
              <w:ind w:right="136"/>
              <w:spacing w:after="0"/>
              <w:rPr>
                <w:sz w:val="20"/>
                <w:szCs w:val="20"/>
                <w:color w:val="auto"/>
              </w:rPr>
            </w:pPr>
            <w:r>
              <w:rPr>
                <w:rFonts w:ascii="Arial" w:cs="Arial" w:eastAsia="Arial" w:hAnsi="Arial"/>
                <w:sz w:val="14"/>
                <w:szCs w:val="14"/>
                <w:color w:val="auto"/>
              </w:rPr>
              <w:t>OPTION SHARES</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Anniversary of Grant Date</w:t>
            </w:r>
          </w:p>
        </w:tc>
        <w:tc>
          <w:tcPr>
            <w:tcW w:w="3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Anniversary of Grant Date</w:t>
            </w:r>
          </w:p>
        </w:tc>
        <w:tc>
          <w:tcPr>
            <w:tcW w:w="3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1"/>
                <w:szCs w:val="11"/>
                <w:color w:val="auto"/>
              </w:rPr>
              <w:t>th</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5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keeping with the Company’s general policy, the terms of this Agreement, including the vesting schedule, are put in place in certain countries to accommodate local regulations. The vesting schedule above, and therefore your ability to exercise your ISO at certain times and certain other terms of the ISO may change if you move from one country to another.</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ISO may be exercised only by delivering to the Company a written notice (or an electronic notice in the manner specified by the Compensation Committee (the “Committee”)) specifying the number of shares you wish to purchase. The Committee, authorized by the Company to administer the Plan, hereby notifies you that the ISO price may be paid, subject to such rules and procedures as the Committee may prescribe from time to time in cash, certified check or by wire transfer</w:t>
      </w:r>
      <w:r>
        <w:rPr>
          <w:rFonts w:ascii="Arial" w:cs="Arial" w:eastAsia="Arial" w:hAnsi="Arial"/>
          <w:sz w:val="18"/>
          <w:szCs w:val="18"/>
          <w:b w:val="1"/>
          <w:bCs w:val="1"/>
          <w:color w:val="auto"/>
        </w:rPr>
        <w: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ISO, the Committee in its sole discretion has authorized the extension of an option financing program coordinated with a third party as posted on the stock options department website. The terms and procedures of this program or any such program that the Committee may authorize in the future will be communicated to you.</w:t>
      </w:r>
    </w:p>
    <w:p>
      <w:pPr>
        <w:sectPr>
          <w:pgSz w:w="11900" w:h="16838" w:orient="portrait"/>
          <w:cols w:equalWidth="0" w:num="1">
            <w:col w:w="11420"/>
          </w:cols>
          <w:pgMar w:left="240" w:top="125" w:right="239" w:bottom="1440" w:gutter="0" w:footer="0" w:header="0"/>
        </w:sectPr>
      </w:pPr>
    </w:p>
    <w:bookmarkStart w:id="66" w:name="page67"/>
    <w:bookmarkEnd w:id="66"/>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ISO will expire earlier than the date set forth above if you terminate employment with the Company and its Subsidiaries (as defined in the Plan).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“retire” or become “disabled” (as defined below), or terminate employment due to death.</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your employment with the Company and its Subsidiaries is terminated due to retirement, your ISO shall be exercisable at any time during the period of sixty (60) months after such termination or the remainder of the term of the ISO, whichever is less (the “Retirement Exercise Period”), provided that such option may be exercised after such termination and before expiration only to the extent that it is exercisable on the date of such termination. For purposes of this Agreement, “retirement” shall mean termination of the grantee’s employment with the Company and all Subsidiaries at or after (i) age 55 or (ii) age 50 and completion of at least 10 years of service with the Company and all affiliates. As more fully described in the Prospectus related to the Plan, if you exercise your option more than three (3) months following your retirement, your Option Shares will be treated as attributable to the exercise of a non-qualified stock option for U.S. tax purposes.</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your employment with the Company is terminated due to disability or death, your ISO shall automatically become fully vested and exercisable. If your employment with the Company is terminated due to disability, you may exercise the outstanding Stock Option at any time during the period of sixty (60) months after such termination or the remainder of the term of the ISO, whichever is less (the “Disability Exercise Period”). If your employment with the Company is terminated due to death, you may exercise the outstanding Stock Option at any time during the period of six (6) months after such termination. For purposes of this Agreement, “disability” shall mean such disability (whether through physical or mental impairment) which totally and permanently incapacitates you from any gainful employment in any field which you are suited by education, training, or experience, as determined by the Committee in its sole and absolute discretion. As more fully described in the Prospectus related to the Plan, if you exercise your option more than twelve (12) months after you terminate employment due to disability, your Option Shares will be treated as attributable to the exercise of a non-qualified stock option for U.S. tax purposes.</w:t>
      </w:r>
    </w:p>
    <w:p>
      <w:pPr>
        <w:spacing w:after="0" w:line="118"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the event that you die while employed or during the Retirement Exercise Period or the Disability Exercise Period, your ISO may be exercised by the person or persons entitled thereto under your will or the laws of descent and distribution to the extent exercisable by you on the date of your death and to the extent the term of the ISO has not expired within such Retirement Exercise Period or Disability Exercise Period.</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termination of your employment with the Company and its Subsidiaries is because of breach of your employment contract or your misconduct, this ISO will immediately expire and terminate. Termination of your employment without consent of the Company or a Subsidiary, as applicable, will cause your ISO to expire immediately.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ISO may be forfeited, and any exercise you have made of this ISO may be rescinded, as further described below, if you engage in certain “detrimental activity” as defined below. Specifically, if you engage in detrimental activity while employed with the Company or its Subsidiaries or within one year following termination of employment for any reason other than</w:t>
      </w:r>
    </w:p>
    <w:p>
      <w:pPr>
        <w:sectPr>
          <w:pgSz w:w="11900" w:h="16838" w:orient="portrait"/>
          <w:cols w:equalWidth="0" w:num="1">
            <w:col w:w="11360"/>
          </w:cols>
          <w:pgMar w:left="240" w:top="280" w:right="299" w:bottom="1440" w:gutter="0" w:footer="0" w:header="0"/>
        </w:sectPr>
      </w:pPr>
    </w:p>
    <w:bookmarkStart w:id="67" w:name="page68"/>
    <w:bookmarkEnd w:id="6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or disability, this ISO will immediately expire and terminate and the Committee may rescind any exercise that you made under this option within six months preceding or three months following your termination. If you engage in detrimental activity while employed with the Company or its Subsidiaries or within five years following termination of employment by reason of retirement or disability, this ISO will immediately expire and terminate and the Committee may rescind any exercise that you made under this option within the period beginning six months prior to your termination by retirement or disability and ending on the expiration of your Retirement Exercise Period or Disability Exercise Period. In the event that any option exercise is rescinded by the Committee as described above, you will be obligated to pay the Company within 10 days following written demand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 For purposes of this Agreement, “detrimental activity” means activity that is determined by the Committee in its sole and absolute discretion to be detrimental to the interests of the Company or any of its Subsidiaries, including but not limited to situations where a grantee: (1) divulges trade secrets, proprietary data or other confidential information relating to the Company or to the business of the Company and any Subsidiaries, (2) enters into employment with a competitor under circumstances suggesting that such grantee will be using unique or special knowledge gained as a Company employee or Subsidiary employee to compete with the Company or its Subsidiaries, (3) uses information obtained during the course of his or her employment or prior employment for his or her own purposes, such as for the solicitation of business, (4) is determined to have engaged (whether or not prior to termination) in either gross misconduct or criminal activity harmful to the Company or a Subsidiary, or (5) takes any action that harms the business interests, reputation, or goodwill of the Company or its Subsidiaries. The Committee may delegate its authority to determine whether a holder has engaged in “detrimental activity” to an officer of the Company or to a subcommittee of the Committee.</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contemplated by the Plan, you may not exercise your ISO or any portion thereof, and no obligation exists to issue or release shares of stock or accept an exercise of this ISO, if the issuance or release of shares or the acceptance of the ISO exercise by the Company or a Subsidiary constitutes a violation of any governmental law or regulation.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ISO is not transferable or assignable except by will or laws of descent and distribution and then only to the extent exercisable at death. Any exercise of this ISO after your death must be made by the person or persons entitled to make such exercise under your will or by the laws of descent and distribution before expiration of the ISO.</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grant of this ISO is subject to the terms of the Plan, which is discretionary in nature, the French Plan and the terms of this Agreement. The grant of this ISO is a one-time benefit, and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long-service awards, pension or retirement benefits or similar payments. The vesting of this ISO ceases upon termination of employment for any reason except as may otherwise be explicitly provided in this Agreement.</w:t>
      </w:r>
    </w:p>
    <w:p>
      <w:pPr>
        <w:sectPr>
          <w:pgSz w:w="11900" w:h="16838" w:orient="portrait"/>
          <w:cols w:equalWidth="0" w:num="1">
            <w:col w:w="11420"/>
          </w:cols>
          <w:pgMar w:left="240" w:top="280" w:right="239" w:bottom="1440" w:gutter="0" w:footer="0" w:header="0"/>
        </w:sectPr>
      </w:pPr>
    </w:p>
    <w:bookmarkStart w:id="68" w:name="page69"/>
    <w:bookmarkEnd w:id="68"/>
    <w:p>
      <w:pPr>
        <w:ind w:right="3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do not wish to accept this Option Agreement, please return this Option Agreement to the Stock Department or notify the Stock Department.</w:t>
      </w:r>
    </w:p>
    <w:p>
      <w:pPr>
        <w:spacing w:after="0" w:line="18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color w:val="auto"/>
        </w:rPr>
        <w:t>www.myshares.slb.com</w:t>
      </w:r>
      <w:r>
        <w:rPr>
          <w:rFonts w:ascii="Arial" w:cs="Arial" w:eastAsia="Arial" w:hAnsi="Arial"/>
          <w:sz w:val="18"/>
          <w:szCs w:val="18"/>
          <w:color w:val="auto"/>
        </w:rPr>
        <w:t>. A paper copy of the Plan and/or prospectus may be obtained by contacting the Stock Department, Schlumberger Limited, 5599 San Felipe, 17</w:t>
      </w:r>
      <w:r>
        <w:rPr>
          <w:rFonts w:ascii="Arial" w:cs="Arial" w:eastAsia="Arial" w:hAnsi="Arial"/>
          <w:sz w:val="11"/>
          <w:szCs w:val="11"/>
          <w:color w:val="auto"/>
        </w:rPr>
        <w:t>th</w:t>
      </w:r>
      <w:r>
        <w:rPr>
          <w:rFonts w:ascii="Arial" w:cs="Arial" w:eastAsia="Arial" w:hAnsi="Arial"/>
          <w:sz w:val="18"/>
          <w:szCs w:val="18"/>
          <w:color w:val="auto"/>
        </w:rPr>
        <w:t xml:space="preserve"> Floor, Houston, Texas 77056.</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Paal Kibsgaard</w:t>
      </w:r>
    </w:p>
    <w:p>
      <w:pPr>
        <w:sectPr>
          <w:pgSz w:w="11900" w:h="16838" w:orient="portrait"/>
          <w:cols w:equalWidth="0" w:num="1">
            <w:col w:w="11300"/>
          </w:cols>
          <w:pgMar w:left="240" w:top="280" w:right="359" w:bottom="1440" w:gutter="0" w:footer="0" w:header="0"/>
        </w:sectPr>
      </w:pPr>
    </w:p>
    <w:bookmarkStart w:id="69" w:name="page70"/>
    <w:bookmarkEnd w:id="69"/>
    <w:p>
      <w:pPr>
        <w:ind w:left="10440"/>
        <w:spacing w:after="0"/>
        <w:rPr>
          <w:sz w:val="20"/>
          <w:szCs w:val="20"/>
          <w:color w:val="auto"/>
        </w:rPr>
      </w:pPr>
      <w:r>
        <w:rPr>
          <w:rFonts w:ascii="Arial" w:cs="Arial" w:eastAsia="Arial" w:hAnsi="Arial"/>
          <w:sz w:val="16"/>
          <w:szCs w:val="16"/>
          <w:b w:val="1"/>
          <w:bCs w:val="1"/>
          <w:color w:val="auto"/>
        </w:rPr>
        <w:t>Exhibit 10.11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2010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 FOR FRANCE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QUALIFIED STOCK OPTIONS”)</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SCHLUMBERGER LIMITED, a Curacao corporation (the “Company”), hereby grants to you a non-qualified stock option (the “Non-Qualified Option”) to purchase Common Stock of the Company, par value $0.01 per share, as more fully described below. The date of grant of this Non-Qualified Option (the “Grant Date”), the Non-Qualified Option exercise price and the number of shares subject to this Non-Qualified Option (collectively, the “Option Shares”) are set forth in an award notice that has been previously delivered to you. Your Non-Qualified Option is subject to all the terms and conditions of the Schlumberger 2010 Omnibus Stock Incentive Plan (the “Plan”) and the Schlumberger 2010 Omnibus Stock Incentive Plan for Employees in France (the “French Plan”) as in effect on the date hereof and this Agreement. Your Non-Qualified Option is not intended to constitute an “incentive stock option” under Section 422 of the U.S. Internal Revenue Code of 1986 (the “Code”) and the Treasury Regulations promulgated thereunder. The meaning of the term “Non Qualified” in this agreement is only with reference to the applicable regulations of the U.S. Internal Revenue Code and has no bearing with respect to the French tax and social security regulations. It is intended that stock options granted under the French Plan shall qualify for the specific tax and social security treatment applicable to Stock-Options granted under Articles L. 225-177 to L. 225-186 of the French Commercial Code, as subsequently amended, and in accordance with the relevant provisions set forth by French tax law and the French tax administration.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set forth below, this Non-Qualified Option expires on the tenth anniversary of the Grant Date (the “Expiration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on which your Non-Qualified Option will become exercisable is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ind w:left="2460"/>
              <w:spacing w:after="0"/>
              <w:rPr>
                <w:sz w:val="20"/>
                <w:szCs w:val="20"/>
                <w:color w:val="auto"/>
              </w:rPr>
            </w:pPr>
            <w:r>
              <w:rPr>
                <w:rFonts w:ascii="Arial" w:cs="Arial" w:eastAsia="Arial" w:hAnsi="Arial"/>
                <w:sz w:val="14"/>
                <w:szCs w:val="14"/>
                <w:color w:val="auto"/>
              </w:rPr>
              <w:t>DATE</w:t>
            </w:r>
          </w:p>
        </w:tc>
        <w:tc>
          <w:tcPr>
            <w:tcW w:w="3100" w:type="dxa"/>
            <w:vAlign w:val="bottom"/>
          </w:tcPr>
          <w:p>
            <w:pPr>
              <w:jc w:val="right"/>
              <w:ind w:right="136"/>
              <w:spacing w:after="0"/>
              <w:rPr>
                <w:sz w:val="20"/>
                <w:szCs w:val="20"/>
                <w:color w:val="auto"/>
              </w:rPr>
            </w:pPr>
            <w:r>
              <w:rPr>
                <w:rFonts w:ascii="Arial" w:cs="Arial" w:eastAsia="Arial" w:hAnsi="Arial"/>
                <w:sz w:val="14"/>
                <w:szCs w:val="14"/>
                <w:color w:val="auto"/>
              </w:rPr>
              <w:t>OPTION SHARES</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Anniversary of Grant Date</w:t>
            </w:r>
          </w:p>
        </w:tc>
        <w:tc>
          <w:tcPr>
            <w:tcW w:w="3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Anniversary of Grant Date</w:t>
            </w:r>
          </w:p>
        </w:tc>
        <w:tc>
          <w:tcPr>
            <w:tcW w:w="3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1"/>
                <w:szCs w:val="11"/>
                <w:color w:val="auto"/>
              </w:rPr>
              <w:t>th</w:t>
            </w:r>
            <w:r>
              <w:rPr>
                <w:rFonts w:ascii="Arial" w:cs="Arial" w:eastAsia="Arial" w:hAnsi="Arial"/>
                <w:sz w:val="18"/>
                <w:szCs w:val="18"/>
                <w:color w:val="auto"/>
              </w:rPr>
              <w:t xml:space="preserve"> Anniversary of Grant Date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keeping with the Company’s general policy, the terms of this Agreement, including the vesting schedule, are put in place in certain countries to accommodate local regulations. The vesting schedule above, and therefore your ability to exercise your Non-Qualified Option at certain times and certain other terms of the Non-Qualified Option may change if you move from one country to another.</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Non-Qualified Option may be exercised only by delivering to the Company a written notice (or an electronic notice in the manner specified by the Compensation Committee (the “Committee”)) specifying the number of shares you wish to purchase. The Committee, authorized by the Company to administer the Plan, hereby notifies you that the Non-Qualified Option price may be paid, subject to such rules and procedures as the Committee may prescribe from time to time in cash, certified check or by wire transfer.</w:t>
      </w:r>
    </w:p>
    <w:p>
      <w:pPr>
        <w:sectPr>
          <w:pgSz w:w="11900" w:h="16838" w:orient="portrait"/>
          <w:cols w:equalWidth="0" w:num="1">
            <w:col w:w="11420"/>
          </w:cols>
          <w:pgMar w:left="240" w:top="125" w:right="239" w:bottom="1440" w:gutter="0" w:footer="0" w:header="0"/>
        </w:sectPr>
      </w:pPr>
    </w:p>
    <w:bookmarkStart w:id="70" w:name="page71"/>
    <w:bookmarkEnd w:id="70"/>
    <w:p>
      <w:pPr>
        <w:jc w:val="both"/>
        <w:ind w:right="3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assist you in the acquisition of shares pursuant to the exercise of this Non-Qualified Option, the Committee in its sole discretion has authorized the extension of an option financing program coordinated with a third party as posted on the stock options department website. The terms and procedures of this program or any such program that the Committee may authorize in the future will be communicated to you.</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Non-Qualified Option will expire earlier than the date set forth above if you terminate employment with the Company and its Subsidiaries (as defined in the Plan).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“retire” or become “disabled” (as defined below), or terminate employment due to death.</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your employment with the Company and its Subsidiaries is terminated due to retirement, your Non-Qualified Option shall be exercisable at any time during the period of sixty (60) months after such termination or the remainder of the term of the Non-Qualified Option, whichever is less (the “Retirement Exercise Period”), provided that such option may be exercised after such termination and before expiration only to the extent that it is exercisable on the date of such termination. For purposes of this Agreement, “retirement” shall mean termination of the grantee’s employment with the Company and all Subsidiaries at or after (i) age 55 or (ii) age 50 and completion of at least 10 years of service with the Company and all affiliates.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your employment with the Company is terminated due to disability or death, your Non-Qualified Option shall automatically become fully vested and exercisable. If your employment with the Company is terminated due to disability, you may exercise the outstanding Stock Option at any time during the period of sixty (60) months after such termination or the remainder of the term of the Non-Qualified Option, whichever is less (the “Disability Exercise Period”). If your employment with the Company is terminated due to death, you may exercise the outstanding Stock Option at any time during the period of six (6) months after such termination. For purposes of this Agreement, “disability” shall mean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4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the event that you die while employed or during the Retirement Exercise Period or the Disability Exercise Period, your Non-Qualified Option may be exercised by the person or persons entitled thereto under your will or the laws of descent and distribution to the extent exercisable by you on the date of your death and to the extent the term of the Non-Qualified Option has not expired within such Retirement Exercise Period or Disability Exercise Period.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termination of your employment with the Company and its Subsidiaries is because of breach of your employment contract or your misconduct, this Non-Qualified Option will immediately expire and terminate. Termination of your employment without consent of the Company or a Subsidiary, as applicable, will cause your Non-Qualified Option to expire immediately.</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Non-Qualified Option may be forfeited, and any exercise you have made of this Non-Qualified Option may be rescinded, as further described below, if you engage in certain “detrimental activity” as defined below. Specifically, if you engage in detrimental activity while employed with the Company or its Subsidiaries or within one year following termination of employment for any reason other than retirement or disability, this Non-Qualified Option will</w:t>
      </w:r>
    </w:p>
    <w:p>
      <w:pPr>
        <w:sectPr>
          <w:pgSz w:w="11900" w:h="16838" w:orient="portrait"/>
          <w:cols w:equalWidth="0" w:num="1">
            <w:col w:w="11360"/>
          </w:cols>
          <w:pgMar w:left="240" w:top="280" w:right="299" w:bottom="1440" w:gutter="0" w:footer="0" w:header="0"/>
        </w:sectPr>
      </w:pPr>
    </w:p>
    <w:bookmarkStart w:id="71" w:name="page72"/>
    <w:bookmarkEnd w:id="7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expire and terminate and the Committee may rescind any exercise that you made under this option within six months preceding or three months following your termination. If you engage in detrimental activity while employed with the Company or its Subsidiaries or within five years following termination of employment by reason of retirement or disability, this Non-Qualified Option will immediately expire and terminate and the Committee may rescind any exercise that you made under this option within the period beginning six months prior to your termination by retirement or disability and ending on the expiration of your Retirement Exercise Period or Disability Exercise Period. In the event that any option exercise is rescinded by the Committee as described above, you will be obligated to pay the Company within 10 days following written demand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 For purposes of this Agreement, “detrimental activity” means activity that is determined by the Committee in its sole and absolute discretion to be detrimental to the interests of the Company or any of its Subsidiaries, including but not limited to situations where a grantee: (1) divulges trade secrets, proprietary data or other confidential information relating to the Company or to the business of the Company and any Subsidiaries, (2) enters into employment with a competitor under circumstances suggesting that such grantee will be using unique or special knowledge gained as a Company employee or Subsidiary employee to compete with the Company or its Subsidiaries, (3) uses information obtained during the course of his or her employment or prior employment for his or her own purposes, such as for the solicitation of business, (4) is determined to have engaged (whether or not prior to termination) in either gross misconduct or criminal activity harmful to the Company or a Subsidiary, or (5) takes any action that harms the business interests, reputation, or goodwill of the Company or its Subsidiaries. The Committee may delegate its authority to determine whether a holder has engaged in “detrimental activity” to an officer of the Company or to a subcommittee of the Committee.</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contemplated by the Plan, you may not exercise your Non-Qualified Option or any portion thereof, and no obligation exists to issue or release shares of stock or accept an exercise of this Non-Qualified Option, if the issuance or release of shares or the acceptance of the Non-Qualified Option exercise by the Company or a Subsidiary constitutes a violation of any governmental law or regulation.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Non-Qualified Option is not transferable or assignable except by will or laws of descent and distribution and then only to the extent exercisable at death. Any exercise of this Non-Qualified Option after your death must be made by the person or persons entitled to make such exercise under your will or by the laws of descent and distribution before expiration of the Non-Qualified Option.</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grant of this Non-Qualified Option is subject to the terms of the Plan, which is discretionary in nature, the French Plan and the terms of this Agreement. The grant of this Non-Qualified Option is a one-time benefit, and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w:t>
      </w:r>
    </w:p>
    <w:p>
      <w:pPr>
        <w:sectPr>
          <w:pgSz w:w="11900" w:h="16838" w:orient="portrait"/>
          <w:cols w:equalWidth="0" w:num="1">
            <w:col w:w="11380"/>
          </w:cols>
          <w:pgMar w:left="240" w:top="280" w:right="279" w:bottom="1440" w:gutter="0" w:footer="0" w:header="0"/>
        </w:sectPr>
      </w:pPr>
    </w:p>
    <w:bookmarkStart w:id="72" w:name="page73"/>
    <w:bookmarkEnd w:id="7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long-service awards, pension or retirement benefits or similar payments. The vesting of this Non-Qualified Option ceases upon termination of employment for any reason except as may otherwise be explicitly provided in this Agreement.</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do not wish to accept this Option Agreement, please return this Option Agreement to the Stock Department or notify the Stock Department.</w:t>
      </w:r>
    </w:p>
    <w:p>
      <w:pPr>
        <w:spacing w:after="0" w:line="18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color w:val="auto"/>
        </w:rPr>
        <w:t>www.myshares.slb.com</w:t>
      </w:r>
      <w:r>
        <w:rPr>
          <w:rFonts w:ascii="Arial" w:cs="Arial" w:eastAsia="Arial" w:hAnsi="Arial"/>
          <w:sz w:val="18"/>
          <w:szCs w:val="18"/>
          <w:color w:val="auto"/>
        </w:rPr>
        <w:t>. A paper copy of the Plan and/or prospectus may be obtained by contacting the Stock Department, Schlumberger Limited, 5599 San Felipe, 17</w:t>
      </w:r>
      <w:r>
        <w:rPr>
          <w:rFonts w:ascii="Arial" w:cs="Arial" w:eastAsia="Arial" w:hAnsi="Arial"/>
          <w:sz w:val="11"/>
          <w:szCs w:val="11"/>
          <w:color w:val="auto"/>
        </w:rPr>
        <w:t>th</w:t>
      </w:r>
      <w:r>
        <w:rPr>
          <w:rFonts w:ascii="Arial" w:cs="Arial" w:eastAsia="Arial" w:hAnsi="Arial"/>
          <w:sz w:val="18"/>
          <w:szCs w:val="18"/>
          <w:color w:val="auto"/>
        </w:rPr>
        <w:t xml:space="preserve"> Floor, Houston, Texas 77056.</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Paal Kibsgaard</w:t>
      </w:r>
    </w:p>
    <w:p>
      <w:pPr>
        <w:sectPr>
          <w:pgSz w:w="11900" w:h="16838" w:orient="portrait"/>
          <w:cols w:equalWidth="0" w:num="1">
            <w:col w:w="11280"/>
          </w:cols>
          <w:pgMar w:left="240" w:top="280"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2010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 FRANCE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QUALIFIED RESTRICTED STOCK UNITS”)</w:t>
      </w:r>
    </w:p>
    <w:p>
      <w:pPr>
        <w:spacing w:after="0" w:line="16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This Restricted Stock Unit Award Agreement (“Agreement”) is entered into effective by and between Schlumberger Limited (the “Company”), and (“Employee”), pursuant to the Schlumberger 2010 Omnibus Stock Incentive Plan (the “Plan”) and the sub-plan for France which governs the Restricted Stock Units granted to employees who are resident of France or who are or may become subject to French tax (i.e. income tax and/or social security tax) as a result of restricted stock units granted under the 2010 Schlumberger Omnibus Stock Incentive Plan for Employees in France (the “French sub-plan”) (The Plan and the French sub-plan are collectively called the “Plans”). The Restricted Stock Units granted under this French sub-plan will be deemed French Qualified Restricted Stock Units and shall eligible for the specific income and social security tax regime applicable to shares granted for no consideration under the Articles L.225-197-1 to L.225-197-5 of the French Commercial Code.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Employee and the Company agree to execute such further instruments and to take such further action as may reasonably be necessary to carry out the intent of this Agreement.</w:t>
      </w:r>
    </w:p>
    <w:p>
      <w:pPr>
        <w:spacing w:after="0" w:line="132" w:lineRule="exact"/>
        <w:rPr>
          <w:sz w:val="20"/>
          <w:szCs w:val="20"/>
          <w:color w:val="auto"/>
        </w:rPr>
      </w:pPr>
    </w:p>
    <w:p>
      <w:pPr>
        <w:ind w:right="80" w:firstLine="464"/>
        <w:spacing w:after="0" w:line="323"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Award.</w:t>
      </w:r>
      <w:r>
        <w:rPr>
          <w:rFonts w:ascii="Arial" w:cs="Arial" w:eastAsia="Arial" w:hAnsi="Arial"/>
          <w:sz w:val="15"/>
          <w:szCs w:val="15"/>
          <w:color w:val="auto"/>
        </w:rPr>
        <w:t xml:space="preserve"> In consideration of Employee’s continued employment as hereinafter set forth, the Company hereby grants to Employee an award of “Restricted Stock Units.” The number of Restricted Stock Units subject to this award are set forth in an Award Notice previously delivered to Employee. Restricted Stock Units are notational units of measurement denominated in shares of common stock of Schlumberger Limited, $.01 par value (“Common Stock”). Each Restricted Stock Unit represents a hypothetical share of Common Stock, subject to the conditions and restrictions on transferability set forth below and in the Plans.</w:t>
      </w:r>
    </w:p>
    <w:p>
      <w:pPr>
        <w:spacing w:after="0" w:line="97" w:lineRule="exact"/>
        <w:rPr>
          <w:rFonts w:ascii="Arial" w:cs="Arial" w:eastAsia="Arial" w:hAnsi="Arial"/>
          <w:sz w:val="15"/>
          <w:szCs w:val="15"/>
          <w:color w:val="auto"/>
        </w:rPr>
      </w:pPr>
    </w:p>
    <w:p>
      <w:pPr>
        <w:ind w:right="36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 of French Qualified Restricted Stock Units.</w:t>
      </w:r>
      <w:r>
        <w:rPr>
          <w:rFonts w:ascii="Arial" w:cs="Arial" w:eastAsia="Arial" w:hAnsi="Arial"/>
          <w:sz w:val="18"/>
          <w:szCs w:val="18"/>
          <w:color w:val="auto"/>
        </w:rPr>
        <w:t xml:space="preserve"> The period of time between the Grant Date and the vesting of French Qualified Restricted Stock Units (and the termination of restriction thereon) will be referred to herein as the “French Restricted Period.”</w:t>
      </w:r>
    </w:p>
    <w:p>
      <w:pPr>
        <w:spacing w:after="0" w:line="132" w:lineRule="exact"/>
        <w:rPr>
          <w:sz w:val="20"/>
          <w:szCs w:val="20"/>
          <w:color w:val="auto"/>
        </w:rPr>
      </w:pPr>
    </w:p>
    <w:p>
      <w:pPr>
        <w:ind w:right="140" w:firstLine="464"/>
        <w:spacing w:after="0" w:line="256"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Normal Vesting.</w:t>
      </w:r>
      <w:r>
        <w:rPr>
          <w:rFonts w:ascii="Arial" w:cs="Arial" w:eastAsia="Arial" w:hAnsi="Arial"/>
          <w:sz w:val="18"/>
          <w:szCs w:val="18"/>
          <w:color w:val="auto"/>
        </w:rPr>
        <w:t xml:space="preserve"> The French Qualified Restricted Stock Units shall vest in a single vesting on the third anniversary of the Grant Date (“French Vesting Date”), provided that the Employee is continuously employed by the Company and its Subsidiaries from the Grant Date to the French Vesting Date. Except as provided in Section 2(c), if there is any Termination of Employment as hereinafter defined during the period between the Grant Date until the French Vesting Date, the Employee shall immediately forfeit all Restricted Stock Units.</w:t>
      </w:r>
    </w:p>
    <w:p>
      <w:pPr>
        <w:spacing w:after="0" w:line="143" w:lineRule="exact"/>
        <w:rPr>
          <w:rFonts w:ascii="Arial" w:cs="Arial" w:eastAsia="Arial" w:hAnsi="Arial"/>
          <w:sz w:val="18"/>
          <w:szCs w:val="18"/>
          <w:color w:val="auto"/>
        </w:rPr>
      </w:pPr>
    </w:p>
    <w:p>
      <w:pPr>
        <w:jc w:val="both"/>
        <w:ind w:right="20" w:firstLine="464"/>
        <w:spacing w:after="0" w:line="252"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Restricted Stock Units, under no circumstances, except in case of employee’s death as provided for in section 2 (c) below, shall the delivery of the shares related to a French Qualified Restricted Stock Unit occur prior to the fourth anniversary of the Grant Date. The sale of shares issued pursuant to the conversion of the French Qualified Restricted Stock Units may occur as soon as the shares are delivered to the employee provided the closed periods in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3 below are respected.</w:t>
      </w:r>
    </w:p>
    <w:p>
      <w:pPr>
        <w:spacing w:after="0" w:line="164" w:lineRule="exact"/>
        <w:rPr>
          <w:rFonts w:ascii="Arial" w:cs="Arial" w:eastAsia="Arial" w:hAnsi="Arial"/>
          <w:sz w:val="18"/>
          <w:szCs w:val="18"/>
          <w:color w:val="auto"/>
        </w:rPr>
      </w:pPr>
    </w:p>
    <w:p>
      <w:pPr>
        <w:ind w:right="340" w:firstLine="464"/>
        <w:spacing w:after="0" w:line="332"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Acceleration on Death.</w:t>
      </w:r>
      <w:r>
        <w:rPr>
          <w:rFonts w:ascii="Arial" w:cs="Arial" w:eastAsia="Arial" w:hAnsi="Arial"/>
          <w:sz w:val="16"/>
          <w:szCs w:val="16"/>
          <w:color w:val="auto"/>
        </w:rPr>
        <w:t xml:space="preserve"> Upon Termination of Employment from the Company by reason of Employee’s death, all French Qualified Restricted Stock Units that are not vested at that time immediately will become vested in full. The Company shall issue the underlying shares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4" w:name="page75"/>
    <w:bookmarkEnd w:id="74"/>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Employee’s heirs, at their request, within six months following the death of the Employee. Notwithstanding the foregoing, the Employee’s heirs must comply with the restriction on the sale of shares set forth in Section 3, to the extent and as long as applicable under French law.</w:t>
      </w:r>
    </w:p>
    <w:p>
      <w:pPr>
        <w:spacing w:after="0" w:line="85"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Closed Periods.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underlying French Qualified Restricted Stock Units may not be sold during the following period (“Closed Periods”):</w:t>
      </w:r>
    </w:p>
    <w:p>
      <w:pPr>
        <w:spacing w:after="0" w:line="171"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within the 10 days before or after the publication of the annual accounts;</w:t>
      </w:r>
    </w:p>
    <w:p>
      <w:pPr>
        <w:spacing w:after="0" w:line="171" w:lineRule="exact"/>
        <w:rPr>
          <w:rFonts w:ascii="Arial" w:cs="Arial" w:eastAsia="Arial" w:hAnsi="Arial"/>
          <w:sz w:val="18"/>
          <w:szCs w:val="18"/>
          <w:color w:val="auto"/>
        </w:rPr>
      </w:pPr>
    </w:p>
    <w:p>
      <w:pPr>
        <w:ind w:right="380" w:firstLine="464"/>
        <w:spacing w:after="0" w:line="332"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These Closed Periods will apply to grant of French Qualified Restricted Stock Units as long as and to the extent such Closed Periods are applicable under French law.</w:t>
      </w:r>
    </w:p>
    <w:p>
      <w:pPr>
        <w:spacing w:after="0" w:line="132" w:lineRule="exact"/>
        <w:rPr>
          <w:sz w:val="20"/>
          <w:szCs w:val="20"/>
          <w:color w:val="auto"/>
        </w:rPr>
      </w:pPr>
    </w:p>
    <w:p>
      <w:pPr>
        <w:ind w:right="80" w:firstLine="464"/>
        <w:spacing w:after="0" w:line="298"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Forfeitures of Restricted Stock Units.</w:t>
      </w:r>
      <w:r>
        <w:rPr>
          <w:rFonts w:ascii="Arial" w:cs="Arial" w:eastAsia="Arial" w:hAnsi="Arial"/>
          <w:sz w:val="16"/>
          <w:szCs w:val="16"/>
          <w:color w:val="auto"/>
        </w:rPr>
        <w:t xml:space="preserve"> Until the Restricted Period specified in Section 2 has expired, upon a Termination of Employment from the Company for any reason that does not result in an acceleration of vesting pursuant to Subsection 2(c), Employee shall immediately forfeit all unvested Restricted Stock Units, without the payment of any consideration or further consideration by the Company. Upon forfeiture, neither Employee nor any successors, heirs, assigns, or legal representatives of Employee shall thereafter have any further rights or interest in the unvested Restricted Stock Units.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Restricted Stock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59"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or her Beneficiary hereunder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right="120" w:firstLine="464"/>
        <w:spacing w:after="0" w:line="268"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xml:space="preserve"> Employee will have no rights as a stockholder with regard to the Restricted Stock Units. Rights as a stockholder will arise only upon the Settlement of Restricted Stock Units as set out in Section 2 (b).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5" w:name="page76"/>
    <w:bookmarkEnd w:id="75"/>
    <w:p>
      <w:pPr>
        <w:ind w:left="-20" w:firstLine="464"/>
        <w:spacing w:after="0" w:line="290" w:lineRule="auto"/>
        <w:tabs>
          <w:tab w:leader="none" w:pos="61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6"/>
          <w:szCs w:val="16"/>
          <w:color w:val="auto"/>
        </w:rPr>
        <w:t xml:space="preserve"> To the extent that the receipt of the Restricted Stock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Restricted Stock Units or from any cash or other form of remuneration then or thereafter payable to Employee an amount equal to any tax required to be withheld by reason of such resulting compensation income. The Restricted Stock Units are intended to be “short-term deferrals” exempt from Section 409A of the Internal Revenue Code, and shall be construed and interpreted accordingly.</w:t>
      </w:r>
    </w:p>
    <w:p>
      <w:pPr>
        <w:spacing w:after="0" w:line="118" w:lineRule="exact"/>
        <w:rPr>
          <w:rFonts w:ascii="Arial" w:cs="Arial" w:eastAsia="Arial" w:hAnsi="Arial"/>
          <w:sz w:val="16"/>
          <w:szCs w:val="16"/>
          <w:color w:val="auto"/>
        </w:rPr>
      </w:pPr>
    </w:p>
    <w:p>
      <w:pPr>
        <w:ind w:left="-20" w:right="120" w:firstLine="464"/>
        <w:spacing w:after="0" w:line="259" w:lineRule="auto"/>
        <w:tabs>
          <w:tab w:leader="none" w:pos="61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shall at any time be changed or exchanged by declaration of a stock dividend, stock split, combination of shares, or recapitalization, the number and kind of Restricted Stock Units shall be appropriately and equitably adjusted so as to maintain their equivalence to the proportionate number of shares.</w:t>
      </w:r>
    </w:p>
    <w:p>
      <w:pPr>
        <w:spacing w:after="0" w:line="140" w:lineRule="exact"/>
        <w:rPr>
          <w:rFonts w:ascii="Arial" w:cs="Arial" w:eastAsia="Arial" w:hAnsi="Arial"/>
          <w:sz w:val="18"/>
          <w:szCs w:val="18"/>
          <w:color w:val="auto"/>
        </w:rPr>
      </w:pPr>
    </w:p>
    <w:p>
      <w:pPr>
        <w:ind w:left="-20" w:right="40" w:firstLine="464"/>
        <w:spacing w:after="0" w:line="294" w:lineRule="auto"/>
        <w:tabs>
          <w:tab w:leader="none" w:pos="61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15" w:lineRule="exact"/>
        <w:rPr>
          <w:rFonts w:ascii="Arial" w:cs="Arial" w:eastAsia="Arial" w:hAnsi="Arial"/>
          <w:sz w:val="16"/>
          <w:szCs w:val="16"/>
          <w:color w:val="auto"/>
        </w:rPr>
      </w:pPr>
    </w:p>
    <w:p>
      <w:pPr>
        <w:jc w:val="both"/>
        <w:ind w:left="-20" w:right="160" w:firstLine="464"/>
        <w:spacing w:after="0" w:line="256"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Restricted Stock Units are not transferable (either voluntarily or involuntarily) by the recipient except by will or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Restricted Stock Units shall terminate and become of no further effect.</w:t>
      </w:r>
    </w:p>
    <w:p>
      <w:pPr>
        <w:spacing w:after="0" w:line="143" w:lineRule="exact"/>
        <w:rPr>
          <w:rFonts w:ascii="Arial" w:cs="Arial" w:eastAsia="Arial" w:hAnsi="Arial"/>
          <w:sz w:val="18"/>
          <w:szCs w:val="18"/>
          <w:color w:val="auto"/>
        </w:rPr>
      </w:pPr>
    </w:p>
    <w:p>
      <w:pPr>
        <w:ind w:left="-20" w:right="120" w:firstLine="464"/>
        <w:spacing w:after="0" w:line="306" w:lineRule="auto"/>
        <w:tabs>
          <w:tab w:leader="none" w:pos="69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xml:space="preserve"> Nothing in this Agreement or the Plans may be construed to:</w:t>
      </w:r>
    </w:p>
    <w:p>
      <w:pPr>
        <w:spacing w:after="0" w:line="90" w:lineRule="exact"/>
        <w:rPr>
          <w:rFonts w:ascii="Arial" w:cs="Arial" w:eastAsia="Arial" w:hAnsi="Arial"/>
          <w:sz w:val="18"/>
          <w:szCs w:val="18"/>
          <w:color w:val="auto"/>
        </w:rPr>
      </w:pPr>
    </w:p>
    <w:p>
      <w:pPr>
        <w:ind w:left="440" w:right="620" w:firstLine="443"/>
        <w:spacing w:after="0" w:line="268" w:lineRule="auto"/>
        <w:tabs>
          <w:tab w:leader="none" w:pos="1117" w:val="left"/>
        </w:tabs>
        <w:numPr>
          <w:ilvl w:val="1"/>
          <w:numId w:val="67"/>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Restricted Stock Units (or other form of stock incentive awards) other than in the sole discretion of the Committee;</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give Employee or any other person any interest in any fund or in any specified asset or assets of the Company (other than the Restricted Stock</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Units);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76" w:name="page77"/>
    <w:bookmarkEnd w:id="76"/>
    <w:p>
      <w:pPr>
        <w:ind w:left="1140" w:hanging="237"/>
        <w:spacing w:after="0"/>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confer upon Employee the right to continue in the employment or service of the Company or any Subsidiary.</w:t>
      </w:r>
    </w:p>
    <w:p>
      <w:pPr>
        <w:spacing w:after="0" w:line="171" w:lineRule="exact"/>
        <w:rPr>
          <w:rFonts w:ascii="Arial" w:cs="Arial" w:eastAsia="Arial" w:hAnsi="Arial"/>
          <w:sz w:val="18"/>
          <w:szCs w:val="18"/>
          <w:color w:val="auto"/>
        </w:rPr>
      </w:pPr>
    </w:p>
    <w:p>
      <w:pPr>
        <w:ind w:right="120" w:firstLine="464"/>
        <w:spacing w:after="0" w:line="268"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right="140" w:firstLine="464"/>
        <w:spacing w:after="0" w:line="259"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firstLine="464"/>
        <w:spacing w:after="0" w:line="259"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and not otherwise defined herein shall have the meanings set forth in the Plans. Certain other terms used herein have definitions given to them in the first place in which they are used. In addition, the following terms shall have the meanings set forth in this Section 15.</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90" w:lineRule="exact"/>
        <w:rPr>
          <w:rFonts w:ascii="Arial" w:cs="Arial" w:eastAsia="Arial" w:hAnsi="Arial"/>
          <w:sz w:val="18"/>
          <w:szCs w:val="18"/>
          <w:color w:val="auto"/>
        </w:rPr>
      </w:pPr>
    </w:p>
    <w:p>
      <w:pPr>
        <w:ind w:left="460" w:right="200" w:firstLine="443"/>
        <w:spacing w:after="0" w:line="306"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Employee hereby acknowledges that he or she has received, reviewed and accepted the terms and conditions applicable to this Agreement. Employee hereby accepts such terms and conditions, subject to the provisions of the Plans and administrative interpretations thereof. Employee further agrees that such terms and conditions will control this Agreement, notwithstanding any provisions in any employment agreement or in any prior awards.</w:t>
      </w:r>
    </w:p>
    <w:p>
      <w:pPr>
        <w:spacing w:after="0" w:line="25"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50" w:lineRule="exact"/>
        <w:rPr>
          <w:rFonts w:ascii="Arial" w:cs="Arial" w:eastAsia="Arial" w:hAnsi="Arial"/>
          <w:sz w:val="18"/>
          <w:szCs w:val="18"/>
          <w:color w:val="auto"/>
        </w:rPr>
      </w:pPr>
    </w:p>
    <w:p>
      <w:pPr>
        <w:ind w:left="460" w:right="40" w:firstLine="443"/>
        <w:spacing w:after="0" w:line="332"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counterparts, which together shall constitute one and the same original.</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WITNESS WHEREOF, Schlumberger Limited has caused this Agreement to be duly executed by one of its officers thereunto duly authorized, and Employee has executed this Agreement, effective as of the day and year first above written.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LIMITED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2752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Paal Kibsgaard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21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2013 as filed with the Securities and Exchange Commission on the date hereof (the “Report”), I, Paal Kibsgaard, Chief Executive Officer of the Company, certify, pursuant to 18 U.S.C. § 1350, as adopted pursuant to § 906 of the Sarbanes-Oxley Act of 2002,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2013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95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June 30, 2013. Due to timing and other factors, the data may not agree with the mine data retrieval system maintained by the MSHA at www.MSHA.gov.</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82"/>
              </w:rPr>
              <w:t>Received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Received</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Notice of</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Notice of</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Potential</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Legal</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color w:val="auto"/>
              </w:rPr>
              <w:t>Mine or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Pattern of</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to Have</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Actions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3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40"/>
              <w:spacing w:after="0" w:line="133" w:lineRule="exact"/>
              <w:rPr>
                <w:sz w:val="20"/>
                <w:szCs w:val="20"/>
                <w:color w:val="auto"/>
              </w:rPr>
            </w:pPr>
            <w:r>
              <w:rPr>
                <w:rFonts w:ascii="Arial" w:cs="Arial" w:eastAsia="Arial" w:hAnsi="Arial"/>
                <w:sz w:val="14"/>
                <w:szCs w:val="14"/>
                <w:color w:val="auto"/>
                <w:w w:val="85"/>
              </w:rPr>
              <w:t>Section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w w:val="88"/>
              </w:rPr>
              <w:t>Violations</w:t>
            </w:r>
          </w:p>
        </w:tc>
        <w:tc>
          <w:tcPr>
            <w:tcW w:w="760" w:type="dxa"/>
            <w:vAlign w:val="bottom"/>
            <w:gridSpan w:val="2"/>
          </w:tcPr>
          <w:p>
            <w:pPr>
              <w:jc w:val="center"/>
              <w:ind w:right="260"/>
              <w:spacing w:after="0" w:line="133" w:lineRule="exact"/>
              <w:rPr>
                <w:sz w:val="20"/>
                <w:szCs w:val="20"/>
                <w:color w:val="auto"/>
              </w:rPr>
            </w:pPr>
            <w:r>
              <w:rPr>
                <w:rFonts w:ascii="Arial" w:cs="Arial" w:eastAsia="Arial" w:hAnsi="Arial"/>
                <w:sz w:val="14"/>
                <w:szCs w:val="14"/>
                <w:color w:val="auto"/>
                <w:w w:val="84"/>
              </w:rPr>
              <w:t>Pattern</w:t>
            </w:r>
          </w:p>
        </w:tc>
        <w:tc>
          <w:tcPr>
            <w:tcW w:w="700" w:type="dxa"/>
            <w:vAlign w:val="bottom"/>
            <w:gridSpan w:val="2"/>
          </w:tcPr>
          <w:p>
            <w:pPr>
              <w:jc w:val="right"/>
              <w:ind w:right="260"/>
              <w:spacing w:after="0" w:line="133" w:lineRule="exact"/>
              <w:rPr>
                <w:sz w:val="20"/>
                <w:szCs w:val="20"/>
                <w:color w:val="auto"/>
              </w:rPr>
            </w:pPr>
            <w:r>
              <w:rPr>
                <w:rFonts w:ascii="Arial" w:cs="Arial" w:eastAsia="Arial" w:hAnsi="Arial"/>
                <w:sz w:val="14"/>
                <w:szCs w:val="14"/>
                <w:color w:val="auto"/>
                <w:w w:val="81"/>
              </w:rPr>
              <w:t>Pending</w:t>
            </w:r>
          </w:p>
        </w:tc>
        <w:tc>
          <w:tcPr>
            <w:tcW w:w="720" w:type="dxa"/>
            <w:vAlign w:val="bottom"/>
            <w:gridSpan w:val="2"/>
          </w:tcPr>
          <w:p>
            <w:pPr>
              <w:jc w:val="center"/>
              <w:ind w:right="260"/>
              <w:spacing w:after="0" w:line="133" w:lineRule="exact"/>
              <w:rPr>
                <w:sz w:val="20"/>
                <w:szCs w:val="20"/>
                <w:color w:val="auto"/>
              </w:rPr>
            </w:pPr>
            <w:r>
              <w:rPr>
                <w:rFonts w:ascii="Arial" w:cs="Arial" w:eastAsia="Arial" w:hAnsi="Arial"/>
                <w:sz w:val="14"/>
                <w:szCs w:val="14"/>
                <w:color w:val="auto"/>
                <w:w w:val="87"/>
              </w:rPr>
              <w:t>Legal</w:t>
            </w:r>
          </w:p>
        </w:tc>
        <w:tc>
          <w:tcPr>
            <w:tcW w:w="58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7"/>
              </w:rPr>
              <w:t>Legal</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Operating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104(d)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Under</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Under</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 of</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Actions</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Actions</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Name/MSHA</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Section</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1"/>
              </w:rPr>
              <w:t>Section</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Citations</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Section</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Section</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0"/>
              </w:rPr>
              <w:t>Proposed</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Mining</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Section</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Last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Initiated</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Resolved</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Identification</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104 S&amp;S</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104(b)</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110(b)(2)</w:t>
            </w: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107(a)</w:t>
            </w: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MSHA</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Related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3"/>
              </w:rPr>
              <w:t>104(e)</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3"/>
              </w:rPr>
              <w:t>104(e)</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Day of</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During</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During</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w w:val="88"/>
              </w:rPr>
              <w:t>Citations</w:t>
            </w:r>
          </w:p>
        </w:tc>
        <w:tc>
          <w:tcPr>
            <w:tcW w:w="6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84"/>
              </w:rPr>
              <w:t>Orders</w:t>
            </w: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w w:val="84"/>
              </w:rPr>
              <w:t>Orders</w:t>
            </w:r>
          </w:p>
        </w:tc>
        <w:tc>
          <w:tcPr>
            <w:tcW w:w="68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w w:val="88"/>
              </w:rPr>
              <w:t>Violations</w:t>
            </w: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84"/>
              </w:rPr>
              <w:t>Orders</w:t>
            </w:r>
          </w:p>
        </w:tc>
        <w:tc>
          <w:tcPr>
            <w:tcW w:w="1120" w:type="dxa"/>
            <w:vAlign w:val="bottom"/>
            <w:gridSpan w:val="3"/>
          </w:tcPr>
          <w:p>
            <w:pPr>
              <w:spacing w:after="0" w:line="129" w:lineRule="exact"/>
              <w:rPr>
                <w:sz w:val="20"/>
                <w:szCs w:val="20"/>
                <w:color w:val="auto"/>
              </w:rPr>
            </w:pPr>
            <w:r>
              <w:rPr>
                <w:rFonts w:ascii="Arial" w:cs="Arial" w:eastAsia="Arial" w:hAnsi="Arial"/>
                <w:sz w:val="10"/>
                <w:szCs w:val="10"/>
                <w:color w:val="auto"/>
              </w:rPr>
              <w:t>Assessments</w:t>
            </w:r>
            <w:r>
              <w:rPr>
                <w:rFonts w:ascii="Arial" w:cs="Arial" w:eastAsia="Arial" w:hAnsi="Arial"/>
                <w:sz w:val="14"/>
                <w:szCs w:val="14"/>
                <w:color w:val="auto"/>
                <w:vertAlign w:val="superscript"/>
              </w:rPr>
              <w:t>(1)</w:t>
            </w: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82"/>
              </w:rPr>
              <w:t>Fatalities</w:t>
            </w:r>
          </w:p>
        </w:tc>
        <w:tc>
          <w:tcPr>
            <w:tcW w:w="84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0"/>
              </w:rPr>
              <w:t>(yes/no)</w:t>
            </w: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6"/>
              </w:rPr>
              <w:t>(yes/no)</w:t>
            </w:r>
          </w:p>
        </w:tc>
        <w:tc>
          <w:tcPr>
            <w:tcW w:w="70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88"/>
              </w:rPr>
              <w:t>Period</w:t>
            </w: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83"/>
              </w:rPr>
              <w:t>Period</w:t>
            </w: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color w:val="auto"/>
                <w:w w:val="88"/>
              </w:rPr>
              <w:t>Period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Amelia Barite Plant/1600825</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Battle Mountain Grinding</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Plant/2600828</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Galveston GBT Barite Grinding</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Plant/4104675</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Greybull Milling Operation/4800602</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2,531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Greybull Mining Operation/</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4800603</w:t>
            </w:r>
          </w:p>
        </w:tc>
        <w:tc>
          <w:tcPr>
            <w:tcW w:w="15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Greystone Mine/2600411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 SWACO-Alpine/4104829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MI SWACO-Brownsville Grinding</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60" w:type="dxa"/>
            <w:vAlign w:val="bottom"/>
            <w:gridSpan w:val="2"/>
          </w:tcPr>
          <w:p>
            <w:pPr>
              <w:ind w:left="220"/>
              <w:spacing w:after="0"/>
              <w:rPr>
                <w:sz w:val="20"/>
                <w:szCs w:val="20"/>
                <w:color w:val="auto"/>
              </w:rPr>
            </w:pPr>
            <w:r>
              <w:rPr>
                <w:rFonts w:ascii="Arial" w:cs="Arial" w:eastAsia="Arial" w:hAnsi="Arial"/>
                <w:sz w:val="14"/>
                <w:szCs w:val="14"/>
                <w:color w:val="auto"/>
              </w:rPr>
              <w:t>Plant/4103033</w:t>
            </w: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0</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N</w:t>
            </w: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320" w:hanging="452"/>
        <w:spacing w:after="0" w:line="303"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Amounts included are the total dollar value of proposed assessments received from MSHA during the three months ended June 30, 2013,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depending on the size and type of the operation.</w:t>
      </w:r>
    </w:p>
    <w:p>
      <w:pPr>
        <w:spacing w:after="0" w:line="9" w:lineRule="exact"/>
        <w:rPr>
          <w:sz w:val="20"/>
          <w:szCs w:val="20"/>
          <w:color w:val="auto"/>
        </w:rPr>
      </w:pPr>
    </w:p>
    <w:p>
      <w:pPr>
        <w:ind w:left="460" w:right="50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June 30, 2013, MSHA had not yet proposed assessments for 11 Section 104(a) citations at Battle Mountain Grinding Plant, five Section 104(a) citations at Greystone Mine, and three Section 104(a) citations at MI SWACO-Alpine.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decimal"/>
      <w:start w:val="2"/>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3"/>
    </w:lvl>
  </w:abstractNum>
  <w:abstractNum w:abstractNumId="5">
    <w:nsid w:val="51EAD36B"/>
    <w:multiLevelType w:val="hybridMultilevel"/>
    <w:lvl w:ilvl="0">
      <w:lvlJc w:val="left"/>
      <w:lvlText w:val="%1."/>
      <w:numFmt w:val="decimal"/>
      <w:start w:val="4"/>
    </w:lvl>
  </w:abstractNum>
  <w:abstractNum w:abstractNumId="6">
    <w:nsid w:val="2D517796"/>
    <w:multiLevelType w:val="hybridMultilevel"/>
    <w:lvl w:ilvl="0">
      <w:lvlJc w:val="left"/>
      <w:lvlText w:val="%1."/>
      <w:numFmt w:val="decimal"/>
      <w:start w:val="5"/>
    </w:lvl>
  </w:abstractNum>
  <w:abstractNum w:abstractNumId="7">
    <w:nsid w:val="580BD78F"/>
    <w:multiLevelType w:val="hybridMultilevel"/>
    <w:lvl w:ilvl="0">
      <w:lvlJc w:val="left"/>
      <w:lvlText w:val="%1."/>
      <w:numFmt w:val="decimal"/>
      <w:start w:val="6"/>
    </w:lvl>
  </w:abstractNum>
  <w:abstractNum w:abstractNumId="8">
    <w:nsid w:val="153EA438"/>
    <w:multiLevelType w:val="hybridMultilevel"/>
    <w:lvl w:ilvl="0">
      <w:lvlJc w:val="left"/>
      <w:lvlText w:val="%1."/>
      <w:numFmt w:val="decimal"/>
      <w:start w:val="7"/>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8"/>
    </w:lvl>
  </w:abstractNum>
  <w:abstractNum w:abstractNumId="12">
    <w:nsid w:val="2A487CB0"/>
    <w:multiLevelType w:val="hybridMultilevel"/>
    <w:lvl w:ilvl="0">
      <w:lvlJc w:val="left"/>
      <w:lvlText w:val="%1."/>
      <w:numFmt w:val="decimal"/>
      <w:start w:val="9"/>
    </w:lvl>
  </w:abstractNum>
  <w:abstractNum w:abstractNumId="13">
    <w:nsid w:val="1D4ED43B"/>
    <w:multiLevelType w:val="hybridMultilevel"/>
    <w:lvl w:ilvl="0">
      <w:lvlJc w:val="left"/>
      <w:lvlText w:val="%1."/>
      <w:numFmt w:val="decimal"/>
      <w:start w:val="10"/>
    </w:lvl>
  </w:abstractNum>
  <w:abstractNum w:abstractNumId="14">
    <w:nsid w:val="725A06FB"/>
    <w:multiLevelType w:val="hybridMultilevel"/>
    <w:lvl w:ilvl="0">
      <w:lvlJc w:val="left"/>
      <w:lvlText w:val="%1."/>
      <w:numFmt w:val="decimal"/>
      <w:start w:val="11"/>
    </w:lvl>
  </w:abstractNum>
  <w:abstractNum w:abstractNumId="15">
    <w:nsid w:val="2CD89A32"/>
    <w:multiLevelType w:val="hybridMultilevel"/>
    <w:lvl w:ilvl="0">
      <w:lvlJc w:val="left"/>
      <w:lvlText w:val="%1."/>
      <w:numFmt w:val="decimal"/>
      <w:start w:val="12"/>
    </w:lvl>
  </w:abstractNum>
  <w:abstractNum w:abstractNumId="16">
    <w:nsid w:val="57E4CCAF"/>
    <w:multiLevelType w:val="hybridMultilevel"/>
    <w:lvl w:ilvl="0">
      <w:lvlJc w:val="left"/>
      <w:lvlText w:val="%1."/>
      <w:numFmt w:val="decimal"/>
      <w:start w:val="13"/>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5"/>
    </w:lvl>
  </w:abstractNum>
  <w:abstractNum w:abstractNumId="20">
    <w:nsid w:val="6DE91B18"/>
    <w:multiLevelType w:val="hybridMultilevel"/>
    <w:lvl w:ilvl="0">
      <w:lvlJc w:val="left"/>
      <w:lvlText w:val="%1."/>
      <w:numFmt w:val="decimal"/>
      <w:start w:val="17"/>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lvl w:ilvl="1">
      <w:lvlJc w:val="left"/>
      <w:lvlText w:val="*"/>
      <w:numFmt w:val="bullet"/>
      <w:start w:val="1"/>
    </w:lvl>
  </w:abstractNum>
  <w:abstractNum w:abstractNumId="29">
    <w:nsid w:val="79A1DEAA"/>
    <w:multiLevelType w:val="hybridMultilevel"/>
    <w:lvl w:ilvl="0">
      <w:lvlJc w:val="left"/>
      <w:lvlText w:val="**"/>
      <w:numFmt w:val="bullet"/>
      <w:start w:val="1"/>
    </w:lvl>
    <w:lvl w:ilvl="1">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
    <w:nsid w:val="520EED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374A3FE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
    <w:nsid w:val="4F4EF005"/>
    <w:multiLevelType w:val="hybridMultilevel"/>
    <w:lvl w:ilvl="0">
      <w:lvlJc w:val="left"/>
      <w:lvlText w:val="(%1)"/>
      <w:numFmt w:val="lowerLetter"/>
      <w:start w:val="3"/>
    </w:lvl>
  </w:abstractNum>
  <w:abstractNum w:abstractNumId="36">
    <w:nsid w:val="23F9C13C"/>
    <w:multiLevelType w:val="hybridMultilevel"/>
    <w:lvl w:ilvl="0">
      <w:lvlJc w:val="left"/>
      <w:lvlText w:val="(%1)"/>
      <w:numFmt w:val="lowerLetter"/>
      <w:start w:val="4"/>
    </w:lvl>
    <w:lvl w:ilvl="1">
      <w:lvlJc w:val="left"/>
      <w:lvlText w:val="%2."/>
      <w:numFmt w:val="lowerRoman"/>
    </w:lvl>
    <w:lvl w:ilvl="2">
      <w:lvlJc w:val="left"/>
      <w:lvlText w:val="(%3)"/>
      <w:numFmt w:val="upperLetter"/>
      <w:start w:val="9"/>
    </w:lvl>
  </w:abstractNum>
  <w:abstractNum w:abstractNumId="37">
    <w:nsid w:val="649BB77C"/>
    <w:multiLevelType w:val="hybridMultilevel"/>
    <w:lvl w:ilvl="0">
      <w:lvlJc w:val="left"/>
      <w:lvlText w:val="(%1)"/>
      <w:numFmt w:val="lowerLetter"/>
      <w:start w:val="5"/>
    </w:lvl>
  </w:abstractNum>
  <w:abstractNum w:abstractNumId="38">
    <w:nsid w:val="275AC794"/>
    <w:multiLevelType w:val="hybridMultilevel"/>
    <w:lvl w:ilvl="0">
      <w:lvlJc w:val="left"/>
      <w:lvlText w:val="%1."/>
      <w:numFmt w:val="decimal"/>
      <w:start w:val="5"/>
    </w:lvl>
    <w:lvl w:ilvl="1">
      <w:lvlJc w:val="left"/>
      <w:lvlText w:val="(%2)"/>
      <w:numFmt w:val="lowerLetter"/>
      <w:start w:val="1"/>
    </w:lvl>
  </w:abstractNum>
  <w:abstractNum w:abstractNumId="39">
    <w:nsid w:val="39386575"/>
    <w:multiLevelType w:val="hybridMultilevel"/>
    <w:lvl w:ilvl="0">
      <w:lvlJc w:val="left"/>
      <w:lvlText w:val="(%1)"/>
      <w:numFmt w:val="lowerLetter"/>
      <w:start w:val="3"/>
    </w:lvl>
    <w:lvl w:ilvl="1">
      <w:lvlJc w:val="left"/>
      <w:lvlText w:val="%2."/>
      <w:numFmt w:val="lowerRoman"/>
      <w:start w:val="1"/>
    </w:lvl>
  </w:abstractNum>
  <w:abstractNum w:abstractNumId="40">
    <w:nsid w:val="1CF10FD8"/>
    <w:multiLevelType w:val="hybridMultilevel"/>
    <w:lvl w:ilvl="0">
      <w:lvlJc w:val="left"/>
      <w:lvlText w:val="%1."/>
      <w:numFmt w:val="lowerRoman"/>
      <w:start w:val="2"/>
    </w:lvl>
    <w:lvl w:ilvl="1">
      <w:lvlJc w:val="left"/>
      <w:lvlText w:val="(%2)"/>
      <w:numFmt w:val="decimal"/>
      <w:start w:val="2"/>
    </w:lvl>
  </w:abstractNum>
  <w:abstractNum w:abstractNumId="4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42">
    <w:nsid w:val="235BA8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
    <w:nsid w:val="47398C8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354FE9F9"/>
    <w:multiLevelType w:val="hybridMultilevel"/>
    <w:lvl w:ilvl="0">
      <w:lvlJc w:val="left"/>
      <w:lvlText w:val="%1."/>
      <w:numFmt w:val="decimal"/>
      <w:start w:val="8"/>
    </w:lvl>
  </w:abstractNum>
  <w:abstractNum w:abstractNumId="45">
    <w:nsid w:val="15B5AF5C"/>
    <w:multiLevelType w:val="hybridMultilevel"/>
    <w:lvl w:ilvl="0">
      <w:lvlJc w:val="left"/>
      <w:lvlText w:val="%1."/>
      <w:numFmt w:val="decimal"/>
      <w:start w:val="11"/>
    </w:lvl>
  </w:abstractNum>
  <w:abstractNum w:abstractNumId="46">
    <w:nsid w:val="741226BB"/>
    <w:multiLevelType w:val="hybridMultilevel"/>
    <w:lvl w:ilvl="0">
      <w:lvlJc w:val="left"/>
      <w:lvlText w:val="%1."/>
      <w:numFmt w:val="decimal"/>
      <w:start w:val="14"/>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3"/>
    </w:lvl>
    <w:lvl w:ilvl="1">
      <w:lvlJc w:val="left"/>
      <w:lvlText w:val="%2."/>
      <w:numFmt w:val="lowerRoman"/>
      <w:start w:val="1"/>
    </w:lvl>
  </w:abstractNum>
  <w:abstractNum w:abstractNumId="50">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7E0C57B1"/>
    <w:multiLevelType w:val="hybridMultilevel"/>
    <w:lvl w:ilvl="0">
      <w:lvlJc w:val="left"/>
      <w:lvlText w:val="(%1)"/>
      <w:numFmt w:val="lowerLetter"/>
      <w:start w:val="4"/>
    </w:lvl>
  </w:abstractNum>
  <w:abstractNum w:abstractNumId="52">
    <w:nsid w:val="77AE35EB"/>
    <w:multiLevelType w:val="hybridMultilevel"/>
    <w:lvl w:ilvl="0">
      <w:lvlJc w:val="left"/>
      <w:lvlText w:val="%1."/>
      <w:numFmt w:val="lowerRoman"/>
      <w:start w:val="1"/>
    </w:lvl>
  </w:abstractNum>
  <w:abstractNum w:abstractNumId="53">
    <w:nsid w:val="579BE4F1"/>
    <w:multiLevelType w:val="hybridMultilevel"/>
    <w:lvl w:ilvl="0">
      <w:lvlJc w:val="left"/>
      <w:lvlText w:val="%1."/>
      <w:numFmt w:val="decimal"/>
      <w:start w:val="5"/>
    </w:lvl>
    <w:lvl w:ilvl="1">
      <w:lvlJc w:val="left"/>
      <w:lvlText w:val="(%2)"/>
      <w:numFmt w:val="lowerLetter"/>
      <w:start w:val="1"/>
    </w:lvl>
  </w:abstractNum>
  <w:abstractNum w:abstractNumId="54">
    <w:nsid w:val="310C50B3"/>
    <w:multiLevelType w:val="hybridMultilevel"/>
    <w:lvl w:ilvl="0">
      <w:lvlJc w:val="left"/>
      <w:lvlText w:val="%1"/>
      <w:numFmt w:val="lowerRoman"/>
      <w:start w:val="1"/>
    </w:lvl>
    <w:lvl w:ilvl="1">
      <w:lvlJc w:val="left"/>
      <w:lvlText w:val="(%2)"/>
      <w:numFmt w:val="lowerLetter"/>
      <w:start w:val="2"/>
    </w:lvl>
  </w:abstractNum>
  <w:abstractNum w:abstractNumId="55">
    <w:nsid w:val="5FF87E05"/>
    <w:multiLevelType w:val="hybridMultilevel"/>
    <w:lvl w:ilvl="0">
      <w:lvlJc w:val="left"/>
      <w:lvlText w:val="%1."/>
      <w:numFmt w:val="lowerRoman"/>
      <w:start w:val="1"/>
    </w:lvl>
    <w:lvl w:ilvl="1">
      <w:lvlJc w:val="left"/>
      <w:lvlText w:val="%2"/>
      <w:numFmt w:val="lowerLetter"/>
      <w:start w:val="1"/>
    </w:lvl>
  </w:abstractNum>
  <w:abstractNum w:abstractNumId="56">
    <w:nsid w:val="2F305DEF"/>
    <w:multiLevelType w:val="hybridMultilevel"/>
    <w:lvl w:ilvl="0">
      <w:lvlJc w:val="left"/>
      <w:lvlText w:val="%1."/>
      <w:numFmt w:val="lowerRoman"/>
      <w:start w:val="4"/>
    </w:lvl>
    <w:lvl w:ilvl="1">
      <w:lvlJc w:val="left"/>
      <w:lvlText w:val="(%2)"/>
      <w:numFmt w:val="lowerLetter"/>
      <w:start w:val="4"/>
    </w:lvl>
  </w:abstractNum>
  <w:abstractNum w:abstractNumId="57">
    <w:nsid w:val="25A70BF7"/>
    <w:multiLevelType w:val="hybridMultilevel"/>
    <w:lvl w:ilvl="0">
      <w:lvlJc w:val="left"/>
      <w:lvlText w:val="%1."/>
      <w:numFmt w:val="decimal"/>
      <w:start w:val="6"/>
    </w:lvl>
  </w:abstractNum>
  <w:abstractNum w:abstractNumId="58">
    <w:nsid w:val="1DBABF00"/>
    <w:multiLevelType w:val="hybridMultilevel"/>
    <w:lvl w:ilvl="0">
      <w:lvlJc w:val="left"/>
      <w:lvlText w:val="%1."/>
      <w:numFmt w:val="decimal"/>
      <w:start w:val="8"/>
    </w:lvl>
  </w:abstractNum>
  <w:abstractNum w:abstractNumId="59">
    <w:nsid w:val="4AD084E9"/>
    <w:multiLevelType w:val="hybridMultilevel"/>
    <w:lvl w:ilvl="0">
      <w:lvlJc w:val="left"/>
      <w:lvlText w:val="%1."/>
      <w:numFmt w:val="decimal"/>
      <w:start w:val="12"/>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decimal"/>
      <w:start w:val="3"/>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decimal"/>
      <w:start w:val="4"/>
    </w:lvl>
    <w:lvl w:ilvl="1">
      <w:lvlJc w:val="left"/>
      <w:lvlText w:val="(%2)"/>
      <w:numFmt w:val="lowerLetter"/>
      <w:start w:val="1"/>
    </w:lvl>
  </w:abstractNum>
  <w:abstractNum w:abstractNumId="66">
    <w:nsid w:val="5F5E7FD0"/>
    <w:multiLevelType w:val="hybridMultilevel"/>
    <w:lvl w:ilvl="0">
      <w:lvlJc w:val="left"/>
      <w:lvlText w:val="%1."/>
      <w:numFmt w:val="decimal"/>
      <w:start w:val="7"/>
    </w:lvl>
    <w:lvl w:ilvl="1">
      <w:lvlJc w:val="left"/>
      <w:lvlText w:val="(%2)"/>
      <w:numFmt w:val="lowerLetter"/>
      <w:start w:val="1"/>
    </w:lvl>
  </w:abstractNum>
  <w:abstractNum w:abstractNumId="67">
    <w:nsid w:val="98A3148"/>
    <w:multiLevelType w:val="hybridMultilevel"/>
    <w:lvl w:ilvl="0">
      <w:lvlJc w:val="left"/>
      <w:lvlText w:val="%1"/>
      <w:numFmt w:val="decimal"/>
      <w:start w:val="1"/>
    </w:lvl>
    <w:lvl w:ilvl="1">
      <w:lvlJc w:val="left"/>
      <w:lvlText w:val="(%2)"/>
      <w:numFmt w:val="lowerLetter"/>
      <w:start w:val="3"/>
    </w:lvl>
  </w:abstractNum>
  <w:abstractNum w:abstractNumId="68">
    <w:nsid w:val="799D0247"/>
    <w:multiLevelType w:val="hybridMultilevel"/>
    <w:lvl w:ilvl="0">
      <w:lvlJc w:val="left"/>
      <w:lvlText w:val="%1."/>
      <w:numFmt w:val="decimal"/>
      <w:start w:val="13"/>
    </w:lvl>
    <w:lvl w:ilvl="1">
      <w:lvlJc w:val="left"/>
      <w:lvlText w:val="(%2)"/>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2019-12-05T15:11:12Z</dcterms:created>
  <dcterms:modified xsi:type="dcterms:W3CDTF">2019-12-05T15:11:12Z</dcterms:modified>
</cp:coreProperties>
</file>