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April 7, 2011</w:t>
      </w:r>
    </w:p>
    <w:p>
      <w:pPr>
        <w:spacing w:after="0" w:line="19" w:lineRule="exact"/>
        <w:rPr>
          <w:sz w:val="20"/>
          <w:szCs w:val="20"/>
          <w:color w:val="auto"/>
        </w:rPr>
      </w:pPr>
    </w:p>
    <w:p>
      <w:pPr>
        <w:ind w:left="974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5715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6"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UNITED STATES SECURITIES AND EXCHANGE COMMISSION</w:t>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46990</wp:posOffset>
            </wp:positionV>
            <wp:extent cx="10299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05"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Form S-3</w:t>
      </w:r>
    </w:p>
    <w:p>
      <w:pPr>
        <w:spacing w:after="0" w:line="37"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REGISTRATION STATEMENT</w:t>
      </w:r>
    </w:p>
    <w:p>
      <w:pPr>
        <w:spacing w:after="0" w:line="18"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UNDER</w:t>
      </w:r>
    </w:p>
    <w:p>
      <w:pPr>
        <w:spacing w:after="0" w:line="6"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53975</wp:posOffset>
            </wp:positionV>
            <wp:extent cx="10299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11" w:lineRule="exact"/>
        <w:rPr>
          <w:sz w:val="20"/>
          <w:szCs w:val="20"/>
          <w:color w:val="auto"/>
        </w:rPr>
      </w:pPr>
    </w:p>
    <w:p>
      <w:pPr>
        <w:jc w:val="center"/>
        <w:ind w:right="-339"/>
        <w:spacing w:after="0"/>
        <w:rPr>
          <w:sz w:val="20"/>
          <w:szCs w:val="20"/>
          <w:color w:val="auto"/>
        </w:rPr>
      </w:pPr>
      <w:r>
        <w:rPr>
          <w:rFonts w:ascii="Arial" w:cs="Arial" w:eastAsia="Arial" w:hAnsi="Arial"/>
          <w:sz w:val="29"/>
          <w:szCs w:val="29"/>
          <w:b w:val="1"/>
          <w:bCs w:val="1"/>
          <w:color w:val="auto"/>
        </w:rPr>
        <w:t>SCHLUMBERGER N.V.</w:t>
      </w:r>
    </w:p>
    <w:p>
      <w:pPr>
        <w:spacing w:after="0" w:line="12" w:lineRule="exact"/>
        <w:rPr>
          <w:sz w:val="20"/>
          <w:szCs w:val="20"/>
          <w:color w:val="auto"/>
        </w:rPr>
      </w:pPr>
    </w:p>
    <w:p>
      <w:pPr>
        <w:jc w:val="center"/>
        <w:ind w:right="-339"/>
        <w:spacing w:after="0"/>
        <w:rPr>
          <w:sz w:val="20"/>
          <w:szCs w:val="20"/>
          <w:color w:val="auto"/>
        </w:rPr>
      </w:pPr>
      <w:r>
        <w:rPr>
          <w:rFonts w:ascii="Arial" w:cs="Arial" w:eastAsia="Arial" w:hAnsi="Arial"/>
          <w:sz w:val="29"/>
          <w:szCs w:val="29"/>
          <w:b w:val="1"/>
          <w:bCs w:val="1"/>
          <w:color w:val="auto"/>
        </w:rPr>
        <w:t>(SCHLUMBERGER LIMITED)</w:t>
      </w:r>
    </w:p>
    <w:p>
      <w:pPr>
        <w:jc w:val="center"/>
        <w:ind w:right="-339"/>
        <w:spacing w:after="0"/>
        <w:rPr>
          <w:sz w:val="20"/>
          <w:szCs w:val="20"/>
          <w:color w:val="auto"/>
        </w:rPr>
      </w:pPr>
      <w:r>
        <w:rPr>
          <w:rFonts w:ascii="Arial" w:cs="Arial" w:eastAsia="Arial" w:hAnsi="Arial"/>
          <w:sz w:val="9"/>
          <w:szCs w:val="9"/>
          <w:i w:val="1"/>
          <w:iCs w:val="1"/>
          <w:color w:val="auto"/>
        </w:rPr>
        <w:t>(Exact name of registrant as specified in its charter)</w:t>
      </w:r>
    </w:p>
    <w:p>
      <w:pPr>
        <w:spacing w:after="0" w:line="28" w:lineRule="exact"/>
        <w:rPr>
          <w:sz w:val="20"/>
          <w:szCs w:val="20"/>
          <w:color w:val="auto"/>
        </w:rPr>
      </w:pPr>
    </w:p>
    <w:tbl>
      <w:tblPr>
        <w:tblLayout w:type="fixed"/>
        <w:tblInd w:w="1620" w:type="dxa"/>
        <w:tblCellMar>
          <w:top w:w="0" w:type="dxa"/>
          <w:left w:w="0" w:type="dxa"/>
          <w:bottom w:w="0" w:type="dxa"/>
          <w:right w:w="0" w:type="dxa"/>
        </w:tblCellMar>
      </w:tblPr>
      <w:tr>
        <w:trPr>
          <w:trHeight w:val="145"/>
        </w:trPr>
        <w:tc>
          <w:tcPr>
            <w:tcW w:w="2400" w:type="dxa"/>
            <w:vAlign w:val="bottom"/>
          </w:tcPr>
          <w:p>
            <w:pPr>
              <w:jc w:val="center"/>
              <w:ind w:right="1230"/>
              <w:spacing w:after="0"/>
              <w:rPr>
                <w:sz w:val="20"/>
                <w:szCs w:val="20"/>
                <w:color w:val="auto"/>
              </w:rPr>
            </w:pPr>
            <w:r>
              <w:rPr>
                <w:rFonts w:ascii="Arial" w:cs="Arial" w:eastAsia="Arial" w:hAnsi="Arial"/>
                <w:sz w:val="12"/>
                <w:szCs w:val="12"/>
                <w:b w:val="1"/>
                <w:bCs w:val="1"/>
                <w:color w:val="auto"/>
                <w:w w:val="91"/>
              </w:rPr>
              <w:t>Curaçao</w:t>
            </w:r>
          </w:p>
        </w:tc>
        <w:tc>
          <w:tcPr>
            <w:tcW w:w="3660" w:type="dxa"/>
            <w:vAlign w:val="bottom"/>
          </w:tcPr>
          <w:p>
            <w:pPr>
              <w:jc w:val="center"/>
              <w:spacing w:after="0"/>
              <w:rPr>
                <w:sz w:val="20"/>
                <w:szCs w:val="20"/>
                <w:color w:val="auto"/>
              </w:rPr>
            </w:pPr>
            <w:r>
              <w:rPr>
                <w:rFonts w:ascii="Arial" w:cs="Arial" w:eastAsia="Arial" w:hAnsi="Arial"/>
                <w:sz w:val="12"/>
                <w:szCs w:val="12"/>
                <w:b w:val="1"/>
                <w:bCs w:val="1"/>
                <w:color w:val="auto"/>
                <w:w w:val="89"/>
              </w:rPr>
              <w:t>1389</w:t>
            </w:r>
          </w:p>
        </w:tc>
        <w:tc>
          <w:tcPr>
            <w:tcW w:w="2140" w:type="dxa"/>
            <w:vAlign w:val="bottom"/>
          </w:tcPr>
          <w:p>
            <w:pPr>
              <w:jc w:val="center"/>
              <w:ind w:left="1250"/>
              <w:spacing w:after="0"/>
              <w:rPr>
                <w:sz w:val="20"/>
                <w:szCs w:val="20"/>
                <w:color w:val="auto"/>
              </w:rPr>
            </w:pPr>
            <w:r>
              <w:rPr>
                <w:rFonts w:ascii="Arial" w:cs="Arial" w:eastAsia="Arial" w:hAnsi="Arial"/>
                <w:sz w:val="12"/>
                <w:szCs w:val="12"/>
                <w:b w:val="1"/>
                <w:bCs w:val="1"/>
                <w:color w:val="auto"/>
                <w:w w:val="87"/>
              </w:rPr>
              <w:t>52-0684746</w:t>
            </w:r>
          </w:p>
        </w:tc>
      </w:tr>
      <w:tr>
        <w:trPr>
          <w:trHeight w:val="98"/>
        </w:trPr>
        <w:tc>
          <w:tcPr>
            <w:tcW w:w="2400" w:type="dxa"/>
            <w:vAlign w:val="bottom"/>
          </w:tcPr>
          <w:p>
            <w:pPr>
              <w:jc w:val="center"/>
              <w:ind w:right="1230"/>
              <w:spacing w:after="0" w:line="98" w:lineRule="exact"/>
              <w:rPr>
                <w:sz w:val="20"/>
                <w:szCs w:val="20"/>
                <w:color w:val="auto"/>
              </w:rPr>
            </w:pPr>
            <w:r>
              <w:rPr>
                <w:rFonts w:ascii="Arial" w:cs="Arial" w:eastAsia="Arial" w:hAnsi="Arial"/>
                <w:sz w:val="9"/>
                <w:szCs w:val="9"/>
                <w:i w:val="1"/>
                <w:iCs w:val="1"/>
                <w:color w:val="auto"/>
                <w:w w:val="95"/>
              </w:rPr>
              <w:t>(State or other jurisdiction of</w:t>
            </w:r>
          </w:p>
        </w:tc>
        <w:tc>
          <w:tcPr>
            <w:tcW w:w="3660" w:type="dxa"/>
            <w:vAlign w:val="bottom"/>
          </w:tcPr>
          <w:p>
            <w:pPr>
              <w:jc w:val="center"/>
              <w:spacing w:after="0" w:line="98" w:lineRule="exact"/>
              <w:rPr>
                <w:sz w:val="20"/>
                <w:szCs w:val="20"/>
                <w:color w:val="auto"/>
              </w:rPr>
            </w:pPr>
            <w:r>
              <w:rPr>
                <w:rFonts w:ascii="Arial" w:cs="Arial" w:eastAsia="Arial" w:hAnsi="Arial"/>
                <w:sz w:val="9"/>
                <w:szCs w:val="9"/>
                <w:i w:val="1"/>
                <w:iCs w:val="1"/>
                <w:color w:val="auto"/>
                <w:w w:val="96"/>
              </w:rPr>
              <w:t>(Primary Standard Industrial</w:t>
            </w:r>
          </w:p>
        </w:tc>
        <w:tc>
          <w:tcPr>
            <w:tcW w:w="2140" w:type="dxa"/>
            <w:vAlign w:val="bottom"/>
          </w:tcPr>
          <w:p>
            <w:pPr>
              <w:jc w:val="center"/>
              <w:ind w:left="1250"/>
              <w:spacing w:after="0" w:line="98" w:lineRule="exact"/>
              <w:rPr>
                <w:sz w:val="20"/>
                <w:szCs w:val="20"/>
                <w:color w:val="auto"/>
              </w:rPr>
            </w:pPr>
            <w:r>
              <w:rPr>
                <w:rFonts w:ascii="Arial" w:cs="Arial" w:eastAsia="Arial" w:hAnsi="Arial"/>
                <w:sz w:val="9"/>
                <w:szCs w:val="9"/>
                <w:i w:val="1"/>
                <w:iCs w:val="1"/>
                <w:color w:val="auto"/>
                <w:w w:val="90"/>
              </w:rPr>
              <w:t>(I.R.S. Employer</w:t>
            </w:r>
          </w:p>
        </w:tc>
      </w:tr>
      <w:tr>
        <w:trPr>
          <w:trHeight w:val="116"/>
        </w:trPr>
        <w:tc>
          <w:tcPr>
            <w:tcW w:w="2400" w:type="dxa"/>
            <w:vAlign w:val="bottom"/>
          </w:tcPr>
          <w:p>
            <w:pPr>
              <w:jc w:val="center"/>
              <w:ind w:right="1230"/>
              <w:spacing w:after="0"/>
              <w:rPr>
                <w:sz w:val="20"/>
                <w:szCs w:val="20"/>
                <w:color w:val="auto"/>
              </w:rPr>
            </w:pPr>
            <w:r>
              <w:rPr>
                <w:rFonts w:ascii="Arial" w:cs="Arial" w:eastAsia="Arial" w:hAnsi="Arial"/>
                <w:sz w:val="9"/>
                <w:szCs w:val="9"/>
                <w:i w:val="1"/>
                <w:iCs w:val="1"/>
                <w:color w:val="auto"/>
                <w:w w:val="95"/>
              </w:rPr>
              <w:t>incorporation or organization)</w:t>
            </w:r>
          </w:p>
        </w:tc>
        <w:tc>
          <w:tcPr>
            <w:tcW w:w="3660" w:type="dxa"/>
            <w:vAlign w:val="bottom"/>
          </w:tcPr>
          <w:p>
            <w:pPr>
              <w:jc w:val="center"/>
              <w:spacing w:after="0"/>
              <w:rPr>
                <w:sz w:val="20"/>
                <w:szCs w:val="20"/>
                <w:color w:val="auto"/>
              </w:rPr>
            </w:pPr>
            <w:r>
              <w:rPr>
                <w:rFonts w:ascii="Arial" w:cs="Arial" w:eastAsia="Arial" w:hAnsi="Arial"/>
                <w:sz w:val="9"/>
                <w:szCs w:val="9"/>
                <w:i w:val="1"/>
                <w:iCs w:val="1"/>
                <w:color w:val="auto"/>
                <w:w w:val="94"/>
              </w:rPr>
              <w:t>Classification Code Number)</w:t>
            </w:r>
          </w:p>
        </w:tc>
        <w:tc>
          <w:tcPr>
            <w:tcW w:w="2140" w:type="dxa"/>
            <w:vAlign w:val="bottom"/>
          </w:tcPr>
          <w:p>
            <w:pPr>
              <w:jc w:val="center"/>
              <w:ind w:left="1250"/>
              <w:spacing w:after="0"/>
              <w:rPr>
                <w:sz w:val="20"/>
                <w:szCs w:val="20"/>
                <w:color w:val="auto"/>
              </w:rPr>
            </w:pPr>
            <w:r>
              <w:rPr>
                <w:rFonts w:ascii="Arial" w:cs="Arial" w:eastAsia="Arial" w:hAnsi="Arial"/>
                <w:sz w:val="9"/>
                <w:szCs w:val="9"/>
                <w:i w:val="1"/>
                <w:iCs w:val="1"/>
                <w:color w:val="auto"/>
                <w:w w:val="95"/>
              </w:rPr>
              <w:t>Identification Number)</w:t>
            </w:r>
          </w:p>
        </w:tc>
      </w:tr>
    </w:tbl>
    <w:p>
      <w:pPr>
        <w:spacing w:after="0" w:line="34"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42, rue Saint-Dominique</w:t>
      </w:r>
    </w:p>
    <w:p>
      <w:pPr>
        <w:spacing w:after="0" w:line="13"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Paris, France 75007</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33-1-4062-1000</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5599 San Felipe, 17th Floor</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Houston, Texas 77056</w:t>
      </w:r>
    </w:p>
    <w:p>
      <w:pPr>
        <w:spacing w:after="0" w:line="9" w:lineRule="exact"/>
        <w:rPr>
          <w:sz w:val="20"/>
          <w:szCs w:val="20"/>
          <w:color w:val="auto"/>
        </w:rPr>
      </w:pPr>
    </w:p>
    <w:p>
      <w:pPr>
        <w:ind w:left="5660" w:hanging="295"/>
        <w:spacing w:after="0"/>
        <w:tabs>
          <w:tab w:leader="none" w:pos="5660"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375-3400</w:t>
      </w:r>
    </w:p>
    <w:p>
      <w:pPr>
        <w:spacing w:after="0" w:line="9" w:lineRule="exact"/>
        <w:rPr>
          <w:rFonts w:ascii="Arial" w:cs="Arial" w:eastAsia="Arial" w:hAnsi="Arial"/>
          <w:sz w:val="12"/>
          <w:szCs w:val="12"/>
          <w:b w:val="1"/>
          <w:bCs w:val="1"/>
          <w:color w:val="auto"/>
        </w:rPr>
      </w:pPr>
    </w:p>
    <w:p>
      <w:pPr>
        <w:jc w:val="center"/>
        <w:ind w:left="5080" w:right="4720" w:firstLine="7"/>
        <w:spacing w:after="0" w:line="341" w:lineRule="auto"/>
        <w:rPr>
          <w:rFonts w:ascii="Arial" w:cs="Arial" w:eastAsia="Arial" w:hAnsi="Arial"/>
          <w:sz w:val="12"/>
          <w:szCs w:val="12"/>
          <w:b w:val="1"/>
          <w:bCs w:val="1"/>
          <w:color w:val="auto"/>
        </w:rPr>
      </w:pPr>
      <w:r>
        <w:rPr>
          <w:rFonts w:ascii="Arial" w:cs="Arial" w:eastAsia="Arial" w:hAnsi="Arial"/>
          <w:sz w:val="9"/>
          <w:szCs w:val="9"/>
          <w:b w:val="1"/>
          <w:bCs w:val="1"/>
          <w:color w:val="auto"/>
        </w:rPr>
        <w:t>Parkstraat 83, The Hague The Netherlands, 2514 JG 31-70-310-54003000</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9"/>
          <w:szCs w:val="9"/>
          <w:i w:val="1"/>
          <w:iCs w:val="1"/>
          <w:color w:val="auto"/>
        </w:rPr>
        <w:t>(Address, including zip code, and telephone number, including area code, of registrant’s principal executive offices)</w:t>
      </w:r>
    </w:p>
    <w:p>
      <w:pPr>
        <w:spacing w:after="0" w:line="40"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Alexander C. Juden</w:t>
      </w:r>
    </w:p>
    <w:p>
      <w:pPr>
        <w:spacing w:after="0" w:line="13"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Secretary and General Counsel</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Schlumberger Limited</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5599 San Felipe, 17th Floor</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Houston, Texas 77056</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(713) 375-3400</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9"/>
          <w:szCs w:val="9"/>
          <w:i w:val="1"/>
          <w:iCs w:val="1"/>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62230</wp:posOffset>
            </wp:positionV>
            <wp:extent cx="10299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80"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i w:val="1"/>
          <w:iCs w:val="1"/>
          <w:color w:val="auto"/>
        </w:rPr>
        <w:t>Copy to:</w:t>
      </w:r>
    </w:p>
    <w:p>
      <w:pPr>
        <w:spacing w:after="0" w:line="11"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Andrew L. Fabens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Gibson, Dunn &amp; Crutcher LLP</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200 Park Ave.</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New York, New York 10166</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(212) 351-4000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71755</wp:posOffset>
            </wp:positionV>
            <wp:extent cx="102997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2"/>
          <w:szCs w:val="12"/>
          <w:b w:val="1"/>
          <w:bCs w:val="1"/>
          <w:color w:val="auto"/>
        </w:rPr>
        <w:t xml:space="preserve">Approximate date of commencement of proposed sale of the securities to the public: </w:t>
      </w:r>
      <w:r>
        <w:rPr>
          <w:rFonts w:ascii="Arial" w:cs="Arial" w:eastAsia="Arial" w:hAnsi="Arial"/>
          <w:sz w:val="12"/>
          <w:szCs w:val="12"/>
          <w:color w:val="auto"/>
        </w:rPr>
        <w:t>From time to time after the effective date of this Registration Statement, as determined by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80645</wp:posOffset>
            </wp:positionV>
            <wp:extent cx="102997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 o</w:t>
      </w:r>
    </w:p>
    <w:p>
      <w:pPr>
        <w:spacing w:after="0" w:line="59" w:lineRule="exact"/>
        <w:rPr>
          <w:sz w:val="20"/>
          <w:szCs w:val="20"/>
          <w:color w:val="auto"/>
        </w:rPr>
      </w:pPr>
    </w:p>
    <w:p>
      <w:pPr>
        <w:ind w:left="340" w:right="80" w:firstLine="324"/>
        <w:spacing w:after="0" w:line="156"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34" w:lineRule="exact"/>
        <w:rPr>
          <w:sz w:val="20"/>
          <w:szCs w:val="20"/>
          <w:color w:val="auto"/>
        </w:rPr>
      </w:pPr>
    </w:p>
    <w:p>
      <w:pPr>
        <w:ind w:left="340" w:right="180" w:firstLine="324"/>
        <w:spacing w:after="0" w:line="275"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8" w:lineRule="exact"/>
        <w:rPr>
          <w:sz w:val="20"/>
          <w:szCs w:val="20"/>
          <w:color w:val="auto"/>
        </w:rPr>
      </w:pPr>
    </w:p>
    <w:p>
      <w:pPr>
        <w:ind w:left="340" w:right="360" w:firstLine="324"/>
        <w:spacing w:after="0" w:line="275" w:lineRule="auto"/>
        <w:rPr>
          <w:sz w:val="20"/>
          <w:szCs w:val="20"/>
          <w:color w:val="auto"/>
        </w:rPr>
      </w:pPr>
      <w:r>
        <w:rPr>
          <w:rFonts w:ascii="Arial" w:cs="Arial" w:eastAsia="Arial" w:hAnsi="Arial"/>
          <w:sz w:val="12"/>
          <w:szCs w:val="12"/>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8" w:lineRule="exact"/>
        <w:rPr>
          <w:sz w:val="20"/>
          <w:szCs w:val="20"/>
          <w:color w:val="auto"/>
        </w:rPr>
      </w:pPr>
    </w:p>
    <w:p>
      <w:pPr>
        <w:ind w:left="340" w:right="120" w:firstLine="324"/>
        <w:spacing w:after="0" w:line="156" w:lineRule="exact"/>
        <w:rPr>
          <w:sz w:val="20"/>
          <w:szCs w:val="20"/>
          <w:color w:val="auto"/>
        </w:rPr>
      </w:pPr>
      <w:r>
        <w:rPr>
          <w:rFonts w:ascii="Arial" w:cs="Arial" w:eastAsia="Arial" w:hAnsi="Arial"/>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34" w:lineRule="exact"/>
        <w:rPr>
          <w:sz w:val="20"/>
          <w:szCs w:val="20"/>
          <w:color w:val="auto"/>
        </w:rPr>
      </w:pPr>
    </w:p>
    <w:p>
      <w:pPr>
        <w:ind w:left="340" w:right="300" w:firstLine="324"/>
        <w:spacing w:after="0" w:line="275" w:lineRule="auto"/>
        <w:rPr>
          <w:sz w:val="20"/>
          <w:szCs w:val="20"/>
          <w:color w:val="auto"/>
        </w:rPr>
      </w:pPr>
      <w:r>
        <w:rPr>
          <w:rFonts w:ascii="Arial" w:cs="Arial" w:eastAsia="Arial" w:hAnsi="Arial"/>
          <w:sz w:val="12"/>
          <w:szCs w:val="12"/>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53340</wp:posOffset>
            </wp:positionV>
            <wp:extent cx="102997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65" w:lineRule="exact"/>
        <w:rPr>
          <w:sz w:val="20"/>
          <w:szCs w:val="20"/>
          <w:color w:val="auto"/>
        </w:rPr>
      </w:pPr>
    </w:p>
    <w:p>
      <w:pPr>
        <w:ind w:left="340" w:right="140" w:firstLine="324"/>
        <w:spacing w:after="0" w:line="27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1820" w:type="dxa"/>
            <w:vAlign w:val="bottom"/>
          </w:tcPr>
          <w:p>
            <w:pPr>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tc>
        <w:tc>
          <w:tcPr>
            <w:tcW w:w="3160" w:type="dxa"/>
            <w:vAlign w:val="bottom"/>
          </w:tcPr>
          <w:p>
            <w:pPr>
              <w:ind w:left="1780"/>
              <w:spacing w:after="0"/>
              <w:rPr>
                <w:sz w:val="20"/>
                <w:szCs w:val="20"/>
                <w:color w:val="auto"/>
              </w:rPr>
            </w:pPr>
            <w:r>
              <w:rPr>
                <w:rFonts w:ascii="Arial" w:cs="Arial" w:eastAsia="Arial" w:hAnsi="Arial"/>
                <w:sz w:val="12"/>
                <w:szCs w:val="12"/>
                <w:color w:val="auto"/>
              </w:rPr>
              <w:t>Accelerated filer o</w:t>
            </w:r>
          </w:p>
        </w:tc>
        <w:tc>
          <w:tcPr>
            <w:tcW w:w="118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color w:val="auto"/>
                <w:w w:val="91"/>
              </w:rPr>
              <w:t>Non-accelerated filer o</w:t>
            </w:r>
          </w:p>
        </w:tc>
        <w:tc>
          <w:tcPr>
            <w:tcW w:w="1220" w:type="dxa"/>
            <w:vAlign w:val="bottom"/>
          </w:tcPr>
          <w:p>
            <w:pPr>
              <w:spacing w:after="0"/>
              <w:rPr>
                <w:sz w:val="14"/>
                <w:szCs w:val="14"/>
                <w:color w:val="auto"/>
              </w:rPr>
            </w:pPr>
          </w:p>
        </w:tc>
        <w:tc>
          <w:tcPr>
            <w:tcW w:w="2260" w:type="dxa"/>
            <w:vAlign w:val="bottom"/>
            <w:gridSpan w:val="3"/>
          </w:tcPr>
          <w:p>
            <w:pPr>
              <w:ind w:left="860"/>
              <w:spacing w:after="0"/>
              <w:rPr>
                <w:sz w:val="20"/>
                <w:szCs w:val="20"/>
                <w:color w:val="auto"/>
              </w:rPr>
            </w:pPr>
            <w:r>
              <w:rPr>
                <w:rFonts w:ascii="Arial" w:cs="Arial" w:eastAsia="Arial" w:hAnsi="Arial"/>
                <w:sz w:val="12"/>
                <w:szCs w:val="12"/>
                <w:color w:val="auto"/>
                <w:w w:val="89"/>
              </w:rPr>
              <w:t>Smaller reporting company o</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560" w:type="dxa"/>
            <w:vAlign w:val="bottom"/>
            <w:gridSpan w:val="4"/>
          </w:tcPr>
          <w:p>
            <w:pPr>
              <w:jc w:val="right"/>
              <w:ind w:right="806"/>
              <w:spacing w:after="0"/>
              <w:rPr>
                <w:sz w:val="20"/>
                <w:szCs w:val="20"/>
                <w:color w:val="auto"/>
              </w:rPr>
            </w:pPr>
            <w:r>
              <w:rPr>
                <w:rFonts w:ascii="Arial" w:cs="Arial" w:eastAsia="Arial" w:hAnsi="Arial"/>
                <w:sz w:val="12"/>
                <w:szCs w:val="12"/>
                <w:color w:val="auto"/>
              </w:rPr>
              <w:t>(Do not check if a smaller reporting company)</w:t>
            </w:r>
          </w:p>
        </w:tc>
        <w:tc>
          <w:tcPr>
            <w:tcW w:w="1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820" w:type="dxa"/>
            <w:vAlign w:val="bottom"/>
          </w:tcPr>
          <w:p>
            <w:pPr>
              <w:spacing w:after="0"/>
              <w:rPr>
                <w:sz w:val="17"/>
                <w:szCs w:val="17"/>
                <w:color w:val="auto"/>
              </w:rPr>
            </w:pPr>
          </w:p>
        </w:tc>
        <w:tc>
          <w:tcPr>
            <w:tcW w:w="5500" w:type="dxa"/>
            <w:vAlign w:val="bottom"/>
            <w:gridSpan w:val="4"/>
          </w:tcPr>
          <w:p>
            <w:pPr>
              <w:ind w:left="2440"/>
              <w:spacing w:after="0"/>
              <w:rPr>
                <w:sz w:val="20"/>
                <w:szCs w:val="20"/>
                <w:color w:val="auto"/>
              </w:rPr>
            </w:pPr>
            <w:r>
              <w:rPr>
                <w:rFonts w:ascii="Arial" w:cs="Arial" w:eastAsia="Arial" w:hAnsi="Arial"/>
                <w:sz w:val="12"/>
                <w:szCs w:val="12"/>
                <w:b w:val="1"/>
                <w:bCs w:val="1"/>
                <w:color w:val="auto"/>
              </w:rPr>
              <w:t>CALCULATION OF REGISTRATION FEE</w:t>
            </w:r>
          </w:p>
        </w:tc>
        <w:tc>
          <w:tcPr>
            <w:tcW w:w="1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8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820" w:type="dxa"/>
            <w:vAlign w:val="bottom"/>
            <w:tcBorders>
              <w:top w:val="single" w:sz="8" w:color="auto"/>
            </w:tcBorders>
          </w:tcPr>
          <w:p>
            <w:pPr>
              <w:spacing w:after="0"/>
              <w:rPr>
                <w:sz w:val="7"/>
                <w:szCs w:val="7"/>
                <w:color w:val="auto"/>
              </w:rPr>
            </w:pPr>
          </w:p>
        </w:tc>
        <w:tc>
          <w:tcPr>
            <w:tcW w:w="3160" w:type="dxa"/>
            <w:vAlign w:val="bottom"/>
            <w:tcBorders>
              <w:top w:val="single" w:sz="8" w:color="auto"/>
            </w:tcBorders>
            <w:vMerge w:val="restart"/>
          </w:tcPr>
          <w:p>
            <w:pPr>
              <w:jc w:val="center"/>
              <w:ind w:right="704"/>
              <w:spacing w:after="0"/>
              <w:rPr>
                <w:sz w:val="20"/>
                <w:szCs w:val="20"/>
                <w:color w:val="auto"/>
              </w:rPr>
            </w:pPr>
            <w:r>
              <w:rPr>
                <w:rFonts w:ascii="Arial" w:cs="Arial" w:eastAsia="Arial" w:hAnsi="Arial"/>
                <w:sz w:val="10"/>
                <w:szCs w:val="10"/>
                <w:b w:val="1"/>
                <w:bCs w:val="1"/>
                <w:color w:val="auto"/>
                <w:w w:val="94"/>
              </w:rPr>
              <w:t>Title of Each Class of</w:t>
            </w:r>
          </w:p>
        </w:tc>
        <w:tc>
          <w:tcPr>
            <w:tcW w:w="1180" w:type="dxa"/>
            <w:vAlign w:val="bottom"/>
            <w:tcBorders>
              <w:top w:val="single" w:sz="8" w:color="auto"/>
              <w:right w:val="single" w:sz="8" w:color="auto"/>
            </w:tcBorders>
          </w:tcPr>
          <w:p>
            <w:pPr>
              <w:spacing w:after="0"/>
              <w:rPr>
                <w:sz w:val="7"/>
                <w:szCs w:val="7"/>
                <w:color w:val="auto"/>
              </w:rPr>
            </w:pPr>
          </w:p>
        </w:tc>
        <w:tc>
          <w:tcPr>
            <w:tcW w:w="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95"/>
              </w:rPr>
              <w:t>Amount to</w:t>
            </w:r>
          </w:p>
        </w:tc>
        <w:tc>
          <w:tcPr>
            <w:tcW w:w="200" w:type="dxa"/>
            <w:vAlign w:val="bottom"/>
            <w:tcBorders>
              <w:top w:val="single" w:sz="8" w:color="auto"/>
            </w:tcBorders>
          </w:tcPr>
          <w:p>
            <w:pPr>
              <w:spacing w:after="0"/>
              <w:rPr>
                <w:sz w:val="7"/>
                <w:szCs w:val="7"/>
                <w:color w:val="auto"/>
              </w:rPr>
            </w:pPr>
          </w:p>
        </w:tc>
        <w:tc>
          <w:tcPr>
            <w:tcW w:w="1220" w:type="dxa"/>
            <w:vAlign w:val="bottom"/>
            <w:tcBorders>
              <w:top w:val="single" w:sz="8" w:color="auto"/>
              <w:right w:val="single" w:sz="8" w:color="auto"/>
            </w:tcBorders>
          </w:tcPr>
          <w:p>
            <w:pPr>
              <w:jc w:val="center"/>
              <w:ind w:right="146"/>
              <w:spacing w:after="0" w:line="92" w:lineRule="exact"/>
              <w:rPr>
                <w:sz w:val="20"/>
                <w:szCs w:val="20"/>
                <w:color w:val="auto"/>
              </w:rPr>
            </w:pPr>
            <w:r>
              <w:rPr>
                <w:rFonts w:ascii="Arial" w:cs="Arial" w:eastAsia="Arial" w:hAnsi="Arial"/>
                <w:sz w:val="10"/>
                <w:szCs w:val="10"/>
                <w:b w:val="1"/>
                <w:bCs w:val="1"/>
                <w:color w:val="auto"/>
                <w:w w:val="94"/>
              </w:rPr>
              <w:t>Proposed Maximum</w:t>
            </w:r>
          </w:p>
        </w:tc>
        <w:tc>
          <w:tcPr>
            <w:tcW w:w="1400" w:type="dxa"/>
            <w:vAlign w:val="bottom"/>
            <w:tcBorders>
              <w:top w:val="single" w:sz="8" w:color="auto"/>
              <w:right w:val="single" w:sz="8" w:color="auto"/>
            </w:tcBorders>
          </w:tcPr>
          <w:p>
            <w:pPr>
              <w:jc w:val="center"/>
              <w:spacing w:after="0" w:line="92" w:lineRule="exact"/>
              <w:rPr>
                <w:sz w:val="20"/>
                <w:szCs w:val="20"/>
                <w:color w:val="auto"/>
              </w:rPr>
            </w:pPr>
            <w:r>
              <w:rPr>
                <w:rFonts w:ascii="Arial" w:cs="Arial" w:eastAsia="Arial" w:hAnsi="Arial"/>
                <w:sz w:val="10"/>
                <w:szCs w:val="10"/>
                <w:b w:val="1"/>
                <w:bCs w:val="1"/>
                <w:color w:val="auto"/>
                <w:w w:val="94"/>
              </w:rPr>
              <w:t>Proposed Maximum</w:t>
            </w:r>
          </w:p>
        </w:tc>
        <w:tc>
          <w:tcPr>
            <w:tcW w:w="840" w:type="dxa"/>
            <w:vAlign w:val="bottom"/>
            <w:tcBorders>
              <w:top w:val="single" w:sz="8" w:color="auto"/>
            </w:tcBorders>
          </w:tcPr>
          <w:p>
            <w:pPr>
              <w:jc w:val="center"/>
              <w:ind w:left="26"/>
              <w:spacing w:after="0" w:line="92" w:lineRule="exact"/>
              <w:rPr>
                <w:sz w:val="20"/>
                <w:szCs w:val="20"/>
                <w:color w:val="auto"/>
              </w:rPr>
            </w:pPr>
            <w:r>
              <w:rPr>
                <w:rFonts w:ascii="Arial" w:cs="Arial" w:eastAsia="Arial" w:hAnsi="Arial"/>
                <w:sz w:val="10"/>
                <w:szCs w:val="10"/>
                <w:b w:val="1"/>
                <w:bCs w:val="1"/>
                <w:color w:val="auto"/>
                <w:w w:val="95"/>
              </w:rPr>
              <w:t>Amount of</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3160" w:type="dxa"/>
            <w:vAlign w:val="bottom"/>
            <w:vMerge w:val="continue"/>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Borders>
              <w:right w:val="single" w:sz="8" w:color="auto"/>
            </w:tcBorders>
          </w:tcPr>
          <w:p>
            <w:pPr>
              <w:jc w:val="center"/>
              <w:ind w:right="146"/>
              <w:spacing w:after="0" w:line="108" w:lineRule="exact"/>
              <w:rPr>
                <w:sz w:val="20"/>
                <w:szCs w:val="20"/>
                <w:color w:val="auto"/>
              </w:rPr>
            </w:pPr>
            <w:r>
              <w:rPr>
                <w:rFonts w:ascii="Arial" w:cs="Arial" w:eastAsia="Arial" w:hAnsi="Arial"/>
                <w:sz w:val="10"/>
                <w:szCs w:val="10"/>
                <w:b w:val="1"/>
                <w:bCs w:val="1"/>
                <w:color w:val="auto"/>
                <w:w w:val="97"/>
              </w:rPr>
              <w:t>Offering</w:t>
            </w:r>
          </w:p>
        </w:tc>
        <w:tc>
          <w:tcPr>
            <w:tcW w:w="14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92"/>
              </w:rPr>
              <w:t>Aggregate</w:t>
            </w:r>
          </w:p>
        </w:tc>
        <w:tc>
          <w:tcPr>
            <w:tcW w:w="860" w:type="dxa"/>
            <w:vAlign w:val="bottom"/>
            <w:gridSpan w:val="2"/>
          </w:tcPr>
          <w:p>
            <w:pPr>
              <w:jc w:val="center"/>
              <w:ind w:left="6"/>
              <w:spacing w:after="0" w:line="108" w:lineRule="exact"/>
              <w:rPr>
                <w:sz w:val="20"/>
                <w:szCs w:val="20"/>
                <w:color w:val="auto"/>
              </w:rPr>
            </w:pPr>
            <w:r>
              <w:rPr>
                <w:rFonts w:ascii="Arial" w:cs="Arial" w:eastAsia="Arial" w:hAnsi="Arial"/>
                <w:sz w:val="10"/>
                <w:szCs w:val="10"/>
                <w:b w:val="1"/>
                <w:bCs w:val="1"/>
                <w:color w:val="auto"/>
                <w:w w:val="95"/>
              </w:rPr>
              <w:t>Registration</w:t>
            </w:r>
          </w:p>
        </w:tc>
        <w:tc>
          <w:tcPr>
            <w:tcW w:w="0" w:type="dxa"/>
            <w:vAlign w:val="bottom"/>
          </w:tcPr>
          <w:p>
            <w:pPr>
              <w:spacing w:after="0"/>
              <w:rPr>
                <w:sz w:val="1"/>
                <w:szCs w:val="1"/>
                <w:color w:val="auto"/>
              </w:rPr>
            </w:pPr>
          </w:p>
        </w:tc>
      </w:tr>
      <w:tr>
        <w:trPr>
          <w:trHeight w:val="125"/>
        </w:trPr>
        <w:tc>
          <w:tcPr>
            <w:tcW w:w="1820" w:type="dxa"/>
            <w:vAlign w:val="bottom"/>
          </w:tcPr>
          <w:p>
            <w:pPr>
              <w:spacing w:after="0"/>
              <w:rPr>
                <w:sz w:val="10"/>
                <w:szCs w:val="10"/>
                <w:color w:val="auto"/>
              </w:rPr>
            </w:pPr>
          </w:p>
        </w:tc>
        <w:tc>
          <w:tcPr>
            <w:tcW w:w="3160" w:type="dxa"/>
            <w:vAlign w:val="bottom"/>
          </w:tcPr>
          <w:p>
            <w:pPr>
              <w:jc w:val="center"/>
              <w:ind w:right="684"/>
              <w:spacing w:after="0"/>
              <w:rPr>
                <w:sz w:val="20"/>
                <w:szCs w:val="20"/>
                <w:color w:val="auto"/>
              </w:rPr>
            </w:pPr>
            <w:r>
              <w:rPr>
                <w:rFonts w:ascii="Arial" w:cs="Arial" w:eastAsia="Arial" w:hAnsi="Arial"/>
                <w:sz w:val="10"/>
                <w:szCs w:val="10"/>
                <w:b w:val="1"/>
                <w:bCs w:val="1"/>
                <w:color w:val="auto"/>
                <w:w w:val="91"/>
              </w:rPr>
              <w:t>Securities to be Registered</w:t>
            </w:r>
          </w:p>
        </w:tc>
        <w:tc>
          <w:tcPr>
            <w:tcW w:w="11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be Registered</w:t>
            </w:r>
          </w:p>
        </w:tc>
        <w:tc>
          <w:tcPr>
            <w:tcW w:w="200" w:type="dxa"/>
            <w:vAlign w:val="bottom"/>
          </w:tcPr>
          <w:p>
            <w:pPr>
              <w:spacing w:after="0"/>
              <w:rPr>
                <w:sz w:val="10"/>
                <w:szCs w:val="10"/>
                <w:color w:val="auto"/>
              </w:rPr>
            </w:pPr>
          </w:p>
        </w:tc>
        <w:tc>
          <w:tcPr>
            <w:tcW w:w="1220" w:type="dxa"/>
            <w:vAlign w:val="bottom"/>
            <w:tcBorders>
              <w:right w:val="single" w:sz="8" w:color="auto"/>
            </w:tcBorders>
          </w:tcPr>
          <w:p>
            <w:pPr>
              <w:jc w:val="center"/>
              <w:ind w:right="166"/>
              <w:spacing w:after="0"/>
              <w:rPr>
                <w:sz w:val="20"/>
                <w:szCs w:val="20"/>
                <w:color w:val="auto"/>
              </w:rPr>
            </w:pPr>
            <w:r>
              <w:rPr>
                <w:rFonts w:ascii="Arial" w:cs="Arial" w:eastAsia="Arial" w:hAnsi="Arial"/>
                <w:sz w:val="10"/>
                <w:szCs w:val="10"/>
                <w:b w:val="1"/>
                <w:bCs w:val="1"/>
                <w:color w:val="auto"/>
                <w:w w:val="97"/>
              </w:rPr>
              <w:t>Price Per Unit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Offering Price</w:t>
            </w:r>
          </w:p>
        </w:tc>
        <w:tc>
          <w:tcPr>
            <w:tcW w:w="860" w:type="dxa"/>
            <w:vAlign w:val="bottom"/>
            <w:gridSpan w:val="2"/>
          </w:tcPr>
          <w:p>
            <w:pPr>
              <w:jc w:val="center"/>
              <w:ind w:left="46"/>
              <w:spacing w:after="0"/>
              <w:rPr>
                <w:sz w:val="20"/>
                <w:szCs w:val="20"/>
                <w:color w:val="auto"/>
              </w:rPr>
            </w:pPr>
            <w:r>
              <w:rPr>
                <w:rFonts w:ascii="Arial" w:cs="Arial" w:eastAsia="Arial" w:hAnsi="Arial"/>
                <w:sz w:val="10"/>
                <w:szCs w:val="10"/>
                <w:b w:val="1"/>
                <w:bCs w:val="1"/>
                <w:color w:val="auto"/>
                <w:w w:val="92"/>
              </w:rPr>
              <w:t>Fee</w:t>
            </w:r>
          </w:p>
        </w:tc>
        <w:tc>
          <w:tcPr>
            <w:tcW w:w="0" w:type="dxa"/>
            <w:vAlign w:val="bottom"/>
          </w:tcPr>
          <w:p>
            <w:pPr>
              <w:spacing w:after="0"/>
              <w:rPr>
                <w:sz w:val="1"/>
                <w:szCs w:val="1"/>
                <w:color w:val="auto"/>
              </w:rPr>
            </w:pPr>
          </w:p>
        </w:tc>
      </w:tr>
      <w:tr>
        <w:trPr>
          <w:trHeight w:val="147"/>
        </w:trPr>
        <w:tc>
          <w:tcPr>
            <w:tcW w:w="49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2"/>
                <w:szCs w:val="12"/>
                <w:color w:val="auto"/>
              </w:rPr>
              <w:t>Debt Securities, Common Stock, Guarantees of Debt Securities(1)</w:t>
            </w:r>
          </w:p>
        </w:tc>
        <w:tc>
          <w:tcPr>
            <w:tcW w:w="1180" w:type="dxa"/>
            <w:vAlign w:val="bottom"/>
            <w:tcBorders>
              <w:top w:val="single" w:sz="8" w:color="auto"/>
              <w:bottom w:val="single" w:sz="8" w:color="auto"/>
              <w:right w:val="single" w:sz="8" w:color="auto"/>
            </w:tcBorders>
          </w:tcPr>
          <w:p>
            <w:pPr>
              <w:spacing w:after="0"/>
              <w:rPr>
                <w:sz w:val="12"/>
                <w:szCs w:val="12"/>
                <w:color w:val="auto"/>
              </w:rPr>
            </w:pPr>
          </w:p>
        </w:tc>
        <w:tc>
          <w:tcPr>
            <w:tcW w:w="960" w:type="dxa"/>
            <w:vAlign w:val="bottom"/>
            <w:tcBorders>
              <w:top w:val="single" w:sz="8" w:color="auto"/>
              <w:bottom w:val="single" w:sz="8" w:color="auto"/>
              <w:right w:val="single" w:sz="8" w:color="auto"/>
            </w:tcBorders>
          </w:tcPr>
          <w:p>
            <w:pPr>
              <w:jc w:val="right"/>
              <w:ind w:right="324"/>
              <w:spacing w:after="0"/>
              <w:rPr>
                <w:sz w:val="20"/>
                <w:szCs w:val="20"/>
                <w:color w:val="auto"/>
              </w:rPr>
            </w:pPr>
            <w:r>
              <w:rPr>
                <w:rFonts w:ascii="Arial" w:cs="Arial" w:eastAsia="Arial" w:hAnsi="Arial"/>
                <w:sz w:val="12"/>
                <w:szCs w:val="12"/>
                <w:color w:val="auto"/>
              </w:rPr>
              <w:t>(2)</w:t>
            </w:r>
          </w:p>
        </w:tc>
        <w:tc>
          <w:tcPr>
            <w:tcW w:w="2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right w:val="single" w:sz="8" w:color="auto"/>
            </w:tcBorders>
          </w:tcPr>
          <w:p>
            <w:pPr>
              <w:jc w:val="right"/>
              <w:ind w:right="566"/>
              <w:spacing w:after="0"/>
              <w:rPr>
                <w:sz w:val="20"/>
                <w:szCs w:val="20"/>
                <w:color w:val="auto"/>
              </w:rPr>
            </w:pPr>
            <w:r>
              <w:rPr>
                <w:rFonts w:ascii="Arial" w:cs="Arial" w:eastAsia="Arial" w:hAnsi="Arial"/>
                <w:sz w:val="12"/>
                <w:szCs w:val="12"/>
                <w:color w:val="auto"/>
              </w:rPr>
              <w:t>(2)</w:t>
            </w:r>
          </w:p>
        </w:tc>
        <w:tc>
          <w:tcPr>
            <w:tcW w:w="1400" w:type="dxa"/>
            <w:vAlign w:val="bottom"/>
            <w:tcBorders>
              <w:top w:val="single" w:sz="8" w:color="auto"/>
              <w:bottom w:val="single" w:sz="8" w:color="auto"/>
              <w:right w:val="single" w:sz="8" w:color="auto"/>
            </w:tcBorders>
          </w:tcPr>
          <w:p>
            <w:pPr>
              <w:jc w:val="right"/>
              <w:ind w:right="565"/>
              <w:spacing w:after="0"/>
              <w:rPr>
                <w:sz w:val="20"/>
                <w:szCs w:val="20"/>
                <w:color w:val="auto"/>
              </w:rPr>
            </w:pPr>
            <w:r>
              <w:rPr>
                <w:rFonts w:ascii="Arial" w:cs="Arial" w:eastAsia="Arial" w:hAnsi="Arial"/>
                <w:sz w:val="12"/>
                <w:szCs w:val="12"/>
                <w:color w:val="auto"/>
              </w:rPr>
              <w:t>(2)</w:t>
            </w:r>
          </w:p>
        </w:tc>
        <w:tc>
          <w:tcPr>
            <w:tcW w:w="84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2"/>
                <w:szCs w:val="12"/>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560" w:hanging="217"/>
        <w:spacing w:after="0"/>
        <w:tabs>
          <w:tab w:leader="none" w:pos="560" w:val="left"/>
        </w:tabs>
        <w:numPr>
          <w:ilvl w:val="0"/>
          <w:numId w:val="2"/>
        </w:numPr>
        <w:rPr>
          <w:rFonts w:ascii="Arial" w:cs="Arial" w:eastAsia="Arial" w:hAnsi="Arial"/>
          <w:sz w:val="12"/>
          <w:szCs w:val="12"/>
          <w:color w:val="auto"/>
        </w:rPr>
      </w:pPr>
      <w:r>
        <w:rPr>
          <w:rFonts w:ascii="Arial" w:cs="Arial" w:eastAsia="Arial" w:hAnsi="Arial"/>
          <w:sz w:val="12"/>
          <w:szCs w:val="12"/>
          <w:color w:val="auto"/>
        </w:rPr>
        <w:t>Any securities registered hereunder may be sold separately or as units with other securities registered hereunder.</w:t>
      </w:r>
    </w:p>
    <w:p>
      <w:pPr>
        <w:spacing w:after="0" w:line="48" w:lineRule="exact"/>
        <w:rPr>
          <w:rFonts w:ascii="Arial" w:cs="Arial" w:eastAsia="Arial" w:hAnsi="Arial"/>
          <w:sz w:val="12"/>
          <w:szCs w:val="12"/>
          <w:color w:val="auto"/>
        </w:rPr>
      </w:pPr>
    </w:p>
    <w:p>
      <w:pPr>
        <w:ind w:left="560" w:hanging="217"/>
        <w:spacing w:after="0"/>
        <w:tabs>
          <w:tab w:leader="none" w:pos="560" w:val="left"/>
        </w:tabs>
        <w:numPr>
          <w:ilvl w:val="0"/>
          <w:numId w:val="2"/>
        </w:numPr>
        <w:rPr>
          <w:rFonts w:ascii="Arial" w:cs="Arial" w:eastAsia="Arial" w:hAnsi="Arial"/>
          <w:sz w:val="12"/>
          <w:szCs w:val="12"/>
          <w:color w:val="auto"/>
        </w:rPr>
      </w:pPr>
      <w:r>
        <w:rPr>
          <w:rFonts w:ascii="Arial" w:cs="Arial" w:eastAsia="Arial" w:hAnsi="Arial"/>
          <w:sz w:val="12"/>
          <w:szCs w:val="12"/>
          <w:color w:val="auto"/>
        </w:rPr>
        <w:t>Omitted pursuant to General Instructions II.E of Form S-3. An indeterminate amount of securities of each identified class is being registered as may from time to time be issued at indeterminate prices.</w:t>
      </w:r>
    </w:p>
    <w:p>
      <w:pPr>
        <w:spacing w:after="0" w:line="48" w:lineRule="exact"/>
        <w:rPr>
          <w:rFonts w:ascii="Arial" w:cs="Arial" w:eastAsia="Arial" w:hAnsi="Arial"/>
          <w:sz w:val="12"/>
          <w:szCs w:val="12"/>
          <w:color w:val="auto"/>
        </w:rPr>
      </w:pPr>
    </w:p>
    <w:p>
      <w:pPr>
        <w:ind w:left="560" w:hanging="217"/>
        <w:spacing w:after="0"/>
        <w:tabs>
          <w:tab w:leader="none" w:pos="560" w:val="left"/>
        </w:tabs>
        <w:numPr>
          <w:ilvl w:val="0"/>
          <w:numId w:val="2"/>
        </w:numPr>
        <w:rPr>
          <w:rFonts w:ascii="Arial" w:cs="Arial" w:eastAsia="Arial" w:hAnsi="Arial"/>
          <w:sz w:val="12"/>
          <w:szCs w:val="12"/>
          <w:color w:val="auto"/>
        </w:rPr>
      </w:pPr>
      <w:r>
        <w:rPr>
          <w:rFonts w:ascii="Arial" w:cs="Arial" w:eastAsia="Arial" w:hAnsi="Arial"/>
          <w:sz w:val="12"/>
          <w:szCs w:val="12"/>
          <w:color w:val="auto"/>
        </w:rPr>
        <w:t>In accordance with Rules 456(b) and 457(r), the Registrant is deferring payment of all of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41910</wp:posOffset>
            </wp:positionV>
            <wp:extent cx="6847205"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163195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69215</wp:posOffset>
            </wp:positionV>
            <wp:extent cx="1223645"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3645" cy="27432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ind w:right="-839"/>
        <w:spacing w:after="0"/>
        <w:rPr>
          <w:sz w:val="20"/>
          <w:szCs w:val="20"/>
          <w:color w:val="auto"/>
        </w:rPr>
      </w:pPr>
      <w:r>
        <w:rPr>
          <w:rFonts w:ascii="Arial" w:cs="Arial" w:eastAsia="Arial" w:hAnsi="Arial"/>
          <w:sz w:val="31"/>
          <w:szCs w:val="31"/>
          <w:b w:val="1"/>
          <w:bCs w:val="1"/>
          <w:color w:val="auto"/>
        </w:rPr>
        <w:t>Schlumberger N.V.</w:t>
      </w:r>
    </w:p>
    <w:p>
      <w:pPr>
        <w:spacing w:after="0" w:line="43" w:lineRule="exact"/>
        <w:rPr>
          <w:sz w:val="20"/>
          <w:szCs w:val="20"/>
          <w:color w:val="auto"/>
        </w:rPr>
      </w:pPr>
    </w:p>
    <w:p>
      <w:pPr>
        <w:jc w:val="center"/>
        <w:ind w:right="-839"/>
        <w:spacing w:after="0"/>
        <w:rPr>
          <w:sz w:val="20"/>
          <w:szCs w:val="20"/>
          <w:color w:val="auto"/>
        </w:rPr>
      </w:pPr>
      <w:r>
        <w:rPr>
          <w:rFonts w:ascii="Arial" w:cs="Arial" w:eastAsia="Arial" w:hAnsi="Arial"/>
          <w:sz w:val="31"/>
          <w:szCs w:val="31"/>
          <w:b w:val="1"/>
          <w:bCs w:val="1"/>
          <w:color w:val="auto"/>
        </w:rPr>
        <w:t>(Schlumberger Limited)</w:t>
      </w:r>
    </w:p>
    <w:p>
      <w:pPr>
        <w:spacing w:after="0" w:line="153"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Debt Securities</w:t>
      </w:r>
    </w:p>
    <w:p>
      <w:pPr>
        <w:spacing w:after="0" w:line="29"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116205</wp:posOffset>
            </wp:positionV>
            <wp:extent cx="114236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331"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or selling securityholders may, from time to time, offer to sell senior or subordinated debt securities, common stock or guarantees of debt securities. Each time we or a selling securityholder sells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5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common stock is listed on the New York Stock Exchange under the symbol “SLB.” Our common stock is also traded on the Euronext Paris, Euronext Amsterdam, London and SIX Swiss stock exchanges.</w:t>
      </w:r>
    </w:p>
    <w:p>
      <w:pPr>
        <w:spacing w:after="0" w:line="47" w:lineRule="exact"/>
        <w:rPr>
          <w:sz w:val="20"/>
          <w:szCs w:val="20"/>
          <w:color w:val="auto"/>
        </w:rPr>
      </w:pPr>
    </w:p>
    <w:p>
      <w:pPr>
        <w:ind w:left="680" w:right="320" w:firstLine="499"/>
        <w:spacing w:after="0" w:line="257" w:lineRule="auto"/>
        <w:rPr>
          <w:sz w:val="20"/>
          <w:szCs w:val="20"/>
          <w:color w:val="auto"/>
        </w:rPr>
      </w:pPr>
      <w:r>
        <w:rPr>
          <w:rFonts w:ascii="Arial" w:cs="Arial" w:eastAsia="Arial" w:hAnsi="Arial"/>
          <w:sz w:val="16"/>
          <w:szCs w:val="16"/>
          <w:b w:val="1"/>
          <w:bCs w:val="1"/>
          <w:color w:val="auto"/>
        </w:rPr>
        <w:t>Investing in our securities involves a high degree of risk. See the “Risk Factors” section of our filings with the Securities and Exchange Commission and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114236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2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114236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The date of this prospectus is April 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00"/>
          </w:cols>
          <w:pgMar w:left="220" w:top="343" w:right="11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180" w:type="dxa"/>
            <w:vAlign w:val="bottom"/>
            <w:gridSpan w:val="2"/>
          </w:tcPr>
          <w:p>
            <w:pPr>
              <w:jc w:val="right"/>
              <w:ind w:right="4228"/>
              <w:spacing w:after="0"/>
              <w:rPr>
                <w:sz w:val="20"/>
                <w:szCs w:val="20"/>
                <w:color w:val="auto"/>
              </w:rPr>
            </w:pPr>
            <w:r>
              <w:rPr>
                <w:rFonts w:ascii="Arial" w:cs="Arial" w:eastAsia="Arial" w:hAnsi="Arial"/>
                <w:sz w:val="13"/>
                <w:szCs w:val="13"/>
                <w:b w:val="1"/>
                <w:bCs w:val="1"/>
                <w:color w:val="auto"/>
              </w:rPr>
              <w:t>TABLE OF CONTENTS</w:t>
            </w:r>
          </w:p>
        </w:tc>
      </w:tr>
      <w:tr>
        <w:trPr>
          <w:trHeight w:val="286"/>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3800" w:type="dxa"/>
            <w:vAlign w:val="bottom"/>
            <w:gridSpan w:val="18"/>
          </w:tcPr>
          <w:p>
            <w:pPr>
              <w:spacing w:after="0"/>
              <w:rPr>
                <w:rFonts w:ascii="Arial" w:cs="Arial" w:eastAsia="Arial" w:hAnsi="Arial"/>
                <w:sz w:val="13"/>
                <w:szCs w:val="13"/>
                <w:color w:val="0000EE"/>
              </w:rPr>
            </w:pPr>
            <w:hyperlink w:anchor="page5">
              <w:r>
                <w:rPr>
                  <w:rFonts w:ascii="Arial" w:cs="Arial" w:eastAsia="Arial" w:hAnsi="Arial"/>
                  <w:sz w:val="13"/>
                  <w:szCs w:val="13"/>
                  <w:color w:val="0000EE"/>
                </w:rPr>
                <w:t>About This Prospectus</w:t>
              </w:r>
            </w:hyperlink>
          </w:p>
        </w:tc>
        <w:tc>
          <w:tcPr>
            <w:tcW w:w="618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137"/>
        </w:trPr>
        <w:tc>
          <w:tcPr>
            <w:tcW w:w="1080" w:type="dxa"/>
            <w:vAlign w:val="bottom"/>
            <w:tcBorders>
              <w:top w:val="single" w:sz="8" w:color="0000EE"/>
              <w:bottom w:val="single" w:sz="8" w:color="0000EE"/>
            </w:tcBorders>
            <w:gridSpan w:val="7"/>
          </w:tcPr>
          <w:p>
            <w:pPr>
              <w:spacing w:after="0" w:line="138" w:lineRule="exact"/>
              <w:rPr>
                <w:rFonts w:ascii="Arial" w:cs="Arial" w:eastAsia="Arial" w:hAnsi="Arial"/>
                <w:sz w:val="13"/>
                <w:szCs w:val="13"/>
                <w:color w:val="0000EE"/>
                <w:w w:val="92"/>
              </w:rPr>
            </w:pPr>
            <w:hyperlink w:anchor="page5">
              <w:r>
                <w:rPr>
                  <w:rFonts w:ascii="Arial" w:cs="Arial" w:eastAsia="Arial" w:hAnsi="Arial"/>
                  <w:sz w:val="13"/>
                  <w:szCs w:val="13"/>
                  <w:color w:val="0000EE"/>
                  <w:w w:val="92"/>
                </w:rPr>
                <w:t>About the Company</w:t>
              </w:r>
            </w:hyperlink>
          </w:p>
        </w:tc>
        <w:tc>
          <w:tcPr>
            <w:tcW w:w="120" w:type="dxa"/>
            <w:vAlign w:val="bottom"/>
            <w:tcBorders>
              <w:top w:val="single" w:sz="8" w:color="0000EE"/>
            </w:tcBorders>
          </w:tcPr>
          <w:p>
            <w:pPr>
              <w:spacing w:after="0"/>
              <w:rPr>
                <w:sz w:val="11"/>
                <w:szCs w:val="11"/>
                <w:color w:val="auto"/>
              </w:rPr>
            </w:pPr>
          </w:p>
        </w:tc>
        <w:tc>
          <w:tcPr>
            <w:tcW w:w="2600" w:type="dxa"/>
            <w:vAlign w:val="bottom"/>
            <w:gridSpan w:val="10"/>
          </w:tcPr>
          <w:p>
            <w:pPr>
              <w:spacing w:after="0"/>
              <w:rPr>
                <w:sz w:val="11"/>
                <w:szCs w:val="11"/>
                <w:color w:val="auto"/>
              </w:rPr>
            </w:pPr>
          </w:p>
        </w:tc>
        <w:tc>
          <w:tcPr>
            <w:tcW w:w="61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w:t>
            </w:r>
          </w:p>
        </w:tc>
      </w:tr>
      <w:tr>
        <w:trPr>
          <w:trHeight w:val="137"/>
        </w:trPr>
        <w:tc>
          <w:tcPr>
            <w:tcW w:w="2100" w:type="dxa"/>
            <w:vAlign w:val="bottom"/>
            <w:tcBorders>
              <w:bottom w:val="single" w:sz="8" w:color="0000EE"/>
            </w:tcBorders>
            <w:gridSpan w:val="15"/>
          </w:tcPr>
          <w:p>
            <w:pPr>
              <w:spacing w:after="0" w:line="138" w:lineRule="exact"/>
              <w:rPr>
                <w:rFonts w:ascii="Arial" w:cs="Arial" w:eastAsia="Arial" w:hAnsi="Arial"/>
                <w:sz w:val="13"/>
                <w:szCs w:val="13"/>
                <w:color w:val="0000EE"/>
                <w:w w:val="93"/>
              </w:rPr>
            </w:pPr>
            <w:hyperlink w:anchor="page5">
              <w:r>
                <w:rPr>
                  <w:rFonts w:ascii="Arial" w:cs="Arial" w:eastAsia="Arial" w:hAnsi="Arial"/>
                  <w:sz w:val="13"/>
                  <w:szCs w:val="13"/>
                  <w:color w:val="0000EE"/>
                  <w:w w:val="93"/>
                </w:rPr>
                <w:t>Where You Can Find More Information</w:t>
              </w:r>
            </w:hyperlink>
          </w:p>
        </w:tc>
        <w:tc>
          <w:tcPr>
            <w:tcW w:w="1700" w:type="dxa"/>
            <w:vAlign w:val="bottom"/>
            <w:gridSpan w:val="3"/>
          </w:tcPr>
          <w:p>
            <w:pPr>
              <w:spacing w:after="0"/>
              <w:rPr>
                <w:sz w:val="11"/>
                <w:szCs w:val="11"/>
                <w:color w:val="auto"/>
              </w:rPr>
            </w:pPr>
          </w:p>
        </w:tc>
        <w:tc>
          <w:tcPr>
            <w:tcW w:w="61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w:t>
            </w:r>
          </w:p>
        </w:tc>
      </w:tr>
      <w:tr>
        <w:trPr>
          <w:trHeight w:val="137"/>
        </w:trPr>
        <w:tc>
          <w:tcPr>
            <w:tcW w:w="3800" w:type="dxa"/>
            <w:vAlign w:val="bottom"/>
            <w:gridSpan w:val="18"/>
          </w:tcPr>
          <w:p>
            <w:pPr>
              <w:spacing w:after="0" w:line="138" w:lineRule="exact"/>
              <w:rPr>
                <w:rFonts w:ascii="Arial" w:cs="Arial" w:eastAsia="Arial" w:hAnsi="Arial"/>
                <w:sz w:val="13"/>
                <w:szCs w:val="13"/>
                <w:color w:val="0000EE"/>
              </w:rPr>
            </w:pPr>
            <w:hyperlink w:anchor="page6">
              <w:r>
                <w:rPr>
                  <w:rFonts w:ascii="Arial" w:cs="Arial" w:eastAsia="Arial" w:hAnsi="Arial"/>
                  <w:sz w:val="13"/>
                  <w:szCs w:val="13"/>
                  <w:color w:val="0000EE"/>
                </w:rPr>
                <w:t>Incorporation by Reference</w:t>
              </w:r>
            </w:hyperlink>
          </w:p>
        </w:tc>
        <w:tc>
          <w:tcPr>
            <w:tcW w:w="61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r>
      <w:tr>
        <w:trPr>
          <w:trHeight w:val="137"/>
        </w:trPr>
        <w:tc>
          <w:tcPr>
            <w:tcW w:w="3300" w:type="dxa"/>
            <w:vAlign w:val="bottom"/>
            <w:tcBorders>
              <w:bottom w:val="single" w:sz="8" w:color="0000EE"/>
            </w:tcBorders>
            <w:gridSpan w:val="17"/>
          </w:tcPr>
          <w:p>
            <w:pPr>
              <w:spacing w:after="0" w:line="138" w:lineRule="exact"/>
              <w:rPr>
                <w:rFonts w:ascii="Arial" w:cs="Arial" w:eastAsia="Arial" w:hAnsi="Arial"/>
                <w:sz w:val="13"/>
                <w:szCs w:val="13"/>
                <w:color w:val="0000EE"/>
                <w:w w:val="91"/>
              </w:rPr>
            </w:pPr>
            <w:hyperlink w:anchor="page7">
              <w:r>
                <w:rPr>
                  <w:rFonts w:ascii="Arial" w:cs="Arial" w:eastAsia="Arial" w:hAnsi="Arial"/>
                  <w:sz w:val="13"/>
                  <w:szCs w:val="13"/>
                  <w:color w:val="0000EE"/>
                  <w:w w:val="91"/>
                </w:rPr>
                <w:t>Cautionary Statement Regarding Forward-Looking Statements</w:t>
              </w:r>
            </w:hyperlink>
          </w:p>
        </w:tc>
        <w:tc>
          <w:tcPr>
            <w:tcW w:w="500" w:type="dxa"/>
            <w:vAlign w:val="bottom"/>
          </w:tcPr>
          <w:p>
            <w:pPr>
              <w:spacing w:after="0"/>
              <w:rPr>
                <w:sz w:val="11"/>
                <w:szCs w:val="11"/>
                <w:color w:val="auto"/>
              </w:rPr>
            </w:pPr>
          </w:p>
        </w:tc>
        <w:tc>
          <w:tcPr>
            <w:tcW w:w="61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w:t>
            </w:r>
          </w:p>
        </w:tc>
      </w:tr>
      <w:tr>
        <w:trPr>
          <w:trHeight w:val="137"/>
        </w:trPr>
        <w:tc>
          <w:tcPr>
            <w:tcW w:w="860" w:type="dxa"/>
            <w:vAlign w:val="bottom"/>
            <w:tcBorders>
              <w:bottom w:val="single" w:sz="8" w:color="0000EE"/>
            </w:tcBorders>
            <w:gridSpan w:val="5"/>
          </w:tcPr>
          <w:p>
            <w:pPr>
              <w:spacing w:after="0" w:line="138" w:lineRule="exact"/>
              <w:rPr>
                <w:rFonts w:ascii="Arial" w:cs="Arial" w:eastAsia="Arial" w:hAnsi="Arial"/>
                <w:sz w:val="13"/>
                <w:szCs w:val="13"/>
                <w:color w:val="0000EE"/>
                <w:w w:val="87"/>
              </w:rPr>
            </w:pPr>
            <w:hyperlink w:anchor="page8">
              <w:r>
                <w:rPr>
                  <w:rFonts w:ascii="Arial" w:cs="Arial" w:eastAsia="Arial" w:hAnsi="Arial"/>
                  <w:sz w:val="13"/>
                  <w:szCs w:val="13"/>
                  <w:color w:val="0000EE"/>
                  <w:w w:val="87"/>
                </w:rPr>
                <w:t>Use of Proceeds</w:t>
              </w:r>
            </w:hyperlink>
          </w:p>
        </w:tc>
        <w:tc>
          <w:tcPr>
            <w:tcW w:w="2940" w:type="dxa"/>
            <w:vAlign w:val="bottom"/>
            <w:gridSpan w:val="13"/>
          </w:tcPr>
          <w:p>
            <w:pPr>
              <w:spacing w:after="0"/>
              <w:rPr>
                <w:sz w:val="11"/>
                <w:szCs w:val="11"/>
                <w:color w:val="auto"/>
              </w:rPr>
            </w:pPr>
          </w:p>
        </w:tc>
        <w:tc>
          <w:tcPr>
            <w:tcW w:w="61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4</w:t>
            </w:r>
          </w:p>
        </w:tc>
      </w:tr>
      <w:tr>
        <w:trPr>
          <w:trHeight w:val="137"/>
        </w:trPr>
        <w:tc>
          <w:tcPr>
            <w:tcW w:w="1860" w:type="dxa"/>
            <w:vAlign w:val="bottom"/>
            <w:tcBorders>
              <w:bottom w:val="single" w:sz="8" w:color="0000EE"/>
            </w:tcBorders>
            <w:gridSpan w:val="14"/>
          </w:tcPr>
          <w:p>
            <w:pPr>
              <w:spacing w:after="0" w:line="138" w:lineRule="exact"/>
              <w:rPr>
                <w:rFonts w:ascii="Arial" w:cs="Arial" w:eastAsia="Arial" w:hAnsi="Arial"/>
                <w:sz w:val="13"/>
                <w:szCs w:val="13"/>
                <w:color w:val="0000EE"/>
                <w:w w:val="90"/>
              </w:rPr>
            </w:pPr>
            <w:hyperlink w:anchor="page8">
              <w:r>
                <w:rPr>
                  <w:rFonts w:ascii="Arial" w:cs="Arial" w:eastAsia="Arial" w:hAnsi="Arial"/>
                  <w:sz w:val="13"/>
                  <w:szCs w:val="13"/>
                  <w:color w:val="0000EE"/>
                  <w:w w:val="90"/>
                </w:rPr>
                <w:t>Ratio of Earnings to Fixed Charges</w:t>
              </w:r>
            </w:hyperlink>
          </w:p>
        </w:tc>
        <w:tc>
          <w:tcPr>
            <w:tcW w:w="1940" w:type="dxa"/>
            <w:vAlign w:val="bottom"/>
            <w:gridSpan w:val="4"/>
          </w:tcPr>
          <w:p>
            <w:pPr>
              <w:spacing w:after="0"/>
              <w:rPr>
                <w:sz w:val="11"/>
                <w:szCs w:val="11"/>
                <w:color w:val="auto"/>
              </w:rPr>
            </w:pPr>
          </w:p>
        </w:tc>
        <w:tc>
          <w:tcPr>
            <w:tcW w:w="61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4</w:t>
            </w:r>
          </w:p>
        </w:tc>
      </w:tr>
      <w:tr>
        <w:trPr>
          <w:trHeight w:val="137"/>
        </w:trPr>
        <w:tc>
          <w:tcPr>
            <w:tcW w:w="1600" w:type="dxa"/>
            <w:vAlign w:val="bottom"/>
            <w:tcBorders>
              <w:bottom w:val="single" w:sz="8" w:color="0000EE"/>
            </w:tcBorders>
            <w:gridSpan w:val="11"/>
          </w:tcPr>
          <w:p>
            <w:pPr>
              <w:spacing w:after="0" w:line="138" w:lineRule="exact"/>
              <w:rPr>
                <w:rFonts w:ascii="Arial" w:cs="Arial" w:eastAsia="Arial" w:hAnsi="Arial"/>
                <w:sz w:val="13"/>
                <w:szCs w:val="13"/>
                <w:color w:val="0000EE"/>
                <w:w w:val="92"/>
              </w:rPr>
            </w:pPr>
            <w:hyperlink w:anchor="page9">
              <w:r>
                <w:rPr>
                  <w:rFonts w:ascii="Arial" w:cs="Arial" w:eastAsia="Arial" w:hAnsi="Arial"/>
                  <w:sz w:val="13"/>
                  <w:szCs w:val="13"/>
                  <w:color w:val="0000EE"/>
                  <w:w w:val="92"/>
                </w:rPr>
                <w:t>Description of Debt Securities</w:t>
              </w:r>
            </w:hyperlink>
          </w:p>
        </w:tc>
        <w:tc>
          <w:tcPr>
            <w:tcW w:w="2200" w:type="dxa"/>
            <w:vAlign w:val="bottom"/>
            <w:gridSpan w:val="7"/>
          </w:tcPr>
          <w:p>
            <w:pPr>
              <w:spacing w:after="0"/>
              <w:rPr>
                <w:sz w:val="11"/>
                <w:szCs w:val="11"/>
                <w:color w:val="auto"/>
              </w:rPr>
            </w:pPr>
          </w:p>
        </w:tc>
        <w:tc>
          <w:tcPr>
            <w:tcW w:w="61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5</w:t>
            </w:r>
          </w:p>
        </w:tc>
      </w:tr>
      <w:tr>
        <w:trPr>
          <w:trHeight w:val="137"/>
        </w:trPr>
        <w:tc>
          <w:tcPr>
            <w:tcW w:w="1620" w:type="dxa"/>
            <w:vAlign w:val="bottom"/>
            <w:tcBorders>
              <w:bottom w:val="single" w:sz="8" w:color="0000EE"/>
            </w:tcBorders>
            <w:gridSpan w:val="12"/>
          </w:tcPr>
          <w:p>
            <w:pPr>
              <w:spacing w:after="0" w:line="138" w:lineRule="exact"/>
              <w:rPr>
                <w:rFonts w:ascii="Arial" w:cs="Arial" w:eastAsia="Arial" w:hAnsi="Arial"/>
                <w:sz w:val="13"/>
                <w:szCs w:val="13"/>
                <w:color w:val="0000EE"/>
                <w:w w:val="93"/>
              </w:rPr>
            </w:pPr>
            <w:hyperlink w:anchor="page26">
              <w:r>
                <w:rPr>
                  <w:rFonts w:ascii="Arial" w:cs="Arial" w:eastAsia="Arial" w:hAnsi="Arial"/>
                  <w:sz w:val="13"/>
                  <w:szCs w:val="13"/>
                  <w:color w:val="0000EE"/>
                  <w:w w:val="93"/>
                </w:rPr>
                <w:t>Description of Common Stock</w:t>
              </w:r>
            </w:hyperlink>
          </w:p>
        </w:tc>
        <w:tc>
          <w:tcPr>
            <w:tcW w:w="2180" w:type="dxa"/>
            <w:vAlign w:val="bottom"/>
            <w:gridSpan w:val="6"/>
          </w:tcPr>
          <w:p>
            <w:pPr>
              <w:spacing w:after="0"/>
              <w:rPr>
                <w:sz w:val="11"/>
                <w:szCs w:val="11"/>
                <w:color w:val="auto"/>
              </w:rPr>
            </w:pPr>
          </w:p>
        </w:tc>
        <w:tc>
          <w:tcPr>
            <w:tcW w:w="61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22</w:t>
            </w:r>
          </w:p>
        </w:tc>
      </w:tr>
      <w:tr>
        <w:trPr>
          <w:trHeight w:val="137"/>
        </w:trPr>
        <w:tc>
          <w:tcPr>
            <w:tcW w:w="3800" w:type="dxa"/>
            <w:vAlign w:val="bottom"/>
            <w:gridSpan w:val="18"/>
          </w:tcPr>
          <w:p>
            <w:pPr>
              <w:spacing w:after="0" w:line="138" w:lineRule="exact"/>
              <w:rPr>
                <w:rFonts w:ascii="Arial" w:cs="Arial" w:eastAsia="Arial" w:hAnsi="Arial"/>
                <w:sz w:val="13"/>
                <w:szCs w:val="13"/>
                <w:color w:val="0000EE"/>
              </w:rPr>
            </w:pPr>
            <w:hyperlink w:anchor="page28">
              <w:r>
                <w:rPr>
                  <w:rFonts w:ascii="Arial" w:cs="Arial" w:eastAsia="Arial" w:hAnsi="Arial"/>
                  <w:sz w:val="13"/>
                  <w:szCs w:val="13"/>
                  <w:color w:val="0000EE"/>
                </w:rPr>
                <w:t>Description of Guarantees of Debt Securities</w:t>
              </w:r>
            </w:hyperlink>
          </w:p>
        </w:tc>
        <w:tc>
          <w:tcPr>
            <w:tcW w:w="61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24</w:t>
            </w:r>
          </w:p>
        </w:tc>
      </w:tr>
      <w:tr>
        <w:trPr>
          <w:trHeight w:val="137"/>
        </w:trPr>
        <w:tc>
          <w:tcPr>
            <w:tcW w:w="2360" w:type="dxa"/>
            <w:vAlign w:val="bottom"/>
            <w:tcBorders>
              <w:top w:val="single" w:sz="8" w:color="0000EE"/>
            </w:tcBorders>
            <w:gridSpan w:val="16"/>
          </w:tcPr>
          <w:p>
            <w:pPr>
              <w:spacing w:after="0" w:line="138" w:lineRule="exact"/>
              <w:rPr>
                <w:rFonts w:ascii="Arial" w:cs="Arial" w:eastAsia="Arial" w:hAnsi="Arial"/>
                <w:sz w:val="13"/>
                <w:szCs w:val="13"/>
                <w:color w:val="0000EE"/>
              </w:rPr>
            </w:pPr>
            <w:hyperlink w:anchor="page28">
              <w:r>
                <w:rPr>
                  <w:rFonts w:ascii="Arial" w:cs="Arial" w:eastAsia="Arial" w:hAnsi="Arial"/>
                  <w:sz w:val="13"/>
                  <w:szCs w:val="13"/>
                  <w:color w:val="0000EE"/>
                </w:rPr>
                <w:t>Plan of Distribution</w:t>
              </w:r>
            </w:hyperlink>
          </w:p>
        </w:tc>
        <w:tc>
          <w:tcPr>
            <w:tcW w:w="1440" w:type="dxa"/>
            <w:vAlign w:val="bottom"/>
            <w:gridSpan w:val="2"/>
          </w:tcPr>
          <w:p>
            <w:pPr>
              <w:spacing w:after="0"/>
              <w:rPr>
                <w:sz w:val="11"/>
                <w:szCs w:val="11"/>
                <w:color w:val="auto"/>
              </w:rPr>
            </w:pPr>
          </w:p>
        </w:tc>
        <w:tc>
          <w:tcPr>
            <w:tcW w:w="61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24</w:t>
            </w:r>
          </w:p>
        </w:tc>
      </w:tr>
      <w:tr>
        <w:trPr>
          <w:trHeight w:val="137"/>
        </w:trPr>
        <w:tc>
          <w:tcPr>
            <w:tcW w:w="104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Experts</w:t>
              </w:r>
            </w:hyperlink>
          </w:p>
        </w:tc>
        <w:tc>
          <w:tcPr>
            <w:tcW w:w="2760" w:type="dxa"/>
            <w:vAlign w:val="bottom"/>
            <w:gridSpan w:val="12"/>
          </w:tcPr>
          <w:p>
            <w:pPr>
              <w:spacing w:after="0"/>
              <w:rPr>
                <w:sz w:val="11"/>
                <w:szCs w:val="11"/>
                <w:color w:val="auto"/>
              </w:rPr>
            </w:pPr>
          </w:p>
        </w:tc>
        <w:tc>
          <w:tcPr>
            <w:tcW w:w="61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25</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r>
      <w:tr>
        <w:trPr>
          <w:trHeight w:val="137"/>
        </w:trPr>
        <w:tc>
          <w:tcPr>
            <w:tcW w:w="3800" w:type="dxa"/>
            <w:vAlign w:val="bottom"/>
            <w:gridSpan w:val="18"/>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Validity of the Securities</w:t>
              </w:r>
            </w:hyperlink>
          </w:p>
        </w:tc>
        <w:tc>
          <w:tcPr>
            <w:tcW w:w="61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25</w:t>
            </w:r>
          </w:p>
        </w:tc>
      </w:tr>
      <w:tr>
        <w:trPr>
          <w:trHeight w:val="137"/>
        </w:trPr>
        <w:tc>
          <w:tcPr>
            <w:tcW w:w="40" w:type="dxa"/>
            <w:vAlign w:val="bottom"/>
            <w:tcBorders>
              <w:top w:val="single" w:sz="8" w:color="0000EE"/>
            </w:tcBorders>
          </w:tcPr>
          <w:p>
            <w:pPr>
              <w:spacing w:after="0"/>
              <w:rPr>
                <w:sz w:val="11"/>
                <w:szCs w:val="11"/>
                <w:color w:val="auto"/>
              </w:rPr>
            </w:pPr>
          </w:p>
        </w:tc>
        <w:tc>
          <w:tcPr>
            <w:tcW w:w="380" w:type="dxa"/>
            <w:vAlign w:val="bottom"/>
            <w:tcBorders>
              <w:top w:val="single" w:sz="8" w:color="0000EE"/>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90"/>
              </w:rPr>
              <w:t>EX-4.2</w:t>
            </w:r>
          </w:p>
        </w:tc>
        <w:tc>
          <w:tcPr>
            <w:tcW w:w="880" w:type="dxa"/>
            <w:vAlign w:val="bottom"/>
            <w:tcBorders>
              <w:top w:val="single" w:sz="8" w:color="0000EE"/>
            </w:tcBorders>
            <w:gridSpan w:val="6"/>
          </w:tcPr>
          <w:p>
            <w:pPr>
              <w:spacing w:after="0"/>
              <w:rPr>
                <w:sz w:val="11"/>
                <w:szCs w:val="11"/>
                <w:color w:val="auto"/>
              </w:rPr>
            </w:pPr>
          </w:p>
        </w:tc>
        <w:tc>
          <w:tcPr>
            <w:tcW w:w="2500" w:type="dxa"/>
            <w:vAlign w:val="bottom"/>
            <w:gridSpan w:val="9"/>
          </w:tcPr>
          <w:p>
            <w:pPr>
              <w:spacing w:after="0"/>
              <w:rPr>
                <w:sz w:val="11"/>
                <w:szCs w:val="11"/>
                <w:color w:val="auto"/>
              </w:rPr>
            </w:pPr>
          </w:p>
        </w:tc>
        <w:tc>
          <w:tcPr>
            <w:tcW w:w="59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38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90"/>
              </w:rPr>
              <w:t>EX-4.3</w:t>
            </w:r>
          </w:p>
        </w:tc>
        <w:tc>
          <w:tcPr>
            <w:tcW w:w="3380" w:type="dxa"/>
            <w:vAlign w:val="bottom"/>
            <w:gridSpan w:val="15"/>
          </w:tcPr>
          <w:p>
            <w:pPr>
              <w:spacing w:after="0"/>
              <w:rPr>
                <w:sz w:val="11"/>
                <w:szCs w:val="11"/>
                <w:color w:val="auto"/>
              </w:rPr>
            </w:pPr>
          </w:p>
        </w:tc>
        <w:tc>
          <w:tcPr>
            <w:tcW w:w="59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38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90"/>
              </w:rPr>
              <w:t>EX-5.1</w:t>
            </w:r>
          </w:p>
        </w:tc>
        <w:tc>
          <w:tcPr>
            <w:tcW w:w="3380" w:type="dxa"/>
            <w:vAlign w:val="bottom"/>
            <w:gridSpan w:val="15"/>
          </w:tcPr>
          <w:p>
            <w:pPr>
              <w:spacing w:after="0"/>
              <w:rPr>
                <w:sz w:val="11"/>
                <w:szCs w:val="11"/>
                <w:color w:val="auto"/>
              </w:rPr>
            </w:pPr>
          </w:p>
        </w:tc>
        <w:tc>
          <w:tcPr>
            <w:tcW w:w="59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38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90"/>
              </w:rPr>
              <w:t>EX-5.2</w:t>
            </w:r>
          </w:p>
        </w:tc>
        <w:tc>
          <w:tcPr>
            <w:tcW w:w="3380" w:type="dxa"/>
            <w:vAlign w:val="bottom"/>
            <w:gridSpan w:val="15"/>
          </w:tcPr>
          <w:p>
            <w:pPr>
              <w:spacing w:after="0"/>
              <w:rPr>
                <w:sz w:val="11"/>
                <w:szCs w:val="11"/>
                <w:color w:val="auto"/>
              </w:rPr>
            </w:pPr>
          </w:p>
        </w:tc>
        <w:tc>
          <w:tcPr>
            <w:tcW w:w="59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3760" w:type="dxa"/>
            <w:vAlign w:val="bottom"/>
            <w:gridSpan w:val="17"/>
          </w:tcPr>
          <w:p>
            <w:pPr>
              <w:spacing w:after="0" w:line="138" w:lineRule="exact"/>
              <w:rPr>
                <w:sz w:val="20"/>
                <w:szCs w:val="20"/>
                <w:color w:val="auto"/>
              </w:rPr>
            </w:pPr>
            <w:r>
              <w:rPr>
                <w:rFonts w:ascii="Arial" w:cs="Arial" w:eastAsia="Arial" w:hAnsi="Arial"/>
                <w:sz w:val="13"/>
                <w:szCs w:val="13"/>
                <w:color w:val="0000EE"/>
              </w:rPr>
              <w:t>ex-12.1</w:t>
            </w:r>
          </w:p>
        </w:tc>
        <w:tc>
          <w:tcPr>
            <w:tcW w:w="59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3"/>
          </w:tcPr>
          <w:p>
            <w:pPr>
              <w:spacing w:after="0" w:line="138" w:lineRule="exact"/>
              <w:rPr>
                <w:sz w:val="20"/>
                <w:szCs w:val="20"/>
                <w:color w:val="auto"/>
              </w:rPr>
            </w:pPr>
            <w:r>
              <w:rPr>
                <w:rFonts w:ascii="Arial" w:cs="Arial" w:eastAsia="Arial" w:hAnsi="Arial"/>
                <w:sz w:val="13"/>
                <w:szCs w:val="13"/>
                <w:color w:val="0000EE"/>
                <w:w w:val="89"/>
              </w:rPr>
              <w:t>EX-23.1</w:t>
            </w:r>
          </w:p>
        </w:tc>
        <w:tc>
          <w:tcPr>
            <w:tcW w:w="3320" w:type="dxa"/>
            <w:vAlign w:val="bottom"/>
            <w:gridSpan w:val="14"/>
          </w:tcPr>
          <w:p>
            <w:pPr>
              <w:spacing w:after="0"/>
              <w:rPr>
                <w:sz w:val="11"/>
                <w:szCs w:val="11"/>
                <w:color w:val="auto"/>
              </w:rPr>
            </w:pPr>
          </w:p>
        </w:tc>
        <w:tc>
          <w:tcPr>
            <w:tcW w:w="59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3760" w:type="dxa"/>
            <w:vAlign w:val="bottom"/>
            <w:gridSpan w:val="17"/>
          </w:tcPr>
          <w:p>
            <w:pPr>
              <w:spacing w:after="0" w:line="138" w:lineRule="exact"/>
              <w:rPr>
                <w:sz w:val="20"/>
                <w:szCs w:val="20"/>
                <w:color w:val="auto"/>
              </w:rPr>
            </w:pPr>
            <w:r>
              <w:rPr>
                <w:rFonts w:ascii="Arial" w:cs="Arial" w:eastAsia="Arial" w:hAnsi="Arial"/>
                <w:sz w:val="13"/>
                <w:szCs w:val="13"/>
                <w:color w:val="0000EE"/>
              </w:rPr>
              <w:t>EX-24.1</w:t>
            </w:r>
          </w:p>
        </w:tc>
        <w:tc>
          <w:tcPr>
            <w:tcW w:w="59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86"/>
        </w:trPr>
        <w:tc>
          <w:tcPr>
            <w:tcW w:w="40" w:type="dxa"/>
            <w:vAlign w:val="bottom"/>
            <w:tcBorders>
              <w:bottom w:val="single" w:sz="8" w:color="auto"/>
            </w:tcBorders>
          </w:tcPr>
          <w:p>
            <w:pPr>
              <w:spacing w:after="0"/>
              <w:rPr>
                <w:sz w:val="16"/>
                <w:szCs w:val="16"/>
                <w:color w:val="auto"/>
              </w:rPr>
            </w:pPr>
          </w:p>
        </w:tc>
        <w:tc>
          <w:tcPr>
            <w:tcW w:w="360" w:type="dxa"/>
            <w:vAlign w:val="bottom"/>
            <w:tcBorders>
              <w:top w:val="single" w:sz="8" w:color="0000EE"/>
              <w:bottom w:val="single" w:sz="8" w:color="auto"/>
            </w:tcBorders>
          </w:tcPr>
          <w:p>
            <w:pPr>
              <w:spacing w:after="0"/>
              <w:rPr>
                <w:sz w:val="16"/>
                <w:szCs w:val="16"/>
                <w:color w:val="auto"/>
              </w:rPr>
            </w:pPr>
          </w:p>
        </w:tc>
        <w:tc>
          <w:tcPr>
            <w:tcW w:w="20" w:type="dxa"/>
            <w:vAlign w:val="bottom"/>
            <w:tcBorders>
              <w:top w:val="single" w:sz="8" w:color="0000EE"/>
              <w:bottom w:val="single" w:sz="8" w:color="auto"/>
            </w:tcBorders>
          </w:tcPr>
          <w:p>
            <w:pPr>
              <w:spacing w:after="0"/>
              <w:rPr>
                <w:sz w:val="16"/>
                <w:szCs w:val="16"/>
                <w:color w:val="auto"/>
              </w:rPr>
            </w:pPr>
          </w:p>
        </w:tc>
        <w:tc>
          <w:tcPr>
            <w:tcW w:w="60" w:type="dxa"/>
            <w:vAlign w:val="bottom"/>
            <w:tcBorders>
              <w:top w:val="single" w:sz="8" w:color="0000EE"/>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80" w:type="dxa"/>
            <w:vAlign w:val="bottom"/>
          </w:tcPr>
          <w:p>
            <w:pPr>
              <w:spacing w:after="0"/>
              <w:rPr>
                <w:sz w:val="16"/>
                <w:szCs w:val="16"/>
                <w:color w:val="auto"/>
              </w:rPr>
            </w:pPr>
          </w:p>
        </w:tc>
      </w:tr>
    </w:tbl>
    <w:p>
      <w:pPr>
        <w:spacing w:after="0" w:line="154"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b w:val="1"/>
          <w:bCs w:val="1"/>
          <w:color w:val="auto"/>
        </w:rPr>
        <w:t>You should rely only on the information contained or incorporated by reference in this prospectus and in any accompanying prospectus supplement or in any related free writing prospectus. We have not authorized any other person to provide you with different information with respect to this offering. This document may only be used where it is legal to sell these securities. You should only assume that the information in this prospectus or in any prospectus supplement is accurate as of the date on the front of those documents. Our business, financial condition, results of operations and prospects may have changed since that date.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90170</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ABOUT THIS PROSPECTUS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This prospectus is part of an automatic shelf registration statement that we filed with the Securities and Exchange Commission, or SEC, as a “well-known seasoned issuer” as defined in Rule 405 under the Securities Act of 1933, as amended. By using an automatic shelf registration statement, we may, at any time and from time to time, sell securities under this prospectus in one or more offerings in an unlimited amount. As allowed by the SEC rules,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72"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This prospectus provides you with a general description of the securities we may offer. Each time we use this prospectus to offer securities, we will provide you with a prospectus supplement that will describe the specific amounts, prices and terms of the securities being offered. The prospectus supplement may also add, update or change information contained in this prospectus. Therefore, if there is any inconsistency between the information in this prospectus and the prospectus supplement, you should rely on the information in the prospectus supplement.</w:t>
      </w:r>
    </w:p>
    <w:p>
      <w:pPr>
        <w:spacing w:after="0" w:line="7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To understand the terms of our securities, you should carefully read this document and the applicable prospectus supplement. Together they give the specific terms of the securities we are offering. You should also read the documents we have referred you to under “Where You Can Find More Information” below for information about us and our financial statements. You can read the registration statement and exhibits on the SEC’s website or at the SEC as described under “Where You Can Find More Information.”</w:t>
      </w:r>
    </w:p>
    <w:p>
      <w:pPr>
        <w:spacing w:after="0" w:line="5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Unless otherwise indicated or the context otherwise requires, references in this prospectus to “Registrant,” “Company,” “Schlumberger,” “we” or “our” are to Schlumberger Limited and its consolidated subsidiaries.</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ABOUT THE COMPANY</w:t>
      </w:r>
    </w:p>
    <w:p>
      <w:pPr>
        <w:spacing w:after="0" w:line="100"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Founded in 1926, Schlumberger is the world’s leading supplier of technology, integrated project management and information solutions to the international oil and gas exploration and production industry. Having invented wireline logging as a technique for obtaining downhole data in oil and gas wells, the Company today provides the industry’s widest range of products and services from exploration through production.</w:t>
      </w:r>
    </w:p>
    <w:p>
      <w:pPr>
        <w:spacing w:after="0" w:line="67"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Schlumberger is incorporated under the laws of Curaçao with principal executive offices in Paris, Houston and The Hague. Our principal executive offices in the United States are located at 5599 San Felipe, 17th Floor, Houston, Texas 77056, and our telephone number is (713) 375-3400.</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We file annual, quarterly and current reports, proxy statements and other information with the SEC. You may read and copy any of this information filed with the SEC at the SEC’s public reference room:</w:t>
      </w:r>
    </w:p>
    <w:p>
      <w:pPr>
        <w:spacing w:after="0" w:line="59"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Public Reference Room</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100 F Street NE</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Washington, D.C. 20549</w:t>
      </w:r>
    </w:p>
    <w:p>
      <w:pPr>
        <w:spacing w:after="0" w:line="89"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 xml:space="preserve">For information regarding the operation of the Public Reference Room, you may call the SEC at 1-800-SEC-0330. Our filings are also available to the public through the website maintained by the SEC at </w:t>
      </w:r>
      <w:r>
        <w:rPr>
          <w:rFonts w:ascii="Arial" w:cs="Arial" w:eastAsia="Arial" w:hAnsi="Arial"/>
          <w:sz w:val="13"/>
          <w:szCs w:val="13"/>
          <w:i w:val="1"/>
          <w:iCs w:val="1"/>
          <w:color w:val="auto"/>
        </w:rPr>
        <w:t>www.sec.gov</w:t>
      </w:r>
      <w:r>
        <w:rPr>
          <w:rFonts w:ascii="Arial" w:cs="Arial" w:eastAsia="Arial" w:hAnsi="Arial"/>
          <w:sz w:val="13"/>
          <w:szCs w:val="13"/>
          <w:color w:val="auto"/>
        </w:rPr>
        <w:t xml:space="preserve"> or from commercial document retrieval services. Our filings are also available on our website at </w:t>
      </w:r>
      <w:r>
        <w:rPr>
          <w:rFonts w:ascii="Arial" w:cs="Arial" w:eastAsia="Arial" w:hAnsi="Arial"/>
          <w:sz w:val="13"/>
          <w:szCs w:val="13"/>
          <w:i w:val="1"/>
          <w:iCs w:val="1"/>
          <w:color w:val="auto"/>
        </w:rPr>
        <w:t>www.slb.com</w:t>
      </w:r>
      <w:r>
        <w:rPr>
          <w:rFonts w:ascii="Arial" w:cs="Arial" w:eastAsia="Arial" w:hAnsi="Arial"/>
          <w:sz w:val="13"/>
          <w:szCs w:val="13"/>
          <w:color w:val="auto"/>
        </w:rPr>
        <w:t>. You are encouraged to read the materials that we file with the SEC, which disclose important information about us. This information includes any filing we have made with the SEC under Section 13(a), 13(c), 14 or 15(d) of the Securities Exchange Act of 1934, as amended (the “Exchange Act”). The information</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on our website or any other website is not incorporated by reference in the prospectus and should not be considered part of this prospectus or any other filing we make with the SEC.</w:t>
      </w:r>
    </w:p>
    <w:p>
      <w:pPr>
        <w:spacing w:after="0" w:line="261"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INCORPORATION BY REFERENCE</w:t>
      </w:r>
    </w:p>
    <w:p>
      <w:pPr>
        <w:spacing w:after="0" w:line="100" w:lineRule="exact"/>
        <w:rPr>
          <w:sz w:val="20"/>
          <w:szCs w:val="20"/>
          <w:color w:val="auto"/>
        </w:rPr>
      </w:pPr>
    </w:p>
    <w:p>
      <w:pPr>
        <w:ind w:left="680" w:right="240" w:firstLine="399"/>
        <w:spacing w:after="0" w:line="296" w:lineRule="auto"/>
        <w:rPr>
          <w:sz w:val="20"/>
          <w:szCs w:val="20"/>
          <w:color w:val="auto"/>
        </w:rPr>
      </w:pPr>
      <w:r>
        <w:rPr>
          <w:rFonts w:ascii="Arial" w:cs="Arial" w:eastAsia="Arial" w:hAnsi="Arial"/>
          <w:sz w:val="12"/>
          <w:szCs w:val="12"/>
          <w:color w:val="auto"/>
        </w:rPr>
        <w:t>The SEC allows us to incorporate information into this prospectus “by reference,” which means that we can disclose important information to you by referring you to another document that we filed separately with the SEC. The information incorporated by reference is deemed to be part of this prospectus, except for any information superseded by information contained directly in this prospectus. These documents contain important information about us and our financial condition, business and results.</w:t>
      </w:r>
    </w:p>
    <w:p>
      <w:pPr>
        <w:spacing w:after="0" w:line="5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are incorporating by reference our filings listed below and any additional documents that we may file with the SEC pursuant to Section 13(a), 13(c), 14 or 15(d) of the Exchange Act on or after the date we file this prospectus and prior to the termination of any offering; except we are not incorporating by reference any information furnished (but not filed) under Item 2.02 or Item 7.01 of any Current Report on Form 8-K, unless specifically noted below or in a prospectus supplement:</w:t>
      </w:r>
    </w:p>
    <w:p>
      <w:pPr>
        <w:spacing w:after="0" w:line="67" w:lineRule="exact"/>
        <w:rPr>
          <w:sz w:val="20"/>
          <w:szCs w:val="20"/>
          <w:color w:val="auto"/>
        </w:rPr>
      </w:pPr>
    </w:p>
    <w:p>
      <w:pPr>
        <w:ind w:left="1280" w:right="6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Annual Report on Form 10-K for the year ended December 31, 2010 (including the portions of our proxy statement for our 2011 annual meeting of stockholders incorporated by reference therein);</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Current Reports on Form 8-K filed with the SEC on April 7, 2011 (two filings);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description of our common stock, par value $0.01 per share, contained in our Current Report on Form 8-K filed on April 29, 2005.</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will provide, without charge, to each person to whom a copy of this prospectus has been delivered, including any beneficial owner, a copy of any and all of the documents referred to herein that are summarized in this prospectus, if such person makes a written or oral request directed to:</w:t>
      </w:r>
    </w:p>
    <w:p>
      <w:pPr>
        <w:spacing w:after="0" w:line="59"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Schlumberger Limited</w:t>
      </w:r>
    </w:p>
    <w:p>
      <w:pPr>
        <w:spacing w:after="0" w:line="15"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5599 San Felipe</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17th Floor</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Houston, Texas 77056</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Attention: Investor Relations</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(713) 375-3535</w:t>
      </w:r>
    </w:p>
    <w:p>
      <w:pPr>
        <w:spacing w:after="0" w:line="8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YOU SHOULD RELY ONLY ON THE INFORMATION CONTAINED OR INCORPORATED BY REFERENCE IN THIS PROSPECTUS AND ANY ACCOMPANYING PROSPECTUS SUPPLEMENT, OR TO WHICH WE HAVE REFERRED YOU, IN MAKING YOUR DECISIONS WHETHER TO INVEST IN THE SECURITIES. WE HAVE NOT AUTHORIZED ANYONE TO PROVIDE YOU WITH INFORMATION THAT DIFFERS FROM THAT CONTAINED IN THIS PROSPECTUS AND ANY ACCOMPANYING PROSPECTUS SUPPLEMENT. THIS PROSPECTUS IS DATED APRIL 7, 2011. YOU SHOULD NOT ASSUME THAT THE INFORMATION CONTAINED IN THIS PROSPECTUS IS ACCURATE AS ANY DATE OTHER THAN THAT DATE, UNLESS WE OTHERWISE NOTE IN THIS PROSPECTUS OR ANY ACCOMPANYING PROSPECTUS SUPPLEMENT.</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CAUTIONARY STATEMENT REGARDING FORWARD-LOOKING STATEMENTS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This prospectus and the documents incorporated by reference herein include “forward-looking statements” within the meaning of the U.S. Private Securities Litigation Reform Act of 1995.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7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Schlumberger in particular, and could cause those results to differ materially from those expressed in or implied by such forward-looking statements:</w:t>
      </w:r>
    </w:p>
    <w:p>
      <w:pPr>
        <w:spacing w:after="0" w:line="70" w:lineRule="exact"/>
        <w:rPr>
          <w:sz w:val="20"/>
          <w:szCs w:val="20"/>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forecasts or expectations regarding business outlook;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overall demand for and pricing of the products and services of Schlumberger;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growth for Schlumberger as a whole and for each business segment (and for specified products or geographic areas within each business segment);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Schlumberger’s ability to integrate the operations of both Smith International, Inc. and Geoservices Group and to realize expected synergies;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oil and natural gas demand and production growth;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oil and natural gas prices;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operating margins;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regulatory, geopolitical and operational risks arising from the international nature of Schlumberger’s operations;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capital expenditures by Schlumberger and the oil and gas industry;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business strategies of Schlumberger’s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failure to retain certain key employees and skilled workers;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effects of the lifted drilling moratorium in the Gulf of Mexico, or related changes in laws or regulations;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current and future global economic conditions;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expected pension and postretirement funding;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expected stock compensation costs;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future results of operations;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political stability of oil-producing countries;</w:t>
      </w:r>
    </w:p>
    <w:p>
      <w:pPr>
        <w:spacing w:after="0" w:line="86"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changes in laws or regulations, including those related to offshore oil and gas exploration, radioactive sources, explosives, chemicals, hydraulic fracturing services and climate-related initiatives;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future and pro forma financial condition or results of operations and future revenues and expenses;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business strategy and other plans and objectives for future operations;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changes in interest rates;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seasonal factors;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unexpected liabilities, including environmental liabilities;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loss of intellectual property rights.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All subsequent written and oral forward-looking statements attributable to Schlumberger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Unless we otherwise state in the applicable prospectus supplement, we will use the net proceeds from the sale of the offered securities for general corporate purposes. General corporate purposes may include repayment of debt, additions to working capital, capital expenditures, investments in our subsidiaries, possible acquisitions and the repurchase, redemption or retirement of securities, including our common stock. The net proceeds may be temporarily invested or applied to repay short-term or revolving debt prior to use.</w:t>
      </w:r>
    </w:p>
    <w:p>
      <w:pPr>
        <w:spacing w:after="0" w:line="203" w:lineRule="exact"/>
        <w:rPr>
          <w:sz w:val="20"/>
          <w:szCs w:val="20"/>
          <w:color w:val="auto"/>
        </w:rPr>
      </w:pPr>
    </w:p>
    <w:p>
      <w:pPr>
        <w:ind w:left="4320"/>
        <w:spacing w:after="0"/>
        <w:rPr>
          <w:sz w:val="20"/>
          <w:szCs w:val="20"/>
          <w:color w:val="auto"/>
        </w:rPr>
      </w:pPr>
      <w:r>
        <w:rPr>
          <w:rFonts w:ascii="Arial" w:cs="Arial" w:eastAsia="Arial" w:hAnsi="Arial"/>
          <w:sz w:val="13"/>
          <w:szCs w:val="13"/>
          <w:b w:val="1"/>
          <w:bCs w:val="1"/>
          <w:color w:val="auto"/>
        </w:rPr>
        <w:t>RATIO OF EARNINGS TO FIXED CHARGES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table sets forth our historical ratios of earnings to fixed charges for the periods indicated. This information should be read in conjunction with the consolidated financial statements and the accompanying notes incorporated by reference in this prospectus.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4"/>
          </w:tcPr>
          <w:p>
            <w:pPr>
              <w:ind w:left="20"/>
              <w:spacing w:after="0"/>
              <w:rPr>
                <w:sz w:val="20"/>
                <w:szCs w:val="20"/>
                <w:color w:val="auto"/>
              </w:rPr>
            </w:pPr>
            <w:r>
              <w:rPr>
                <w:rFonts w:ascii="Arial" w:cs="Arial" w:eastAsia="Arial" w:hAnsi="Arial"/>
                <w:sz w:val="10"/>
                <w:szCs w:val="10"/>
                <w:b w:val="1"/>
                <w:bCs w:val="1"/>
                <w:color w:val="auto"/>
              </w:rPr>
              <w:t>Years Ended December 31,</w:t>
            </w: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r>
      <w:tr>
        <w:trPr>
          <w:trHeight w:val="98"/>
        </w:trPr>
        <w:tc>
          <w:tcPr>
            <w:tcW w:w="6500" w:type="dxa"/>
            <w:vAlign w:val="bottom"/>
          </w:tcPr>
          <w:p>
            <w:pPr>
              <w:spacing w:after="0"/>
              <w:rPr>
                <w:sz w:val="8"/>
                <w:szCs w:val="8"/>
                <w:color w:val="auto"/>
              </w:rPr>
            </w:pPr>
          </w:p>
        </w:tc>
        <w:tc>
          <w:tcPr>
            <w:tcW w:w="420" w:type="dxa"/>
            <w:vAlign w:val="bottom"/>
          </w:tcPr>
          <w:p>
            <w:pPr>
              <w:ind w:left="100"/>
              <w:spacing w:after="0" w:line="98" w:lineRule="exact"/>
              <w:rPr>
                <w:sz w:val="20"/>
                <w:szCs w:val="20"/>
                <w:color w:val="auto"/>
              </w:rPr>
            </w:pPr>
            <w:r>
              <w:rPr>
                <w:rFonts w:ascii="Arial" w:cs="Arial" w:eastAsia="Arial" w:hAnsi="Arial"/>
                <w:sz w:val="10"/>
                <w:szCs w:val="10"/>
                <w:b w:val="1"/>
                <w:bCs w:val="1"/>
                <w:color w:val="auto"/>
              </w:rPr>
              <w:t>2010</w:t>
            </w:r>
          </w:p>
        </w:tc>
        <w:tc>
          <w:tcPr>
            <w:tcW w:w="700" w:type="dxa"/>
            <w:vAlign w:val="bottom"/>
            <w:gridSpan w:val="2"/>
          </w:tcPr>
          <w:p>
            <w:pPr>
              <w:ind w:left="380"/>
              <w:spacing w:after="0" w:line="98" w:lineRule="exact"/>
              <w:rPr>
                <w:sz w:val="20"/>
                <w:szCs w:val="20"/>
                <w:color w:val="auto"/>
              </w:rPr>
            </w:pPr>
            <w:r>
              <w:rPr>
                <w:rFonts w:ascii="Arial" w:cs="Arial" w:eastAsia="Arial" w:hAnsi="Arial"/>
                <w:sz w:val="10"/>
                <w:szCs w:val="10"/>
                <w:b w:val="1"/>
                <w:bCs w:val="1"/>
                <w:color w:val="auto"/>
              </w:rPr>
              <w:t>2009</w:t>
            </w:r>
          </w:p>
        </w:tc>
        <w:tc>
          <w:tcPr>
            <w:tcW w:w="720" w:type="dxa"/>
            <w:vAlign w:val="bottom"/>
            <w:gridSpan w:val="2"/>
          </w:tcPr>
          <w:p>
            <w:pPr>
              <w:ind w:left="400"/>
              <w:spacing w:after="0" w:line="98" w:lineRule="exact"/>
              <w:rPr>
                <w:sz w:val="20"/>
                <w:szCs w:val="20"/>
                <w:color w:val="auto"/>
              </w:rPr>
            </w:pPr>
            <w:r>
              <w:rPr>
                <w:rFonts w:ascii="Arial" w:cs="Arial" w:eastAsia="Arial" w:hAnsi="Arial"/>
                <w:sz w:val="10"/>
                <w:szCs w:val="10"/>
                <w:b w:val="1"/>
                <w:bCs w:val="1"/>
                <w:color w:val="auto"/>
              </w:rPr>
              <w:t>2008</w:t>
            </w:r>
          </w:p>
        </w:tc>
        <w:tc>
          <w:tcPr>
            <w:tcW w:w="700" w:type="dxa"/>
            <w:vAlign w:val="bottom"/>
            <w:gridSpan w:val="2"/>
          </w:tcPr>
          <w:p>
            <w:pPr>
              <w:ind w:left="380"/>
              <w:spacing w:after="0" w:line="98" w:lineRule="exact"/>
              <w:rPr>
                <w:sz w:val="20"/>
                <w:szCs w:val="20"/>
                <w:color w:val="auto"/>
              </w:rPr>
            </w:pPr>
            <w:r>
              <w:rPr>
                <w:rFonts w:ascii="Arial" w:cs="Arial" w:eastAsia="Arial" w:hAnsi="Arial"/>
                <w:sz w:val="10"/>
                <w:szCs w:val="10"/>
                <w:b w:val="1"/>
                <w:bCs w:val="1"/>
                <w:color w:val="auto"/>
              </w:rPr>
              <w:t>2007</w:t>
            </w:r>
          </w:p>
        </w:tc>
        <w:tc>
          <w:tcPr>
            <w:tcW w:w="940" w:type="dxa"/>
            <w:vAlign w:val="bottom"/>
            <w:gridSpan w:val="2"/>
          </w:tcPr>
          <w:p>
            <w:pPr>
              <w:jc w:val="right"/>
              <w:ind w:right="154"/>
              <w:spacing w:after="0" w:line="98" w:lineRule="exact"/>
              <w:rPr>
                <w:sz w:val="20"/>
                <w:szCs w:val="20"/>
                <w:color w:val="auto"/>
              </w:rPr>
            </w:pPr>
            <w:r>
              <w:rPr>
                <w:rFonts w:ascii="Arial" w:cs="Arial" w:eastAsia="Arial" w:hAnsi="Arial"/>
                <w:sz w:val="10"/>
                <w:szCs w:val="10"/>
                <w:b w:val="1"/>
                <w:bCs w:val="1"/>
                <w:color w:val="auto"/>
              </w:rPr>
              <w:t>2006</w:t>
            </w:r>
          </w:p>
        </w:tc>
      </w:tr>
      <w:tr>
        <w:trPr>
          <w:trHeight w:val="185"/>
        </w:trPr>
        <w:tc>
          <w:tcPr>
            <w:tcW w:w="6500" w:type="dxa"/>
            <w:vAlign w:val="bottom"/>
          </w:tcPr>
          <w:p>
            <w:pPr>
              <w:spacing w:after="0"/>
              <w:rPr>
                <w:sz w:val="20"/>
                <w:szCs w:val="20"/>
                <w:color w:val="auto"/>
              </w:rPr>
            </w:pPr>
            <w:r>
              <w:rPr>
                <w:rFonts w:ascii="Arial" w:cs="Arial" w:eastAsia="Arial" w:hAnsi="Arial"/>
                <w:sz w:val="13"/>
                <w:szCs w:val="13"/>
                <w:color w:val="auto"/>
              </w:rPr>
              <w:t>Ratios of earnings to fixed charges</w:t>
            </w:r>
          </w:p>
        </w:tc>
        <w:tc>
          <w:tcPr>
            <w:tcW w:w="42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w w:val="94"/>
              </w:rPr>
              <w:t>16.2x</w:t>
            </w:r>
          </w:p>
        </w:tc>
        <w:tc>
          <w:tcPr>
            <w:tcW w:w="280" w:type="dxa"/>
            <w:vAlign w:val="bottom"/>
          </w:tcPr>
          <w:p>
            <w:pPr>
              <w:spacing w:after="0"/>
              <w:rPr>
                <w:sz w:val="16"/>
                <w:szCs w:val="16"/>
                <w:color w:val="auto"/>
              </w:rPr>
            </w:pPr>
          </w:p>
        </w:tc>
        <w:tc>
          <w:tcPr>
            <w:tcW w:w="42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w w:val="94"/>
              </w:rPr>
              <w:t>11.9x</w:t>
            </w:r>
          </w:p>
        </w:tc>
        <w:tc>
          <w:tcPr>
            <w:tcW w:w="280" w:type="dxa"/>
            <w:vAlign w:val="bottom"/>
          </w:tcPr>
          <w:p>
            <w:pPr>
              <w:spacing w:after="0"/>
              <w:rPr>
                <w:sz w:val="16"/>
                <w:szCs w:val="16"/>
                <w:color w:val="auto"/>
              </w:rPr>
            </w:pPr>
          </w:p>
        </w:tc>
        <w:tc>
          <w:tcPr>
            <w:tcW w:w="44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rPr>
              <w:t>18.0x</w:t>
            </w:r>
          </w:p>
        </w:tc>
        <w:tc>
          <w:tcPr>
            <w:tcW w:w="260" w:type="dxa"/>
            <w:vAlign w:val="bottom"/>
          </w:tcPr>
          <w:p>
            <w:pPr>
              <w:spacing w:after="0"/>
              <w:rPr>
                <w:sz w:val="16"/>
                <w:szCs w:val="16"/>
                <w:color w:val="auto"/>
              </w:rPr>
            </w:pPr>
          </w:p>
        </w:tc>
        <w:tc>
          <w:tcPr>
            <w:tcW w:w="44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w w:val="94"/>
              </w:rPr>
              <w:t>18.5x</w:t>
            </w:r>
          </w:p>
        </w:tc>
        <w:tc>
          <w:tcPr>
            <w:tcW w:w="280" w:type="dxa"/>
            <w:vAlign w:val="bottom"/>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4"/>
              </w:rPr>
              <w:t>16.7x</w:t>
            </w:r>
          </w:p>
        </w:tc>
      </w:tr>
    </w:tbl>
    <w:p>
      <w:pPr>
        <w:spacing w:after="0" w:line="81" w:lineRule="exact"/>
        <w:rPr>
          <w:sz w:val="20"/>
          <w:szCs w:val="20"/>
          <w:color w:val="auto"/>
        </w:rPr>
      </w:pPr>
    </w:p>
    <w:p>
      <w:pPr>
        <w:ind w:left="680" w:right="80" w:firstLine="399"/>
        <w:spacing w:after="0" w:line="334" w:lineRule="auto"/>
        <w:rPr>
          <w:sz w:val="20"/>
          <w:szCs w:val="20"/>
          <w:color w:val="auto"/>
        </w:rPr>
      </w:pPr>
      <w:r>
        <w:rPr>
          <w:rFonts w:ascii="Arial" w:cs="Arial" w:eastAsia="Arial" w:hAnsi="Arial"/>
          <w:sz w:val="11"/>
          <w:szCs w:val="11"/>
          <w:color w:val="auto"/>
        </w:rPr>
        <w:t>Earnings available for fixed charges represent earnings before income taxes, noncontrolling interests and fixed charges excluding capitalized interest, net of amortization, reduced by undistributed earnings of our less than 50% owned affiliates. Fixed charges represent interest expense, amortization of debt discount and expenses, capitalized interest, plus that portion of rental expense deemed to be the equivalent of interest. Interest expense excludes interest related to uncertain tax positions, which has been included in the provision for income taxes.</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DESCRIPTION OF DEBT SECURITIES</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following is a general description of the debt securities that we may offer from time to time. The particular terms of the debt securities offered by any prospectus supplement and the extent, if any, to which the general provisions described below may apply to those securities will be described in the applicable prospectus supplement. We also may sell hybrid securities that combine certain features of debt securities and other securities described in this prospectus.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72"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this description of the debt securities, the words “we,” “us” or “our” refer only to Schlumberger Limited and not to any of our subsidiaries. Capitalized terms used but not defined in this section have the respective meanings set forth in the applicable indenture.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debt securities that we may offer will be either senior debt securities or subordinated debt securities. Any senior debt securities will be issued under an indenture, which we refer to as the senior indenture, to be entered into between us and the trustee named in the applicable prospectus supplement. Any subordinated debt securities will be issued under a different indenture, which we refer to as the subordinated indenture, to be entered into between us and the trustee named in the applicable prospectus supplement. We refer to both the senior indenture and the subordinated indenture as the indentures, and to each of the trustees under the indentures as a trustee. In addition, the indentures may be supplemented or amended as necessary to set forth the terms of the debt securities issued under the indentures. You should read the indentures, including any amendments or supplements, carefully to fully understand the terms of the debt securities. The forms of the indentures have been filed as exhibits to the registration statement of which this prospectus is a part. The indentures are subject to, and are governed by, the Trust Indenture Act of 1939, as amended.</w:t>
      </w:r>
    </w:p>
    <w:p>
      <w:pPr>
        <w:spacing w:after="0" w:line="7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Any senior debt securities that we may issue will be our unsubordinated obligations. They will rank equally with each other and all of our other unsubordinated debt, unless otherwise indicated in the applicable prospectus supplement. Any subordinated debt securities that we may issue will be subordinated in right of payment to the prior payment in full of our senior debt. See “Subordination of Subordinated Debt Securities.” The subordinated debt securities will rank equally with each other, unless otherwise indicated in the applicable prospectus supplement. We will indicate in each applicable prospectus supplement, as of the most recent practicable date, the aggregate amount of our outstanding debt that would rank senior to the subordinated debt securities.</w:t>
      </w:r>
    </w:p>
    <w:p>
      <w:pPr>
        <w:spacing w:after="0" w:line="71"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indentures do not limit the amount of debt securities that can be issued thereunder and provide that debt securities of any series may be issued thereunder up to the aggregate principal amount that we may authorize from time to time. Unless otherwise provided in the applicable prospectus supplement, the indentures do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71"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Reference is made to the prospectus supplement for the following and other possible terms of each series of the debt securities with respect to which this prospectus is being delivered:</w:t>
      </w:r>
    </w:p>
    <w:p>
      <w:pPr>
        <w:spacing w:after="0" w:line="59" w:lineRule="exact"/>
        <w:rPr>
          <w:sz w:val="20"/>
          <w:szCs w:val="20"/>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title of the debt securities;</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any limit upon the aggregate principal amount of the debt securities of that series that may be authenticated and delivered under the applicable indenture, except for debt securities authenticated and delivered upon registration of transfer of, or in exchange for or in lieu of, other debt securities of that series;</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date or dates on which the principal and premium, if any, of the debt securities of the series is payable;</w:t>
      </w:r>
    </w:p>
    <w:p>
      <w:pPr>
        <w:spacing w:after="0" w:line="86" w:lineRule="exact"/>
        <w:rPr>
          <w:rFonts w:ascii="Arial" w:cs="Arial" w:eastAsia="Arial" w:hAnsi="Arial"/>
          <w:sz w:val="13"/>
          <w:szCs w:val="13"/>
          <w:color w:val="auto"/>
        </w:rPr>
      </w:pPr>
    </w:p>
    <w:p>
      <w:pPr>
        <w:ind w:left="1280" w:right="20" w:hanging="190"/>
        <w:spacing w:after="0" w:line="320" w:lineRule="auto"/>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rate or rates, which may be fixed or variable, at which the debt securities of the series shall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25" w:lineRule="exact"/>
        <w:rPr>
          <w:rFonts w:ascii="Arial" w:cs="Arial" w:eastAsia="Arial" w:hAnsi="Arial"/>
          <w:sz w:val="12"/>
          <w:szCs w:val="12"/>
          <w:color w:val="auto"/>
        </w:rPr>
      </w:pPr>
    </w:p>
    <w:p>
      <w:pPr>
        <w:ind w:left="1280" w:hanging="190"/>
        <w:spacing w:after="0" w:line="264" w:lineRule="auto"/>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place or places where the principal of and interest, if any, on the debt securities of the series shall be payable, where the debt securities of such series may be surrendered for registration of transfer or exchange and where notices and demands to or upon us with respect to the debt securities of such series and the applicable indenture may be served, and the method of such payment, if by wire transfer, mail or other means if other than as set forth in the applicable indenture;</w:t>
      </w:r>
    </w:p>
    <w:p>
      <w:pPr>
        <w:spacing w:after="0" w:line="57"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date or dates from which such interest shall accrue, the dates on which such interest will be payable or the manner of determination of such dates, and the record date for the determination of holders to whom interest is payable on any such dates;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any trustees, authenticating agents or paying agents with respect to such series, if different from those set forth in the applicable indenture;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right, if any, to extend the interest payment periods or defer the payment of interest and the duration of such extension or deferral;</w:t>
      </w:r>
    </w:p>
    <w:p>
      <w:pPr>
        <w:spacing w:after="0" w:line="8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period or periods within which, the price or prices at which and the terms and conditions upon which, debt securities of the series may be redeemed, in whole or in part, at our option;</w:t>
      </w:r>
    </w:p>
    <w:p>
      <w:pPr>
        <w:spacing w:after="0" w:line="49" w:lineRule="exact"/>
        <w:rPr>
          <w:rFonts w:ascii="Arial" w:cs="Arial" w:eastAsia="Arial" w:hAnsi="Arial"/>
          <w:sz w:val="13"/>
          <w:szCs w:val="13"/>
          <w:color w:val="auto"/>
        </w:rPr>
      </w:pPr>
    </w:p>
    <w:p>
      <w:pPr>
        <w:ind w:left="1280" w:right="460" w:hanging="190"/>
        <w:spacing w:after="0" w:line="296" w:lineRule="auto"/>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shall be redeemed, purchased or repaid, in whole or in part, pursuant to such obligation;</w:t>
      </w:r>
    </w:p>
    <w:p>
      <w:pPr>
        <w:spacing w:after="0" w:line="39" w:lineRule="exact"/>
        <w:rPr>
          <w:rFonts w:ascii="Arial" w:cs="Arial" w:eastAsia="Arial" w:hAnsi="Arial"/>
          <w:sz w:val="12"/>
          <w:szCs w:val="12"/>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form of the debt securities of the series including the form of the trustee’s certificate of authentication for such series;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if other than denominations of $2,000 or integral multiples of $1,000 in excess thereof, the denominations in which the debt securities of the series shall be issuable;</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currency or currencies in which payment of the principal of, premium, if any, and interest on, debt securities of the series shall be payable;</w:t>
      </w:r>
    </w:p>
    <w:p>
      <w:pPr>
        <w:spacing w:after="0" w:line="86" w:lineRule="exact"/>
        <w:rPr>
          <w:rFonts w:ascii="Arial" w:cs="Arial" w:eastAsia="Arial" w:hAnsi="Arial"/>
          <w:sz w:val="13"/>
          <w:szCs w:val="13"/>
          <w:color w:val="auto"/>
        </w:rPr>
      </w:pPr>
    </w:p>
    <w:p>
      <w:pPr>
        <w:ind w:left="1280" w:right="40" w:hanging="190"/>
        <w:spacing w:after="0" w:line="260" w:lineRule="auto"/>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if the principal amount payable at the stated maturity of debt securities of the series will not be determinable as of any one or more dates prior to such stated maturity, the amount which will be deemed to be such principal amount as of any such date for any purpose, including the portion of the principal amount thereof that will be due and payable upon declaration of acceleration of the maturity thereof or upon any maturity other than the stated maturity or that will be deemed to be outstanding as of any such date, or, in any such case, the manner in which such deemed principal amount is to be determined;</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terms of any repurchase or remarketing rights;</w:t>
      </w:r>
    </w:p>
    <w:p>
      <w:pPr>
        <w:spacing w:after="0" w:line="86" w:lineRule="exact"/>
        <w:rPr>
          <w:rFonts w:ascii="Arial" w:cs="Arial" w:eastAsia="Arial" w:hAnsi="Arial"/>
          <w:sz w:val="13"/>
          <w:szCs w:val="13"/>
          <w:color w:val="auto"/>
        </w:rPr>
      </w:pPr>
    </w:p>
    <w:p>
      <w:pPr>
        <w:ind w:left="1280" w:right="40" w:hanging="190"/>
        <w:spacing w:after="0" w:line="260" w:lineRule="auto"/>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if the debt securities of the series shall be issued in whole or in part in the form of a global security or securities, the type of global security to be issued; the terms and conditions, if different from those contained in the applicable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line="260"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whether the debt securities of the series will be convertible into or exchangeable for other securities,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our option, the conversion or exchange period, and any other provision in addition to or in lieu of those described herein;</w:t>
      </w:r>
    </w:p>
    <w:p>
      <w:pPr>
        <w:spacing w:after="0" w:line="59" w:lineRule="exact"/>
        <w:rPr>
          <w:rFonts w:ascii="Arial" w:cs="Arial" w:eastAsia="Arial" w:hAnsi="Arial"/>
          <w:sz w:val="13"/>
          <w:szCs w:val="13"/>
          <w:color w:val="auto"/>
        </w:rPr>
      </w:pPr>
    </w:p>
    <w:p>
      <w:pPr>
        <w:ind w:left="1280" w:right="240" w:hanging="190"/>
        <w:spacing w:after="0" w:line="264"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any additional restrictive covenants or events of default that will apply to the debt securities of the series, or any changes to the restrictive covenants set forth in the applicable indenture that will apply to the debt securities of the series, which may consist of establishing different terms or provisions from those set forth in the applicable indenture or eliminating any such restrictive covenant or event of default with respect to the debt securities of the series;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any provisions granting special rights to holders when a specified event occurs;</w:t>
      </w:r>
    </w:p>
    <w:p>
      <w:pPr>
        <w:spacing w:after="0" w:line="86"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if the amount of principal or any premium or interest on debt securities of a series may be determined with reference to an index or pursuant to a formula, the manner in which such amounts will be determined;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any special tax implications of the debt securities, including provisions for original issue discount securities, if offered;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whether and upon what terms debt securities of a series may be defeased if different from the provisions set forth in the applicable indenture;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with regard to the debt securities of any series that do not bear interest, the dates for certain required reports to the trustee;</w:t>
      </w:r>
    </w:p>
    <w:p>
      <w:pPr>
        <w:spacing w:after="0" w:line="86"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any guarantees on the debt securities;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provisions, if any, relating to any security provided for the debt securities of the series;</w:t>
      </w:r>
    </w:p>
    <w:p>
      <w:pPr>
        <w:spacing w:after="0" w:line="86"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any depositaries, interest rate calculation agents, exchange rate calculation agents or other agents with respect to debt securities of such series if other than those appointed in the applicable indenture;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if the debt securities are subordinated debt securities, the subordination terms of the debt securities; and</w:t>
      </w:r>
    </w:p>
    <w:p>
      <w:pPr>
        <w:spacing w:after="0" w:line="86" w:lineRule="exact"/>
        <w:rPr>
          <w:rFonts w:ascii="Arial" w:cs="Arial" w:eastAsia="Arial" w:hAnsi="Arial"/>
          <w:sz w:val="13"/>
          <w:szCs w:val="13"/>
          <w:color w:val="auto"/>
        </w:rPr>
      </w:pPr>
    </w:p>
    <w:p>
      <w:pPr>
        <w:ind w:left="1280" w:right="140" w:hanging="190"/>
        <w:spacing w:after="0" w:line="264"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any and all additional, eliminated or changed terms that shall apply to the debt securities of the series, including any terms that may be required by or advisable under United States laws or regulations, including the Securities Act and the rules and regulations promulgated thereunder, or advisable in connection with the marketing of debt securities of that series.</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will comply with Section 14(e) under the Exchange Act, to the extent applicable, and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6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Unless otherwise described in a prospectus supplement relating to any debt securities, there are no covenants or provisions contained in the indentures that may afford the holders of debt securities protection in the event that we enter into a highly leveraged transaction.</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statements made hereunder relating to the indentures and any debt securities that we may issue are summaries of certain provisions thereof and are qualified in their entirety by reference to all provisions of the indentures and the debt securities and the descriptions thereof, if different, in the applicable prospectus supplement.</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Subordination of Subordinated Debt Securities</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will set forth in the applicable prospectus supplement the terms and conditions, if any, upon which any series of subordinated debt securities is subordinated to debt securities of another series or to our other indebtedness. The terms will include a description of:</w:t>
      </w:r>
    </w:p>
    <w:p>
      <w:pPr>
        <w:spacing w:after="0" w:line="59" w:lineRule="exact"/>
        <w:rPr>
          <w:sz w:val="20"/>
          <w:szCs w:val="20"/>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indebtedness ranking senior to the debt securities being offered;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restrictions, if any, on payments to the holders of the debt securities being offered while a default with respect to the senior indebtedness is continuing;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provisions requiring holders of the debt securities being offered to remit some payments to the holders of senior indebtedness.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Additional Amounts</w:t>
      </w:r>
    </w:p>
    <w:p>
      <w:pPr>
        <w:spacing w:after="0" w:line="100"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 xml:space="preserve">All payments made by us under or with respect to the debt securities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we are then incorporated or organized or any political subdivision thereof or therein (each, a “Company Tax Jurisdiction”) or (2) any jurisdiction from or through which payment is made by us or on our behalf (including the jurisdiction of any paying agent for the applicable debt securities) or any political subdivision thereof or therein (each, together with each Company Tax Jurisdiction, a “Tax Jurisdiction”) will at any time be required to be made from any payments made by us under or with respect to any debt securities, including payments of principal, redemption price, interest or premium, we will pay such additional amounts (the “Additional Amounts”) as may be necessary in order that the net amounts received with respect to such payments by each holder of the applicable debt securities after such withholding, deduction or imposition (including any such withholding, deduction or imposition from such Additional Amounts) will equal the respective amounts that would have been received with respect to such payments in the absence of such withholding or deduction;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 Additional Amounts will be payable with respect to:</w:t>
      </w:r>
    </w:p>
    <w:p>
      <w:pPr>
        <w:spacing w:after="0" w:line="63" w:lineRule="exact"/>
        <w:rPr>
          <w:sz w:val="20"/>
          <w:szCs w:val="20"/>
          <w:color w:val="auto"/>
        </w:rPr>
      </w:pPr>
    </w:p>
    <w:p>
      <w:pPr>
        <w:ind w:left="1080" w:firstLine="389"/>
        <w:spacing w:after="0" w:line="289" w:lineRule="auto"/>
        <w:tabs>
          <w:tab w:leader="none" w:pos="1649" w:val="left"/>
        </w:tabs>
        <w:numPr>
          <w:ilvl w:val="0"/>
          <w:numId w:val="10"/>
        </w:numPr>
        <w:rPr>
          <w:rFonts w:ascii="Arial" w:cs="Arial" w:eastAsia="Arial" w:hAnsi="Arial"/>
          <w:sz w:val="12"/>
          <w:szCs w:val="12"/>
          <w:color w:val="auto"/>
        </w:rPr>
      </w:pPr>
      <w:r>
        <w:rPr>
          <w:rFonts w:ascii="Arial" w:cs="Arial" w:eastAsia="Arial" w:hAnsi="Arial"/>
          <w:sz w:val="12"/>
          <w:szCs w:val="12"/>
          <w:color w:val="auto"/>
        </w:rPr>
        <w:t>any Taxes, to the extent such Taxes would not have been imposed but for the existence of any actual or deemed present or former connection between the holder or the beneficial owner of such debt securities and the relevant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the receipt of any payments with respect to such debt securities;</w:t>
      </w:r>
    </w:p>
    <w:p>
      <w:pPr>
        <w:spacing w:after="0" w:line="52" w:lineRule="exact"/>
        <w:rPr>
          <w:rFonts w:ascii="Arial" w:cs="Arial" w:eastAsia="Arial" w:hAnsi="Arial"/>
          <w:sz w:val="12"/>
          <w:szCs w:val="12"/>
          <w:color w:val="auto"/>
        </w:rPr>
      </w:pPr>
    </w:p>
    <w:p>
      <w:pPr>
        <w:ind w:left="1080" w:right="180" w:firstLine="389"/>
        <w:spacing w:after="0" w:line="264" w:lineRule="auto"/>
        <w:tabs>
          <w:tab w:leader="none" w:pos="1649" w:val="left"/>
        </w:tabs>
        <w:numPr>
          <w:ilvl w:val="0"/>
          <w:numId w:val="10"/>
        </w:numPr>
        <w:rPr>
          <w:rFonts w:ascii="Arial" w:cs="Arial" w:eastAsia="Arial" w:hAnsi="Arial"/>
          <w:sz w:val="13"/>
          <w:szCs w:val="13"/>
          <w:color w:val="auto"/>
        </w:rPr>
      </w:pPr>
      <w:r>
        <w:rPr>
          <w:rFonts w:ascii="Arial" w:cs="Arial" w:eastAsia="Arial" w:hAnsi="Arial"/>
          <w:sz w:val="13"/>
          <w:szCs w:val="13"/>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 day period);</w:t>
      </w:r>
    </w:p>
    <w:p>
      <w:pPr>
        <w:spacing w:after="0" w:line="66" w:lineRule="exact"/>
        <w:rPr>
          <w:rFonts w:ascii="Arial" w:cs="Arial" w:eastAsia="Arial" w:hAnsi="Arial"/>
          <w:sz w:val="13"/>
          <w:szCs w:val="13"/>
          <w:color w:val="auto"/>
        </w:rPr>
      </w:pPr>
    </w:p>
    <w:p>
      <w:pPr>
        <w:ind w:left="1660" w:hanging="191"/>
        <w:spacing w:after="0"/>
        <w:tabs>
          <w:tab w:leader="none" w:pos="1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any estate, inheritance, gift, sales, transfer, personal property or similar Taxes;</w:t>
      </w:r>
    </w:p>
    <w:p>
      <w:pPr>
        <w:spacing w:after="0" w:line="96" w:lineRule="exact"/>
        <w:rPr>
          <w:rFonts w:ascii="Arial" w:cs="Arial" w:eastAsia="Arial" w:hAnsi="Arial"/>
          <w:sz w:val="13"/>
          <w:szCs w:val="13"/>
          <w:color w:val="auto"/>
        </w:rPr>
      </w:pPr>
    </w:p>
    <w:p>
      <w:pPr>
        <w:ind w:left="1080" w:right="40" w:firstLine="389"/>
        <w:spacing w:after="0" w:line="371" w:lineRule="auto"/>
        <w:tabs>
          <w:tab w:leader="none" w:pos="1649" w:val="left"/>
        </w:tabs>
        <w:numPr>
          <w:ilvl w:val="0"/>
          <w:numId w:val="10"/>
        </w:numPr>
        <w:rPr>
          <w:rFonts w:ascii="Arial" w:cs="Arial" w:eastAsia="Arial" w:hAnsi="Arial"/>
          <w:sz w:val="11"/>
          <w:szCs w:val="11"/>
          <w:color w:val="auto"/>
        </w:rPr>
      </w:pPr>
      <w:r>
        <w:rPr>
          <w:rFonts w:ascii="Arial" w:cs="Arial" w:eastAsia="Arial" w:hAnsi="Arial"/>
          <w:sz w:val="11"/>
          <w:szCs w:val="11"/>
          <w:color w:val="auto"/>
        </w:rPr>
        <w:t>any Tax imposed on or with respect to any payment by us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11" w:lineRule="exact"/>
        <w:rPr>
          <w:rFonts w:ascii="Arial" w:cs="Arial" w:eastAsia="Arial" w:hAnsi="Arial"/>
          <w:sz w:val="11"/>
          <w:szCs w:val="11"/>
          <w:color w:val="auto"/>
        </w:rPr>
      </w:pPr>
    </w:p>
    <w:p>
      <w:pPr>
        <w:ind w:left="1660" w:hanging="191"/>
        <w:spacing w:after="0"/>
        <w:tabs>
          <w:tab w:leader="none" w:pos="16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with respect to any Taxes imposed by the United States, any such Taxes imposed by reason of the failure of such holder to fulfill the statement requirements of</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sections 871(h) or 881(c) of the Internal Revenue Code of 1986, as amended;</w:t>
      </w: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400" w:firstLine="389"/>
        <w:spacing w:after="0" w:line="276" w:lineRule="auto"/>
        <w:tabs>
          <w:tab w:leader="none" w:pos="1646" w:val="left"/>
        </w:tabs>
        <w:numPr>
          <w:ilvl w:val="0"/>
          <w:numId w:val="11"/>
        </w:numPr>
        <w:rPr>
          <w:rFonts w:ascii="Arial" w:cs="Arial" w:eastAsia="Arial" w:hAnsi="Arial"/>
          <w:sz w:val="13"/>
          <w:szCs w:val="13"/>
          <w:color w:val="auto"/>
        </w:rPr>
      </w:pPr>
      <w:r>
        <w:rPr>
          <w:rFonts w:ascii="Arial" w:cs="Arial" w:eastAsia="Arial" w:hAnsi="Arial"/>
          <w:sz w:val="13"/>
          <w:szCs w:val="13"/>
          <w:color w:val="auto"/>
        </w:rPr>
        <w:t>Taxes imposed on or with respect to a payment made to a holder or beneficial owner of such debt securities who would have been able to avoid such withholding or deduction by presenting such debt securities (where presentation is required) to another paying agent;</w:t>
      </w:r>
    </w:p>
    <w:p>
      <w:pPr>
        <w:spacing w:after="0" w:line="59" w:lineRule="exact"/>
        <w:rPr>
          <w:rFonts w:ascii="Arial" w:cs="Arial" w:eastAsia="Arial" w:hAnsi="Arial"/>
          <w:sz w:val="13"/>
          <w:szCs w:val="13"/>
          <w:color w:val="auto"/>
        </w:rPr>
      </w:pPr>
    </w:p>
    <w:p>
      <w:pPr>
        <w:ind w:left="1660" w:hanging="191"/>
        <w:spacing w:after="0"/>
        <w:tabs>
          <w:tab w:leader="none" w:pos="1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any Taxes payable other than by deduction or withholding from payments under, or with respect to, such debt securities;</w:t>
      </w:r>
    </w:p>
    <w:p>
      <w:pPr>
        <w:spacing w:after="0" w:line="96" w:lineRule="exact"/>
        <w:rPr>
          <w:rFonts w:ascii="Arial" w:cs="Arial" w:eastAsia="Arial" w:hAnsi="Arial"/>
          <w:sz w:val="13"/>
          <w:szCs w:val="13"/>
          <w:color w:val="auto"/>
        </w:rPr>
      </w:pPr>
    </w:p>
    <w:p>
      <w:pPr>
        <w:ind w:left="1080" w:right="20" w:firstLine="389"/>
        <w:spacing w:after="0" w:line="285" w:lineRule="auto"/>
        <w:tabs>
          <w:tab w:leader="none" w:pos="1649" w:val="left"/>
        </w:tabs>
        <w:numPr>
          <w:ilvl w:val="0"/>
          <w:numId w:val="11"/>
        </w:numPr>
        <w:rPr>
          <w:rFonts w:ascii="Arial" w:cs="Arial" w:eastAsia="Arial" w:hAnsi="Arial"/>
          <w:sz w:val="12"/>
          <w:szCs w:val="12"/>
          <w:color w:val="auto"/>
        </w:rPr>
      </w:pPr>
      <w:r>
        <w:rPr>
          <w:rFonts w:ascii="Arial" w:cs="Arial" w:eastAsia="Arial" w:hAnsi="Arial"/>
          <w:sz w:val="12"/>
          <w:szCs w:val="12"/>
          <w:color w:val="auto"/>
        </w:rPr>
        <w:t>any Taxes to the extent such Taxes are imposed or withheld by reason of the failure of the holder or beneficial owner of such debt securities, to comply with any written request by us addressed to the holder or beneficial owner to satisfy any certification, identification, information or other reporting requirements, whether required by statute, treaty, regulation or administrative practice of a relevant Tax Jurisdiction, as a precondition to exemption from, or reduction in the rate of deduction or withholding of, Taxes imposed by the relevant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55" w:lineRule="exact"/>
        <w:rPr>
          <w:rFonts w:ascii="Arial" w:cs="Arial" w:eastAsia="Arial" w:hAnsi="Arial"/>
          <w:sz w:val="12"/>
          <w:szCs w:val="12"/>
          <w:color w:val="auto"/>
        </w:rPr>
      </w:pPr>
    </w:p>
    <w:p>
      <w:pPr>
        <w:ind w:left="1660" w:hanging="191"/>
        <w:spacing w:after="0"/>
        <w:tabs>
          <w:tab w:leader="none" w:pos="1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any combination of items (1) through (8) above.</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In addition to the foregoing, we will also pay and indemnify the holder for any present or future stamp, issue, registration, court or documentary Taxes, or any other excise or property Taxes, charges or similar levies (including penalties, interest and any other reasonable expenses related thereto) which are levied by a relevant Tax Jurisdiction with respect to the execution, delivery, issuance, or registration of the debt securities, or the related indenture or any other document or instrument referred to therein.</w:t>
      </w:r>
    </w:p>
    <w:p>
      <w:pPr>
        <w:spacing w:after="0" w:line="50"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If we become aware that we will be obligated to pay Additional Amounts with respect to any payment under or with respect to the debt securities, we will deliver to the trustee on a date that is at least 30 days prior to the date of that payment (unless the obligation to pay Additional Amounts arises fewer than 45 days prior to that payment date, in which case we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55"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will make all withholdings and deductions required by law with respect to the debt securities, and will remit the full amount deducted or withheld to the relevant Tax authority in accordance with applicable law. We will use our reasonable efforts to obtain Tax receipts from each Tax authority evidencing the payment of any Taxes so deducted or withheld. Upon reasonable written request, we will furnish to the trustee (or to a holder or beneficial owner upon written request), within a reasonable time after the date the payment of any Taxes so deducted or withheld is made, certified copies of Tax receipts evidencing payment by us, or if, notwithstanding our efforts to obtain receipts, receipts are not obtained, other evidence of such payments (reasonably satisfactory to the trustee).</w:t>
      </w:r>
    </w:p>
    <w:p>
      <w:pPr>
        <w:spacing w:after="0" w:line="71"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Whenever in the indenture, any debt securities, or in this “Description of Debt Securities” there is mentioned, in any context, the payment of amounts based upon the principal amount of the debt securities or of principal, interest or of any other amount payable under, or with respect to, any of the debt securities, such mention shall be deemed to include mention of the payment of Additional Amounts to the extent that, in such context, Additional Amounts are, were or would be payable in respect thereof.</w:t>
      </w:r>
    </w:p>
    <w:p>
      <w:pPr>
        <w:spacing w:after="0" w:line="67"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 xml:space="preserve">The above obligations will survive any termination, defeasance or discharge of each indenture, any transfer by a holder or beneficial owner of the debt securities, and will apply, </w:t>
      </w:r>
      <w:r>
        <w:rPr>
          <w:rFonts w:ascii="Arial" w:cs="Arial" w:eastAsia="Arial" w:hAnsi="Arial"/>
          <w:sz w:val="13"/>
          <w:szCs w:val="13"/>
          <w:i w:val="1"/>
          <w:iCs w:val="1"/>
          <w:color w:val="auto"/>
        </w:rPr>
        <w:t>mutatis mutandis</w:t>
      </w:r>
      <w:r>
        <w:rPr>
          <w:rFonts w:ascii="Arial" w:cs="Arial" w:eastAsia="Arial" w:hAnsi="Arial"/>
          <w:sz w:val="13"/>
          <w:szCs w:val="13"/>
          <w:color w:val="auto"/>
        </w:rPr>
        <w:t>, to any jurisdiction in which any successor person to us is incorporated or organized, or any jurisdiction from or through which payment is made by or on behalf of such</w:t>
      </w:r>
      <w:r>
        <w:rPr>
          <w:rFonts w:ascii="Arial" w:cs="Arial" w:eastAsia="Arial" w:hAnsi="Arial"/>
          <w:sz w:val="13"/>
          <w:szCs w:val="13"/>
          <w:i w:val="1"/>
          <w:iCs w:val="1"/>
          <w:color w:val="auto"/>
        </w:rPr>
        <w:t xml:space="preserve"> </w:t>
      </w:r>
      <w:r>
        <w:rPr>
          <w:rFonts w:ascii="Arial" w:cs="Arial" w:eastAsia="Arial" w:hAnsi="Arial"/>
          <w:sz w:val="13"/>
          <w:szCs w:val="13"/>
          <w:color w:val="auto"/>
        </w:rPr>
        <w:t>person on the applicable debt securities and any political subdivision thereof or therein.</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Redemption</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If specified in the applicable prospectus supplement, we may redeem the debt securities of any series, as a whole or in part, at our option on and after the dates and in accordance with the terms established for such series, if any, in the applicable prospectus supplement. If we redeem the debt securities of any series, we also must pay accrued and unpaid interest, if any, to the date of redemption on such debt securities.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Redemption Upon Changes in Tax Law</w:t>
      </w:r>
    </w:p>
    <w:p>
      <w:pPr>
        <w:spacing w:after="0" w:line="100" w:lineRule="exact"/>
        <w:rPr>
          <w:sz w:val="20"/>
          <w:szCs w:val="20"/>
          <w:color w:val="auto"/>
        </w:rPr>
      </w:pPr>
    </w:p>
    <w:p>
      <w:pPr>
        <w:ind w:left="680" w:right="60" w:firstLine="399"/>
        <w:spacing w:after="0" w:line="312" w:lineRule="auto"/>
        <w:rPr>
          <w:sz w:val="20"/>
          <w:szCs w:val="20"/>
          <w:color w:val="auto"/>
        </w:rPr>
      </w:pPr>
      <w:r>
        <w:rPr>
          <w:rFonts w:ascii="Arial" w:cs="Arial" w:eastAsia="Arial" w:hAnsi="Arial"/>
          <w:sz w:val="11"/>
          <w:szCs w:val="11"/>
          <w:color w:val="auto"/>
        </w:rPr>
        <w:t>We may redeem the debt securities of any series, in whole but not in part, at our discretion at any time upon giving not less than 30 nor more than 60 days’ prior notice to the holders of the debt securities of such series (which notice will be irrevocable), at a redemption price equal to 100% of the aggregate principal amount thereof, together with accrued and unpaid interest, if any, to the date fixed by us for redemption (a “Tax Redemption Date”) and all Additional Amounts (if any) then due and which will become due on the Tax Redemption Date as a result of the redemption or otherwise (subject to the right of holders of the debt securities of such series on the relevant record date to receive interest due on the relevant interest payment date and Additional Amounts (if any) in respect thereof), if on the next date on which any amount would be payable with respect to the debt securities of such series, we are or would be required to pay Additional Amounts, and we cannot avoid any such payment obligation by taking reasonable measures available, and the requirement arises as a result of:</w:t>
      </w:r>
    </w:p>
    <w:p>
      <w:pPr>
        <w:spacing w:after="0" w:line="45" w:lineRule="exact"/>
        <w:rPr>
          <w:sz w:val="20"/>
          <w:szCs w:val="20"/>
          <w:color w:val="auto"/>
        </w:rPr>
      </w:pPr>
    </w:p>
    <w:p>
      <w:pPr>
        <w:ind w:left="1280" w:right="40" w:hanging="190"/>
        <w:spacing w:after="0" w:line="276"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any amendment to, or change in, the laws (or any regulations or rulings promulgated thereunder) of a relevant Tax Jurisdiction which change or amendment becomes effective on or after the issue date (or, if the applicable Tax Jurisdiction became a Tax Jurisdiction on a date after the issue date, such later date), or</w:t>
      </w:r>
    </w:p>
    <w:p>
      <w:pPr>
        <w:spacing w:after="0" w:line="49" w:lineRule="exact"/>
        <w:rPr>
          <w:rFonts w:ascii="Arial" w:cs="Arial" w:eastAsia="Arial" w:hAnsi="Arial"/>
          <w:sz w:val="13"/>
          <w:szCs w:val="13"/>
          <w:color w:val="auto"/>
        </w:rPr>
      </w:pPr>
    </w:p>
    <w:p>
      <w:pPr>
        <w:jc w:val="both"/>
        <w:ind w:left="1280" w:right="360" w:hanging="190"/>
        <w:spacing w:after="0" w:line="264"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Tax Jurisdiction became a Tax Jurisdiction on a date after the issue date, such later date).</w:t>
      </w:r>
    </w:p>
    <w:p>
      <w:pPr>
        <w:spacing w:after="0" w:line="67"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will not give any such notice of redemption earlier than 90 days prior to the earliest date on which we would be obligated to make such payment or withholding if a payment with respect to the debt securities of such series was then due, and the obligation to pay Additional Amounts must be in effect at the time such notice is given. Prior to the publication or, where relevant, mailing of any notice of redemption of the debt securities of such series pursuant to the foregoing, we will deliver to the trustee an opinion of independent tax counsel to the effect that there has been such amendment or change which would entitle us to redeem the debt securities of such series hereunder. In addition, before we publish or mail any notice of redemption as described above, we will deliver to the trustee an officer’s certificate to the effect that we cannot avoid our obligation to pay Additional Amounts by taking reasonable measures available to us.</w:t>
      </w:r>
    </w:p>
    <w:p>
      <w:pPr>
        <w:spacing w:after="0" w:line="72"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 xml:space="preserve">The foregoing will apply </w:t>
      </w:r>
      <w:r>
        <w:rPr>
          <w:rFonts w:ascii="Arial" w:cs="Arial" w:eastAsia="Arial" w:hAnsi="Arial"/>
          <w:sz w:val="13"/>
          <w:szCs w:val="13"/>
          <w:i w:val="1"/>
          <w:iCs w:val="1"/>
          <w:color w:val="auto"/>
        </w:rPr>
        <w:t>mutatis mutandis</w:t>
      </w:r>
      <w:r>
        <w:rPr>
          <w:rFonts w:ascii="Arial" w:cs="Arial" w:eastAsia="Arial" w:hAnsi="Arial"/>
          <w:sz w:val="13"/>
          <w:szCs w:val="13"/>
          <w:color w:val="auto"/>
        </w:rPr>
        <w:t xml:space="preserve"> to any jurisdiction in which any successor person to us is incorporated or organized, or any jurisdiction from or through which payment is made by or on behalf of such person on the debt securities of such series and any political subdivision thereof or therein.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Selection and Notice</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If less than all of the debt securities of a series are to be redeemed at any time, the trustee will select the debt securities of such series for redemption on a pro rata basis (or, in the case of debt securities issued in global form 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334" w:lineRule="auto"/>
        <w:rPr>
          <w:sz w:val="20"/>
          <w:szCs w:val="20"/>
          <w:color w:val="auto"/>
        </w:rPr>
      </w:pPr>
      <w:r>
        <w:rPr>
          <w:rFonts w:ascii="Arial" w:cs="Arial" w:eastAsia="Arial" w:hAnsi="Arial"/>
          <w:sz w:val="11"/>
          <w:szCs w:val="11"/>
          <w:color w:val="auto"/>
        </w:rPr>
        <w:t>No debt securities in principal amount of $2,000 or less can be redeemed in part. Notices of redemption will be mailed by first class mail at least 30 but not more than 60 days before the redemption date to each holder of debt securities of such series to be redeemed at its registered address, except that redemption notices may be mailed more than 60 days prior to a redemption date if the notice is issued in connection with a defeasance of the debt securities of such series or a satisfaction and discharge of the indenture or any supplement thereto.</w:t>
      </w:r>
    </w:p>
    <w:p>
      <w:pPr>
        <w:spacing w:after="0" w:line="32"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w:t>
      </w:r>
    </w:p>
    <w:p>
      <w:pPr>
        <w:spacing w:after="0" w:line="7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The trustee will not be liable for selections made by it as contemplated in this section. For any debt securities which are represented by global securities held on behalf of DTC, Euroclear or Clearstream, notices may be given by delivery of the relevant notices to DTC, Euroclear or Clearstream for communication to entitled account holders in substitution for the aforesaid mailing.</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Reports</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So long as any debt securities are outstanding, we shall file with the trustee, within 15 days after we file with the SEC, copies of the annual reports and of the information, documents and other reports (or copies of such portions of any of the forgoing as the SEC may from time to time by rules and regulations prescribe) that we may be required to file with the SEC pursuant to Section 13 or Section 15(d) of the Exchange Act. We shall be deemed to have complied with the previous sentence to the extent that such information, documents and reports are filed with the SEC via EDGAR, or any successor electronic delivery procedure. Delivery of such reports, information and documents to the trustee is for informational purposes only and the trustee’s receipt of such shall not constitute constructive notice of any information contained therein or determinable from information contained therein, including our compliance with any covenants under the indenture (as to which the trustee is entitled to rely exclusively on officer’s certificates).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Events of Default</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following will be “Events of Default” with respect to debt securities of a particular series, except to the extent provided in the supplemental indenture or resolution of our board of directors pursuant to which a series of debt securities is issued:</w:t>
      </w:r>
    </w:p>
    <w:p>
      <w:pPr>
        <w:spacing w:after="0" w:line="59"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failure to pay any interest on any of the debt securities of such series within 30 days after such interest becomes due and payable;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failure to pay principal of any of the debt securities of such series at maturity, or if applicable, the redemption price, when the same become due and payable;</w:t>
      </w:r>
    </w:p>
    <w:p>
      <w:pPr>
        <w:spacing w:after="0" w:line="86"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failure to pay any sinking fund installment as and when the same shall become due and payable by the terms of the debt securities of such series, and continuance of such default for a period of 30 days;</w:t>
      </w:r>
    </w:p>
    <w:p>
      <w:pPr>
        <w:spacing w:after="0" w:line="49" w:lineRule="exact"/>
        <w:rPr>
          <w:rFonts w:ascii="Arial" w:cs="Arial" w:eastAsia="Arial" w:hAnsi="Arial"/>
          <w:sz w:val="13"/>
          <w:szCs w:val="13"/>
          <w:color w:val="auto"/>
        </w:rPr>
      </w:pPr>
    </w:p>
    <w:p>
      <w:pPr>
        <w:ind w:left="1280" w:right="20" w:hanging="190"/>
        <w:spacing w:after="0" w:line="264"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failure to comply with any of the covenants or agreements in any of the debt securities of such series or the indenture (other than an agreement or covenant that we included in the indenture solely for the benefit of another series of debt securities) for 90 days after written notice by the trustee or by the holders of at least 25% in principal amount of all outstanding debt securities affected by that failure;</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certain events involving our bankruptcy, insolvency or reorganization; and</w:t>
      </w:r>
    </w:p>
    <w:p>
      <w:pPr>
        <w:spacing w:after="0" w:line="86" w:lineRule="exact"/>
        <w:rPr>
          <w:rFonts w:ascii="Arial" w:cs="Arial" w:eastAsia="Arial" w:hAnsi="Arial"/>
          <w:sz w:val="13"/>
          <w:szCs w:val="13"/>
          <w:color w:val="auto"/>
        </w:rPr>
      </w:pPr>
    </w:p>
    <w:p>
      <w:pPr>
        <w:ind w:left="1280" w:right="280" w:hanging="190"/>
        <w:spacing w:after="0" w:line="276"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any other Event of Default provided in the supplemental indenture or resolution of our board of directors under which such series of debt securities is issued or in the form of security for such series.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A default under one series of debt securities issued under the indenture will not necessarily be a default under another series of debt securities under the indenture. The trustee may withhold notice to the holders of a series of debt securities issued under such indenture of any default or event of default (except in any payment on the debt securities of such series) if the trustee considers it in the interest of the holders of the debt securities of that series to do so.</w:t>
      </w:r>
    </w:p>
    <w:p>
      <w:pPr>
        <w:spacing w:after="0" w:line="67"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If an event of default for a series of debt securities occurs and is continuing, the trustee or the holders of at least 25% in principal amount of the debt securities of that series may require us to pay immediately the principal amount plus accrued and unpaid interest on all the debt securities of that series. If an event of default relating to certain events of bankruptcy, insolvency or reorganization occurs with respect to us, the principal amount plus accrued and unpaid interest on the debt securities of that series will become immediately due and payable without any action on the part of the trustee or any holder. The holders of a majority in principal amount of the debt securities of such series then outstanding may in some cases rescind this accelerated payment requirement.</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holder of debt securities of any series may pursue any remedy under the indenture applicable to the debt securities of that series only if:</w:t>
      </w:r>
    </w:p>
    <w:p>
      <w:pPr>
        <w:spacing w:after="0" w:line="96"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holder gives the trustee written notice of a continuing event of default;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holders of at least 25% in principal amount of the debt securities of such series then outstanding make a written request to the trustee to pursue the remedy;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holder furnishes to the trustee indemnity reasonably satisfactory to the trustee;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trustee fails to act for a period of 60 days after receipt of notice and furnishing of indemnity;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during that 60-day period, the holders of a majority in principal amount of the debt securities of that series do not give the Trustee a direction inconsistent with the request.</w:t>
      </w:r>
    </w:p>
    <w:p>
      <w:pPr>
        <w:spacing w:after="0" w:line="10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This provision does not, however, affect the right of any holder to sue for enforcement of any overdue payment with respect to the debt securities of such series. In most cases, holders of a majority in principal amount of the debt securities of any series then outstanding may direct the time, method and place of:</w:t>
      </w:r>
    </w:p>
    <w:p>
      <w:pPr>
        <w:spacing w:after="0" w:line="59"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conducting any proceeding for any remedy available to the trustee with respect to the debt securities of such series; and</w:t>
      </w:r>
    </w:p>
    <w:p>
      <w:pPr>
        <w:spacing w:after="0" w:line="86" w:lineRule="exact"/>
        <w:rPr>
          <w:rFonts w:ascii="Arial" w:cs="Arial" w:eastAsia="Arial" w:hAnsi="Arial"/>
          <w:sz w:val="13"/>
          <w:szCs w:val="13"/>
          <w:color w:val="auto"/>
        </w:rPr>
      </w:pPr>
    </w:p>
    <w:p>
      <w:pPr>
        <w:ind w:left="1080" w:right="1380" w:firstLine="10"/>
        <w:spacing w:after="0" w:line="473" w:lineRule="auto"/>
        <w:tabs>
          <w:tab w:leader="none" w:pos="12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exercising any trust or power conferred on the trustee not relating to or arising under an event of default with respect to the debt securities of such series. The indenture requires us to file with the trustee each year a written statement as to its compliance with the covenants contained in the indenture.</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Covenants</w:t>
      </w:r>
    </w:p>
    <w:p>
      <w:pPr>
        <w:spacing w:after="0" w:line="100"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Other than the restrictions on liens described below, the indenture and the debt securities will not contain any covenants or other provisions designed to protect holders of the debt securities in the event of a highly leveraged transaction. The indenture and the debt securities also do not contain provisions that give holders of the debt securities the right to require us to repurchase any debt securities in the event of a decline in credit rating resulting from a takeover, recapitalization or similar restructuring or otherwise.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Limitation on Liens</w:t>
      </w:r>
    </w:p>
    <w:p>
      <w:pPr>
        <w:spacing w:after="0" w:line="96" w:lineRule="exact"/>
        <w:rPr>
          <w:sz w:val="20"/>
          <w:szCs w:val="20"/>
          <w:color w:val="auto"/>
        </w:rPr>
      </w:pPr>
    </w:p>
    <w:p>
      <w:pPr>
        <w:ind w:left="680" w:right="400" w:firstLine="399"/>
        <w:spacing w:after="0" w:line="260" w:lineRule="auto"/>
        <w:rPr>
          <w:sz w:val="20"/>
          <w:szCs w:val="20"/>
          <w:color w:val="auto"/>
        </w:rPr>
      </w:pPr>
      <w:r>
        <w:rPr>
          <w:rFonts w:ascii="Arial" w:cs="Arial" w:eastAsia="Arial" w:hAnsi="Arial"/>
          <w:sz w:val="13"/>
          <w:szCs w:val="13"/>
          <w:color w:val="auto"/>
        </w:rPr>
        <w:t>We will not, and will not permit any of our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we shall so determine, any of our other indebtedness or the indebtedness of any such restricted subsidiary then existing or thereafter created ranking</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334" w:lineRule="auto"/>
        <w:rPr>
          <w:sz w:val="20"/>
          <w:szCs w:val="20"/>
          <w:color w:val="auto"/>
        </w:rPr>
      </w:pPr>
      <w:r>
        <w:rPr>
          <w:rFonts w:ascii="Arial" w:cs="Arial" w:eastAsia="Arial" w:hAnsi="Arial"/>
          <w:sz w:val="11"/>
          <w:szCs w:val="11"/>
          <w:color w:val="auto"/>
        </w:rPr>
        <w:t xml:space="preserve">on a parity with the debt securities)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our most recent consolidated quarterly financial statements;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these provisions shall not apply to:</w:t>
      </w:r>
    </w:p>
    <w:p>
      <w:pPr>
        <w:spacing w:after="0" w:line="32" w:lineRule="exact"/>
        <w:rPr>
          <w:sz w:val="20"/>
          <w:szCs w:val="20"/>
          <w:color w:val="auto"/>
        </w:rPr>
      </w:pPr>
    </w:p>
    <w:p>
      <w:pPr>
        <w:ind w:left="1660" w:hanging="191"/>
        <w:spacing w:after="0"/>
        <w:tabs>
          <w:tab w:leader="none" w:pos="1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mortgages existing on the date of original issuance of any debt securities;</w:t>
      </w:r>
    </w:p>
    <w:p>
      <w:pPr>
        <w:spacing w:after="0" w:line="96" w:lineRule="exact"/>
        <w:rPr>
          <w:rFonts w:ascii="Arial" w:cs="Arial" w:eastAsia="Arial" w:hAnsi="Arial"/>
          <w:sz w:val="13"/>
          <w:szCs w:val="13"/>
          <w:color w:val="auto"/>
        </w:rPr>
      </w:pPr>
    </w:p>
    <w:p>
      <w:pPr>
        <w:ind w:left="1080" w:firstLine="389"/>
        <w:spacing w:after="0" w:line="276" w:lineRule="auto"/>
        <w:tabs>
          <w:tab w:leader="none" w:pos="1649" w:val="left"/>
        </w:tabs>
        <w:numPr>
          <w:ilvl w:val="0"/>
          <w:numId w:val="16"/>
        </w:numPr>
        <w:rPr>
          <w:rFonts w:ascii="Arial" w:cs="Arial" w:eastAsia="Arial" w:hAnsi="Arial"/>
          <w:sz w:val="13"/>
          <w:szCs w:val="13"/>
          <w:color w:val="auto"/>
        </w:rPr>
      </w:pPr>
      <w:r>
        <w:rPr>
          <w:rFonts w:ascii="Arial" w:cs="Arial" w:eastAsia="Arial" w:hAnsi="Arial"/>
          <w:sz w:val="13"/>
          <w:szCs w:val="13"/>
          <w:color w:val="auto"/>
        </w:rPr>
        <w:t>mortgages on property or assets of, or on any shares of stock, ownership interests in or indebtedness of, any person existing at the time such person becomes our subsidiary (including a restricted subsidiary);</w:t>
      </w:r>
    </w:p>
    <w:p>
      <w:pPr>
        <w:spacing w:after="0" w:line="59" w:lineRule="exact"/>
        <w:rPr>
          <w:rFonts w:ascii="Arial" w:cs="Arial" w:eastAsia="Arial" w:hAnsi="Arial"/>
          <w:sz w:val="13"/>
          <w:szCs w:val="13"/>
          <w:color w:val="auto"/>
        </w:rPr>
      </w:pPr>
    </w:p>
    <w:p>
      <w:pPr>
        <w:ind w:left="1080" w:right="40" w:firstLine="389"/>
        <w:spacing w:after="0" w:line="289" w:lineRule="auto"/>
        <w:tabs>
          <w:tab w:leader="none" w:pos="1649" w:val="left"/>
        </w:tabs>
        <w:numPr>
          <w:ilvl w:val="0"/>
          <w:numId w:val="16"/>
        </w:numPr>
        <w:rPr>
          <w:rFonts w:ascii="Arial" w:cs="Arial" w:eastAsia="Arial" w:hAnsi="Arial"/>
          <w:sz w:val="12"/>
          <w:szCs w:val="12"/>
          <w:color w:val="auto"/>
        </w:rPr>
      </w:pPr>
      <w:r>
        <w:rPr>
          <w:rFonts w:ascii="Arial" w:cs="Arial" w:eastAsia="Arial" w:hAnsi="Arial"/>
          <w:sz w:val="12"/>
          <w:szCs w:val="12"/>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52" w:lineRule="exact"/>
        <w:rPr>
          <w:rFonts w:ascii="Arial" w:cs="Arial" w:eastAsia="Arial" w:hAnsi="Arial"/>
          <w:sz w:val="12"/>
          <w:szCs w:val="12"/>
          <w:color w:val="auto"/>
        </w:rPr>
      </w:pPr>
    </w:p>
    <w:p>
      <w:pPr>
        <w:ind w:left="1660" w:hanging="191"/>
        <w:spacing w:after="0"/>
        <w:tabs>
          <w:tab w:leader="none" w:pos="1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mortgages in favor of us or any of our subsidiaries;</w:t>
      </w:r>
    </w:p>
    <w:p>
      <w:pPr>
        <w:spacing w:after="0" w:line="96" w:lineRule="exact"/>
        <w:rPr>
          <w:rFonts w:ascii="Arial" w:cs="Arial" w:eastAsia="Arial" w:hAnsi="Arial"/>
          <w:sz w:val="13"/>
          <w:szCs w:val="13"/>
          <w:color w:val="auto"/>
        </w:rPr>
      </w:pPr>
    </w:p>
    <w:p>
      <w:pPr>
        <w:ind w:left="1080" w:right="80" w:firstLine="389"/>
        <w:spacing w:after="0" w:line="264" w:lineRule="auto"/>
        <w:tabs>
          <w:tab w:leader="none" w:pos="1649"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mortgage of any of our property or assets or any property or assets of any of our restricted subsidiaries in favor of the United States of America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66" w:lineRule="exact"/>
        <w:rPr>
          <w:rFonts w:ascii="Arial" w:cs="Arial" w:eastAsia="Arial" w:hAnsi="Arial"/>
          <w:sz w:val="13"/>
          <w:szCs w:val="13"/>
          <w:color w:val="auto"/>
        </w:rPr>
      </w:pPr>
    </w:p>
    <w:p>
      <w:pPr>
        <w:ind w:left="1660" w:hanging="191"/>
        <w:spacing w:after="0"/>
        <w:tabs>
          <w:tab w:leader="none" w:pos="1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mortgage of any property or assets to secure indebtedness of the pollution control, industrial revenue or other revenue bond type;</w:t>
      </w:r>
    </w:p>
    <w:p>
      <w:pPr>
        <w:spacing w:after="0" w:line="96" w:lineRule="exact"/>
        <w:rPr>
          <w:rFonts w:ascii="Arial" w:cs="Arial" w:eastAsia="Arial" w:hAnsi="Arial"/>
          <w:sz w:val="13"/>
          <w:szCs w:val="13"/>
          <w:color w:val="auto"/>
        </w:rPr>
      </w:pPr>
    </w:p>
    <w:p>
      <w:pPr>
        <w:ind w:left="1080" w:right="140" w:firstLine="389"/>
        <w:spacing w:after="0" w:line="264" w:lineRule="auto"/>
        <w:tabs>
          <w:tab w:leader="none" w:pos="1649" w:val="left"/>
        </w:tabs>
        <w:numPr>
          <w:ilvl w:val="0"/>
          <w:numId w:val="16"/>
        </w:numPr>
        <w:rPr>
          <w:rFonts w:ascii="Arial" w:cs="Arial" w:eastAsia="Arial" w:hAnsi="Arial"/>
          <w:sz w:val="13"/>
          <w:szCs w:val="13"/>
          <w:color w:val="auto"/>
        </w:rPr>
      </w:pPr>
      <w:r>
        <w:rPr>
          <w:rFonts w:ascii="Arial" w:cs="Arial" w:eastAsia="Arial" w:hAnsi="Arial"/>
          <w:sz w:val="13"/>
          <w:szCs w:val="13"/>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66" w:lineRule="exact"/>
        <w:rPr>
          <w:rFonts w:ascii="Arial" w:cs="Arial" w:eastAsia="Arial" w:hAnsi="Arial"/>
          <w:sz w:val="13"/>
          <w:szCs w:val="13"/>
          <w:color w:val="auto"/>
        </w:rPr>
      </w:pPr>
    </w:p>
    <w:p>
      <w:pPr>
        <w:ind w:left="1080" w:right="20" w:firstLine="389"/>
        <w:spacing w:after="0" w:line="276" w:lineRule="auto"/>
        <w:tabs>
          <w:tab w:leader="none" w:pos="1649" w:val="left"/>
        </w:tabs>
        <w:numPr>
          <w:ilvl w:val="0"/>
          <w:numId w:val="16"/>
        </w:numPr>
        <w:rPr>
          <w:rFonts w:ascii="Arial" w:cs="Arial" w:eastAsia="Arial" w:hAnsi="Arial"/>
          <w:sz w:val="13"/>
          <w:szCs w:val="13"/>
          <w:color w:val="auto"/>
        </w:rPr>
      </w:pPr>
      <w:r>
        <w:rPr>
          <w:rFonts w:ascii="Arial" w:cs="Arial" w:eastAsia="Arial" w:hAnsi="Arial"/>
          <w:sz w:val="13"/>
          <w:szCs w:val="13"/>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59" w:lineRule="exact"/>
        <w:rPr>
          <w:rFonts w:ascii="Arial" w:cs="Arial" w:eastAsia="Arial" w:hAnsi="Arial"/>
          <w:sz w:val="13"/>
          <w:szCs w:val="13"/>
          <w:color w:val="auto"/>
        </w:rPr>
      </w:pPr>
    </w:p>
    <w:p>
      <w:pPr>
        <w:ind w:left="1660" w:hanging="191"/>
        <w:spacing w:after="0"/>
        <w:tabs>
          <w:tab w:leader="none" w:pos="1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mortgages created in connection with the acquisition of property or assets, or a project financed with, non-recourse debt; and</w:t>
      </w:r>
    </w:p>
    <w:p>
      <w:pPr>
        <w:spacing w:after="0" w:line="96" w:lineRule="exact"/>
        <w:rPr>
          <w:rFonts w:ascii="Arial" w:cs="Arial" w:eastAsia="Arial" w:hAnsi="Arial"/>
          <w:sz w:val="13"/>
          <w:szCs w:val="13"/>
          <w:color w:val="auto"/>
        </w:rPr>
      </w:pPr>
    </w:p>
    <w:p>
      <w:pPr>
        <w:ind w:left="1080" w:right="60" w:firstLine="389"/>
        <w:spacing w:after="0" w:line="264" w:lineRule="auto"/>
        <w:tabs>
          <w:tab w:leader="none" w:pos="1714" w:val="left"/>
        </w:tabs>
        <w:numPr>
          <w:ilvl w:val="0"/>
          <w:numId w:val="16"/>
        </w:numPr>
        <w:rPr>
          <w:rFonts w:ascii="Arial" w:cs="Arial" w:eastAsia="Arial" w:hAnsi="Arial"/>
          <w:sz w:val="13"/>
          <w:szCs w:val="13"/>
          <w:color w:val="auto"/>
        </w:rPr>
      </w:pPr>
      <w:r>
        <w:rPr>
          <w:rFonts w:ascii="Arial" w:cs="Arial" w:eastAsia="Arial" w:hAnsi="Arial"/>
          <w:sz w:val="13"/>
          <w:szCs w:val="13"/>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foregoing covenant and certain other provisions of the indenture use the following defined terms.</w:t>
      </w:r>
    </w:p>
    <w:p>
      <w:pPr>
        <w:spacing w:after="0" w:line="96" w:lineRule="exact"/>
        <w:rPr>
          <w:sz w:val="20"/>
          <w:szCs w:val="20"/>
          <w:color w:val="auto"/>
        </w:rPr>
      </w:pPr>
    </w:p>
    <w:p>
      <w:pPr>
        <w:jc w:val="both"/>
        <w:ind w:left="680" w:right="120" w:firstLine="399"/>
        <w:spacing w:after="0" w:line="289" w:lineRule="auto"/>
        <w:rPr>
          <w:sz w:val="20"/>
          <w:szCs w:val="20"/>
          <w:color w:val="auto"/>
        </w:rPr>
      </w:pPr>
      <w:r>
        <w:rPr>
          <w:rFonts w:ascii="Arial" w:cs="Arial" w:eastAsia="Arial" w:hAnsi="Arial"/>
          <w:sz w:val="12"/>
          <w:szCs w:val="12"/>
          <w:i w:val="1"/>
          <w:iCs w:val="1"/>
          <w:color w:val="auto"/>
        </w:rPr>
        <w:t xml:space="preserve">“capital stock” </w:t>
      </w:r>
      <w:r>
        <w:rPr>
          <w:rFonts w:ascii="Arial" w:cs="Arial" w:eastAsia="Arial" w:hAnsi="Arial"/>
          <w:sz w:val="12"/>
          <w:szCs w:val="12"/>
          <w:color w:val="auto"/>
        </w:rPr>
        <w:t>means (a) in the case of a corporation, corporate stock; (b) in the case of an association or business entity, any and all shares, interests, participations, rights or other</w:t>
      </w:r>
      <w:r>
        <w:rPr>
          <w:rFonts w:ascii="Arial" w:cs="Arial" w:eastAsia="Arial" w:hAnsi="Arial"/>
          <w:sz w:val="12"/>
          <w:szCs w:val="12"/>
          <w:i w:val="1"/>
          <w:iCs w:val="1"/>
          <w:color w:val="auto"/>
        </w:rPr>
        <w:t xml:space="preserve"> </w:t>
      </w:r>
      <w:r>
        <w:rPr>
          <w:rFonts w:ascii="Arial" w:cs="Arial" w:eastAsia="Arial" w:hAnsi="Arial"/>
          <w:sz w:val="12"/>
          <w:szCs w:val="12"/>
          <w:color w:val="auto"/>
        </w:rPr>
        <w:t>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“consolidated net worth” </w:t>
      </w:r>
      <w:r>
        <w:rPr>
          <w:rFonts w:ascii="Arial" w:cs="Arial" w:eastAsia="Arial" w:hAnsi="Arial"/>
          <w:sz w:val="13"/>
          <w:szCs w:val="13"/>
          <w:color w:val="auto"/>
        </w:rPr>
        <w:t>means the amount of total stockholders’ equity shown in our most recent quarterly consolidated statement of financial position.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“mortgage” </w:t>
      </w:r>
      <w:r>
        <w:rPr>
          <w:rFonts w:ascii="Arial" w:cs="Arial" w:eastAsia="Arial" w:hAnsi="Arial"/>
          <w:sz w:val="13"/>
          <w:szCs w:val="13"/>
          <w:color w:val="auto"/>
        </w:rPr>
        <w:t>means and includes any mortgage, pledge, lien, security interest, conditional sale or other title retention agreement or other similar encumbrance.</w:t>
      </w:r>
    </w:p>
    <w:p>
      <w:pPr>
        <w:spacing w:after="0" w:line="96" w:lineRule="exact"/>
        <w:rPr>
          <w:sz w:val="20"/>
          <w:szCs w:val="20"/>
          <w:color w:val="auto"/>
        </w:rPr>
      </w:pPr>
    </w:p>
    <w:p>
      <w:pPr>
        <w:ind w:left="680" w:right="300" w:firstLine="399"/>
        <w:spacing w:after="0" w:line="371" w:lineRule="auto"/>
        <w:rPr>
          <w:sz w:val="20"/>
          <w:szCs w:val="20"/>
          <w:color w:val="auto"/>
        </w:rPr>
      </w:pPr>
      <w:r>
        <w:rPr>
          <w:rFonts w:ascii="Arial" w:cs="Arial" w:eastAsia="Arial" w:hAnsi="Arial"/>
          <w:sz w:val="11"/>
          <w:szCs w:val="11"/>
          <w:i w:val="1"/>
          <w:iCs w:val="1"/>
          <w:color w:val="auto"/>
        </w:rPr>
        <w:t xml:space="preserve">“non-recourse debt” </w:t>
      </w:r>
      <w:r>
        <w:rPr>
          <w:rFonts w:ascii="Arial" w:cs="Arial" w:eastAsia="Arial" w:hAnsi="Arial"/>
          <w:sz w:val="11"/>
          <w:szCs w:val="11"/>
          <w:color w:val="auto"/>
        </w:rPr>
        <w:t>means indebtedness as to which (a) neither we nor any of our subsidiaries (x) provides credit support of any kind or (y) is directly or indirectly liable as a</w:t>
      </w:r>
      <w:r>
        <w:rPr>
          <w:rFonts w:ascii="Arial" w:cs="Arial" w:eastAsia="Arial" w:hAnsi="Arial"/>
          <w:sz w:val="11"/>
          <w:szCs w:val="11"/>
          <w:i w:val="1"/>
          <w:iCs w:val="1"/>
          <w:color w:val="auto"/>
        </w:rPr>
        <w:t xml:space="preserve"> </w:t>
      </w:r>
      <w:r>
        <w:rPr>
          <w:rFonts w:ascii="Arial" w:cs="Arial" w:eastAsia="Arial" w:hAnsi="Arial"/>
          <w:sz w:val="11"/>
          <w:szCs w:val="11"/>
          <w:color w:val="auto"/>
        </w:rPr>
        <w:t>guarantor or otherwise and (b) as to which the lenders have been notified in writing that they will not have any recourse to the stock or assets of Schlumberger or any of its subsidiaries.</w:t>
      </w:r>
    </w:p>
    <w:p>
      <w:pPr>
        <w:spacing w:after="0" w:line="1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“person” </w:t>
      </w:r>
      <w:r>
        <w:rPr>
          <w:rFonts w:ascii="Arial" w:cs="Arial" w:eastAsia="Arial" w:hAnsi="Arial"/>
          <w:sz w:val="13"/>
          <w:szCs w:val="13"/>
          <w:color w:val="auto"/>
        </w:rPr>
        <w:t>means any individual, corporation, partnership, limited liability company, association, joint venture, trust, joint stock company or any other entity or organization, including</w:t>
      </w:r>
      <w:r>
        <w:rPr>
          <w:rFonts w:ascii="Arial" w:cs="Arial" w:eastAsia="Arial" w:hAnsi="Arial"/>
          <w:sz w:val="13"/>
          <w:szCs w:val="13"/>
          <w:i w:val="1"/>
          <w:iCs w:val="1"/>
          <w:color w:val="auto"/>
        </w:rPr>
        <w:t xml:space="preserve"> </w:t>
      </w:r>
      <w:r>
        <w:rPr>
          <w:rFonts w:ascii="Arial" w:cs="Arial" w:eastAsia="Arial" w:hAnsi="Arial"/>
          <w:sz w:val="13"/>
          <w:szCs w:val="13"/>
          <w:color w:val="auto"/>
        </w:rPr>
        <w:t>a government or political subdivision or an agency or instrumentality thereof.</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“restricted property” </w:t>
      </w:r>
      <w:r>
        <w:rPr>
          <w:rFonts w:ascii="Arial" w:cs="Arial" w:eastAsia="Arial" w:hAnsi="Arial"/>
          <w:sz w:val="13"/>
          <w:szCs w:val="13"/>
          <w:color w:val="auto"/>
        </w:rPr>
        <w:t>means any real property, manufacturing plant, warehouse, office building or other physical facility, or any item of marine, transportation or construction</w:t>
      </w:r>
      <w:r>
        <w:rPr>
          <w:rFonts w:ascii="Arial" w:cs="Arial" w:eastAsia="Arial" w:hAnsi="Arial"/>
          <w:sz w:val="13"/>
          <w:szCs w:val="13"/>
          <w:i w:val="1"/>
          <w:iCs w:val="1"/>
          <w:color w:val="auto"/>
        </w:rPr>
        <w:t xml:space="preserve"> </w:t>
      </w:r>
      <w:r>
        <w:rPr>
          <w:rFonts w:ascii="Arial" w:cs="Arial" w:eastAsia="Arial" w:hAnsi="Arial"/>
          <w:sz w:val="13"/>
          <w:szCs w:val="13"/>
          <w:color w:val="auto"/>
        </w:rPr>
        <w:t>equipment or other like depreciable assets of Schlumberger or any of its restricted subsidiaries, whether owned on or acquired after the original issue date of the debt securities, unless, in the opinion of our board of directors, such plant or facility or other asset is not of material importance to the total business conducted by Schlumberger and its restricted subsidiaries taken as a whole.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“restricted subsidiary” </w:t>
      </w:r>
      <w:r>
        <w:rPr>
          <w:rFonts w:ascii="Arial" w:cs="Arial" w:eastAsia="Arial" w:hAnsi="Arial"/>
          <w:sz w:val="13"/>
          <w:szCs w:val="13"/>
          <w:color w:val="auto"/>
        </w:rPr>
        <w:t>means any of our subsidiaries which owns a restricted property.</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i w:val="1"/>
          <w:iCs w:val="1"/>
          <w:color w:val="auto"/>
        </w:rPr>
        <w:t xml:space="preserve">“subsidiary” </w:t>
      </w:r>
      <w:r>
        <w:rPr>
          <w:rFonts w:ascii="Arial" w:cs="Arial" w:eastAsia="Arial" w:hAnsi="Arial"/>
          <w:sz w:val="12"/>
          <w:szCs w:val="12"/>
          <w:color w:val="auto"/>
        </w:rPr>
        <w:t>means, with respect to any specified person, (a) any corporation, association or other business entity of which more than 50% of the total voting power of shares of</w:t>
      </w:r>
      <w:r>
        <w:rPr>
          <w:rFonts w:ascii="Arial" w:cs="Arial" w:eastAsia="Arial" w:hAnsi="Arial"/>
          <w:sz w:val="12"/>
          <w:szCs w:val="12"/>
          <w:i w:val="1"/>
          <w:iCs w:val="1"/>
          <w:color w:val="auto"/>
        </w:rPr>
        <w:t xml:space="preserve"> </w:t>
      </w:r>
      <w:r>
        <w:rPr>
          <w:rFonts w:ascii="Arial" w:cs="Arial" w:eastAsia="Arial" w:hAnsi="Arial"/>
          <w:sz w:val="12"/>
          <w:szCs w:val="12"/>
          <w:color w:val="auto"/>
        </w:rPr>
        <w:t>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Consolidation, Merger or Sale</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will covenant not to consolidate with or merge into any other person or transfer or lease all or substantially all of our assets to any person unless any successor or purchaser expressly assumes its obligations under the debt securities by an indenture supplemental to the indenture,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Modification and Waiver</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Except as provided in the next two succeeding paragraphs, the indenture or the debt securities of any series may be amended or supplemented, and waivers may be obtained, with the consent of the holders of at least a majority in aggregate principal amount of the debt securities of each series at the time outstanding that is affected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such indenture or the applicable debt securities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may be waived with the consent of the holders of at least a majority in aggregate principal amount of the debt securities of each series at the time outstanding that is affected (including, without limitation, additional debt securities of such series, if any) voting as a single class (including, without limitation, consents obtained in connection with a purchase of, or tender offer or exchange offer for, such series). Without the consent of each holder of outstanding debt securities affected thereby, an amendment, supplement or waiver may not (with respect to any debt securities held by a non-consenting holder):</w:t>
      </w:r>
    </w:p>
    <w:p>
      <w:pPr>
        <w:spacing w:after="0" w:line="70"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reduce the amount of debt securities whose holders must consent to an amendment, supplement or waiver;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reduce the rate of or change the time for payment of interest on the debt securities;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reduce the principal or change the stated maturity of any debt securities of any series;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reduce any premium payable on the redemption of any debt security or change the time at which any debt security may or must be redeemed;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 any obligation to pay Additional Amounts on the debt securities;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make payments on any debt security payable in currency other than as originally stated in such debt security;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impair the holder’s right to institute suit for the enforcement of any payment on any debt security;</w:t>
      </w:r>
    </w:p>
    <w:p>
      <w:pPr>
        <w:spacing w:after="0" w:line="86" w:lineRule="exact"/>
        <w:rPr>
          <w:rFonts w:ascii="Arial" w:cs="Arial" w:eastAsia="Arial" w:hAnsi="Arial"/>
          <w:sz w:val="13"/>
          <w:szCs w:val="13"/>
          <w:color w:val="auto"/>
        </w:rPr>
      </w:pPr>
    </w:p>
    <w:p>
      <w:pPr>
        <w:ind w:left="1280" w:right="26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make any change in the percentage of principal amount of the debt securities necessary to waive compliance with certain provisions of the indenture such debt securities were issued under or to make any change in this provision for modification; or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waive a continuing default or event of default regarding any payment on the debt securities.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Notwithstanding the preceding, without the consent of any holder of debt securities, we and the trustee may amend or supplement the indenture or the applicable debt securities in certain circumstances, including:</w:t>
      </w:r>
    </w:p>
    <w:p>
      <w:pPr>
        <w:spacing w:after="0" w:line="59" w:lineRule="exact"/>
        <w:rPr>
          <w:sz w:val="20"/>
          <w:szCs w:val="20"/>
          <w:color w:val="auto"/>
        </w:rPr>
      </w:pPr>
    </w:p>
    <w:p>
      <w:pPr>
        <w:ind w:left="1280" w:right="8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to cure any ambiguity, omission, defect or inconsistency or to provide for the assumption of our obligations under the indenture by a successor upon any merger, consolidation or asset transfer;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to provide for the assumption of our obligations under the indenture by a successor upon any merger, consolidation or asset transfer;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to provide for uncertificated debt securities in addition to or in place of certificated debt securities;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to provide any security for or guarantees of the debt securities or for the addition of an additional obligor on the debt securities;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to comply with any requirement to effect or maintain the qualification of the indenture under the Trust Indenture Act of 1939, as amended, if applicable;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to add covenants that would benefit the holders of any outstanding series of debt securities or to surrender any of our rights under the indenture;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to add additional Events of Default with respect to any series of debt securities;</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 xml:space="preserve">to change or eliminate any of the provisions of the indenture,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such change or elimination shall not become effective with respect to any outstanding debt security of any series created prior to the execution of such supplemental indenture which is entitled to the benefit of such provision;</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to provide for the issuance of and establish forms and terms and conditions of a new series of debt securities;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to permit or facilitate the defeasance and discharge of the debt securities;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 xml:space="preserve">to issue additional debt securities of any series;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additional debt securities have the same terms as, and be deemed part of the same series as, the applicable series of debt securities to the extent required under the indenture;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to make any change that does not adversely affect the rights of any holder of outstanding debt securities in any material respect; or</w:t>
      </w:r>
    </w:p>
    <w:p>
      <w:pPr>
        <w:spacing w:after="0" w:line="86" w:lineRule="exact"/>
        <w:rPr>
          <w:rFonts w:ascii="Arial" w:cs="Arial" w:eastAsia="Arial" w:hAnsi="Arial"/>
          <w:sz w:val="13"/>
          <w:szCs w:val="13"/>
          <w:color w:val="auto"/>
        </w:rPr>
      </w:pPr>
    </w:p>
    <w:p>
      <w:pPr>
        <w:ind w:left="1280" w:right="40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 by more than one trustee.</w:t>
      </w:r>
    </w:p>
    <w:p>
      <w:pPr>
        <w:spacing w:after="0" w:line="59"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The holders of a majority in principal amount of the debt securities of each series then outstanding that is affected, voting as a single class, may waive any existing or past default or event of default with respect to those debt securities. Those holders may not, however, waive any default or event of default in any payment on any debt security.</w:t>
      </w:r>
    </w:p>
    <w:p>
      <w:pPr>
        <w:spacing w:after="0" w:line="3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 supplemental indenture that changes or eliminates any covenant, Event of Default or other provision of the indenture that has been expressly included solely for the benefit of one or more particular series of securities, if any, or which modifies the rights of the holders of securities of such series with respect to such covenant, Event of Default or other provision, shall be deemed not to affect the rights under the indenture of the holders of securities of any other series. It will not be necessary for the consent of the holders to approve the particular form of any proposed supplement, amendment or waiver, but it shall be sufficient if such consent approves the substance of it.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Information Concerning the Trustee</w:t>
      </w:r>
    </w:p>
    <w:p>
      <w:pPr>
        <w:spacing w:after="0" w:line="10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If an Event of Default occurs and is continuing, the trustee will be required to use the degree of care and skill of a prudent man in the conduct of his own affairs. The trustee will become obligated to exercise any of its powers under the indenture at the request of any of the holders of any debt securities issued under the indenture only after those holders have furnished the trustee indemnity reasonably satisfactory to it.</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If the trustee becomes a creditor of ours, it will be subject to limitations in the indenture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 permitting it to remain as trustee.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Paying Agent, Registrar and Transfer Agent</w:t>
      </w:r>
    </w:p>
    <w:p>
      <w:pPr>
        <w:spacing w:after="0" w:line="100"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We will maintain one or more paying agents (each, a “Paying Agent”) for any debt securities we issue in the Borough of Manhattan, City of New York. We, upon written notice to the trustee accompanied by an officer’s certificate, may appoint one or more paying agents, other than the trustee, for all or any series of such debt securities. If we fail to appoint or maintain another entity as paying agent, the trustee shall act as such. We or any of our subsidiaries, upon notice to the trustee, may act as paying agent.</w:t>
      </w:r>
    </w:p>
    <w:p>
      <w:pPr>
        <w:spacing w:after="0" w:line="5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will also maintain one or more registrars (each, a “Registrar”) with an office in the Borough of Manhattan, City of New York. We, upon written notice to the trustee accompanied by an officer’s certificate, may appoint one or more registrars, other than the trustee, for all or any series of debt securities. If we fail to appoint or maintain another entity as registrar, the trustee shall act as such. We or any of our subsidiaries, upon notice to the trustee, may act as registrar.</w:t>
      </w:r>
    </w:p>
    <w:p>
      <w:pPr>
        <w:spacing w:after="0" w:line="67"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will also maintain a transfer agent with an office in the Borough of Manhattan, City of New York. Each transfer agent shall perform the functions of a transfer agent. We, upon written notice to the trustee accompanied by an officer’s certificate, may appoint one or more transfer agents, other than the trustee, for all or any series of debt securities. If we fail to appoint or maintain another entity as transfer agent, the trustee shall act as such. We or any of our subsidiaries, upon notice to the trustee, may act as transfer agent.</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Registrar will maintain a register reflecting ownership of debt securities outstanding from time to time and the Paying Agents will make payments on and facilitate transfer of debt securities on our behalf. We may change any Paying Agents, Registrars or transfer agents without prior notice to the holders of debt securities.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Governing Law</w:t>
      </w:r>
    </w:p>
    <w:p>
      <w:pPr>
        <w:spacing w:after="0" w:line="100"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The indenture and any debt securities issued thereunder shall be deemed to be a contract made under the internal laws of the State of New York, and for all purposes shall be construed in accordance with the laws of the State of New York without regard to conflicts of laws principles that would require the application of any other law. The indenture is subject to the provisions of the Trust Indenture Act that are required to be part of the indenture and shall, to the extent applicable, be governed by such provisions.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Satisfaction and Discharge of Indenture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indenture shall cease to be of further effect with respect to a series of debt securities when either:</w:t>
      </w:r>
    </w:p>
    <w:p>
      <w:pPr>
        <w:spacing w:after="0" w:line="96" w:lineRule="exact"/>
        <w:rPr>
          <w:sz w:val="20"/>
          <w:szCs w:val="20"/>
          <w:color w:val="auto"/>
        </w:rPr>
      </w:pPr>
    </w:p>
    <w:p>
      <w:pPr>
        <w:ind w:left="1280" w:right="30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have delivered to the trustee for cancellation all outstanding securities of such series, other than any securities that have been destroyed, lost or stolen and that have been replaced or paid as provided in the indenture;</w:t>
      </w:r>
    </w:p>
    <w:p>
      <w:pPr>
        <w:spacing w:after="0" w:line="49" w:lineRule="exact"/>
        <w:rPr>
          <w:rFonts w:ascii="Arial" w:cs="Arial" w:eastAsia="Arial" w:hAnsi="Arial"/>
          <w:sz w:val="13"/>
          <w:szCs w:val="13"/>
          <w:color w:val="auto"/>
        </w:rPr>
      </w:pPr>
    </w:p>
    <w:p>
      <w:pPr>
        <w:ind w:left="1280" w:right="100" w:hanging="190"/>
        <w:spacing w:after="0" w:line="260"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all outstanding securities of such series have become due and payable or are by their terms to become due and payable within one year or are to be called for redemption within one year under arrangements satisfactory to the trustee for the giving of notice of redemption, and we shall have irrevocably deposited with the trustee as trust funds the entire amount, in funds or governmental obligations, or a combination thereof, sufficient, in the opinion of a nationally recognized firm of independent public accountants, to pay at maturity or upon redemption all securities of such series; or</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have properly fulfilled any other means of satisfaction and discharge that may be set forth in the terms of the securities of such series.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each case, we will also pay all other sums payable by us under the indenture with respect to the securities of such series.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Defeasance</w:t>
      </w:r>
    </w:p>
    <w:p>
      <w:pPr>
        <w:spacing w:after="0" w:line="10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term defeasance means the discharge of some or all of our obligations under the indenture. If we deposit with the trustee funds or government securities sufficient to make payments on any series of debt securities on the dates those payments are due and payable, then, at our option, either of the following will occur:</w:t>
      </w:r>
    </w:p>
    <w:p>
      <w:pPr>
        <w:spacing w:after="0" w:line="59"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will be discharged from our obligations with respect to the debt securities of such series (“legal defeasance”); or</w:t>
      </w:r>
    </w:p>
    <w:p>
      <w:pPr>
        <w:spacing w:after="0" w:line="86" w:lineRule="exact"/>
        <w:rPr>
          <w:rFonts w:ascii="Arial" w:cs="Arial" w:eastAsia="Arial" w:hAnsi="Arial"/>
          <w:sz w:val="13"/>
          <w:szCs w:val="13"/>
          <w:color w:val="auto"/>
        </w:rPr>
      </w:pPr>
    </w:p>
    <w:p>
      <w:pPr>
        <w:ind w:left="1280" w:right="42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will no longer have any obligation to comply with the restrictive covenants under the indenture, and the related events of default will no longer apply to us (“covenant defeasance”).</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If we defease any series of debt securities, the holders of the defeased debt securities of such series will not be entitled to the benefits of the indenture under which such series was issued, except for our obligation to register the transfer or exchange of the debt securities of such series, replace stolen, lost or mutilated debt securities or maintain paying agencies and hold moneys for payment in trust. In the case of covenant defeasance, our obligation to pay principal, premium and interest on the debt securities of such series will also survive. We will be required to deliver to the trustee an opinion of counsel that the deposit and related defeasance would not cause the holders of the debt securities of such series to recognize income, gain or loss for federal income tax purposes. If we elect legal defeasance, that opinion of counsel must be based upon a ruling from the United States Internal Revenue Service or a change in law to that effect.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Book-Entry, Delivery and Form</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denominations of $1,000 or any integral multiple thereof and will be issued in registered form only, without coupons.</w:t>
      </w:r>
    </w:p>
    <w:p>
      <w:pPr>
        <w:spacing w:after="0" w:line="7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anticipate that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50"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Beneficial interests in the global securities will be represented through book-entry accounts of financial institutions acting on behalf of beneficial owners as direct or indirect participants in DTC.</w:t>
      </w:r>
    </w:p>
    <w:p>
      <w:pPr>
        <w:spacing w:after="0" w:line="59"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Investors may elect to hold their interests in the global securities through either DTC (in the United States) or (in Europe) through Clearstream or through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denominations of $1,000 and multiples of $1,000 in excess thereof. Except as set forth below, the global securities may be transferred, in whole and not in part, only to another nominee of DTC or to a successor of DTC or its nominee.</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Debt securities represented by a global security can be exchanged for definitive securities in registered form only if:</w:t>
      </w:r>
    </w:p>
    <w:p>
      <w:pPr>
        <w:spacing w:after="0" w:line="96" w:lineRule="exact"/>
        <w:rPr>
          <w:sz w:val="20"/>
          <w:szCs w:val="20"/>
          <w:color w:val="auto"/>
        </w:rPr>
      </w:pPr>
    </w:p>
    <w:p>
      <w:pPr>
        <w:ind w:left="1280" w:right="22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DTC notifies us that it is unwilling or unable to continue as depositary for that global security and we do not appoint a successor depositary within 90 days after receiving that notice;</w:t>
      </w:r>
    </w:p>
    <w:p>
      <w:pPr>
        <w:spacing w:after="0" w:line="49" w:lineRule="exact"/>
        <w:rPr>
          <w:rFonts w:ascii="Arial" w:cs="Arial" w:eastAsia="Arial" w:hAnsi="Arial"/>
          <w:sz w:val="13"/>
          <w:szCs w:val="13"/>
          <w:color w:val="auto"/>
        </w:rPr>
      </w:pPr>
    </w:p>
    <w:p>
      <w:pPr>
        <w:ind w:left="1280" w:right="180" w:hanging="190"/>
        <w:spacing w:after="0" w:line="320" w:lineRule="auto"/>
        <w:tabs>
          <w:tab w:leader="none" w:pos="12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at any time DTC ceases to be a clearing agency registered or in good standing under the Securities Exchange Act of 1934, as amended, or other applicable statute or regulation and we do not appoint a successor depositary within 90 days after becoming aware that DTC has ceased to be registered as a clearing agency; or</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determine that that global security will be exchangeable for definitive securities in registered form and notifies the trustee of its decision.</w:t>
      </w:r>
    </w:p>
    <w:p>
      <w:pPr>
        <w:spacing w:after="0" w:line="96"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35"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We will make principal and interest payments on all debt securities represented by a global security to the paying agent which in turn will make payment to DTC or its nominee, as the case may be, as the sole registered owner and the sole holder of the debt securities represented by a global security for all purposes under the indenture. Accordingly, we, the trustee and any paying agent will have no responsibility or liability for:</w:t>
      </w:r>
    </w:p>
    <w:p>
      <w:pPr>
        <w:spacing w:after="0" w:line="67" w:lineRule="exact"/>
        <w:rPr>
          <w:sz w:val="20"/>
          <w:szCs w:val="20"/>
          <w:color w:val="auto"/>
        </w:rPr>
      </w:pPr>
    </w:p>
    <w:p>
      <w:pPr>
        <w:ind w:left="5620" w:right="1080" w:hanging="4530"/>
        <w:spacing w:after="0" w:line="750" w:lineRule="auto"/>
        <w:tabs>
          <w:tab w:leader="none" w:pos="1295" w:val="left"/>
        </w:tabs>
        <w:numPr>
          <w:ilvl w:val="0"/>
          <w:numId w:val="23"/>
        </w:numPr>
        <w:rPr>
          <w:rFonts w:ascii="Arial" w:cs="Arial" w:eastAsia="Arial" w:hAnsi="Arial"/>
          <w:sz w:val="13"/>
          <w:szCs w:val="13"/>
          <w:color w:val="auto"/>
        </w:rPr>
      </w:pPr>
      <w:r>
        <w:rPr>
          <w:rFonts w:ascii="Arial" w:cs="Arial" w:eastAsia="Arial" w:hAnsi="Arial"/>
          <w:sz w:val="13"/>
          <w:szCs w:val="13"/>
          <w:color w:val="auto"/>
        </w:rPr>
        <w:t>any aspect of DTC’s records relating to, or payments made on account of, beneficial ownership interests in a debt security represented by a global security; or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6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DTC</w:t>
      </w:r>
    </w:p>
    <w:p>
      <w:pPr>
        <w:spacing w:after="0" w:line="96"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So long as DTC or its nominee is the registered owner of a global security, DTC or its nominee, as the case may be, will be considered the sole owner and holder of the debt securities represented by that global security for all purposes of the debt securities.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46" w:lineRule="exact"/>
        <w:rPr>
          <w:sz w:val="20"/>
          <w:szCs w:val="20"/>
          <w:color w:val="auto"/>
        </w:rPr>
      </w:pPr>
    </w:p>
    <w:p>
      <w:pPr>
        <w:jc w:val="both"/>
        <w:ind w:left="680" w:right="280" w:firstLine="399"/>
        <w:spacing w:after="0" w:line="334" w:lineRule="auto"/>
        <w:rPr>
          <w:sz w:val="20"/>
          <w:szCs w:val="20"/>
          <w:color w:val="auto"/>
        </w:rPr>
      </w:pPr>
      <w:r>
        <w:rPr>
          <w:rFonts w:ascii="Arial" w:cs="Arial" w:eastAsia="Arial" w:hAnsi="Arial"/>
          <w:sz w:val="11"/>
          <w:szCs w:val="11"/>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3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67"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clear through or maintain a custodial relationship with a participant, either directly or indirectly. The rules applicable to DTC and its participants are on file with the SEC.</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information in this section concerning DTC and DTC’s book-entry system has been obtained from sources that we believe to be reliable, but we take no responsibility for the accuracy thereof.</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Clearstream</w:t>
      </w:r>
    </w:p>
    <w:p>
      <w:pPr>
        <w:spacing w:after="0" w:line="96"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74"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Euroclear</w:t>
      </w:r>
    </w:p>
    <w:p>
      <w:pPr>
        <w:spacing w:after="0" w:line="96"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Euroclear Operator advises us that it is regulated and examined by the Belgian banking and Finance Commission and the National Bank of Belgium.</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Global Clearance and Settlement Procedures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7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73"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72"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Neither we nor any paying agent will have any responsibility for the performance by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DTC, Euroclear or Clearstream or their respective direct or indirect participants of their obligations under the rules and procedures governing their operations.</w:t>
      </w:r>
    </w:p>
    <w:p>
      <w:pPr>
        <w:spacing w:after="0" w:line="25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DESCRIPTION OF COMMON STOCK</w:t>
      </w:r>
    </w:p>
    <w:p>
      <w:pPr>
        <w:spacing w:after="0" w:line="100"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The following description of our share capital is a summary. This summary is not complete and is subject to the complete text of our articles of incorporation and amended and restated bylaws, each as amended to date. Our articles of incorporation and amended and restated bylaws, each as amended, are incorporated by reference as exhibits to the registration statement of which this prospectus forms a part.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Available, Issued and Treasury Shares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may issue an aggregate of 4,500,000,000 shares of common stock, par value $0.01 per share. As of March 30, 2011, 1,434,212,164 shares of common stock were issued, of which 1,356,940,119 shares were outstanding and 77,272,045 shares were held by us as treasury stock.</w:t>
      </w:r>
    </w:p>
    <w:p>
      <w:pPr>
        <w:spacing w:after="0" w:line="59"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We may also issue an aggregate of 200,000,000 shares of preferred stock, par value $0.01 per share, which may be issued in one or more separate series. Under our articles of incorporation, the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other securities, and (6) may contain optional or mandatory redemption provisions. No shares of preferred stock have been issued as of the date of this prospectus.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 Rights</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All outstanding shares of common stock (i.e., shares not held by us)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the common stock. The amount of dividends payable with respect to any fiscal year is determined by Schlumberger stockholders at the annual general meeting following such fiscal year, except that our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our “equity” (i.e., our net asset value) at least equals the nominal capital (i.e., the aggregate par value of our outstanding shares) and as a result of the distribution will not fall below the nominal capital.</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Rights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i w:val="1"/>
          <w:iCs w:val="1"/>
          <w:color w:val="auto"/>
        </w:rPr>
        <w:t xml:space="preserve">Entitlement to Vote. </w:t>
      </w:r>
      <w:r>
        <w:rPr>
          <w:rFonts w:ascii="Arial" w:cs="Arial" w:eastAsia="Arial" w:hAnsi="Arial"/>
          <w:sz w:val="11"/>
          <w:szCs w:val="11"/>
          <w:color w:val="auto"/>
        </w:rPr>
        <w:t>Each holder of common stock and each holder of preferred stock (if issued and outstanding) is entitled to one vote for each share registered in that holder’s name.</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Voting rights may be exercised in person or by proxy.</w:t>
      </w:r>
    </w:p>
    <w:p>
      <w:pPr>
        <w:spacing w:after="0" w:line="89"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i w:val="1"/>
          <w:iCs w:val="1"/>
          <w:color w:val="auto"/>
        </w:rPr>
        <w:t xml:space="preserve">Quorum. </w:t>
      </w:r>
      <w:r>
        <w:rPr>
          <w:rFonts w:ascii="Arial" w:cs="Arial" w:eastAsia="Arial" w:hAnsi="Arial"/>
          <w:sz w:val="13"/>
          <w:szCs w:val="13"/>
          <w:color w:val="auto"/>
        </w:rPr>
        <w:t>No action may be taken at any general meeting of Schlumberger stockholders unless a quorum consisting of the holders of at least one-half of the outstanding shares</w:t>
      </w:r>
      <w:r>
        <w:rPr>
          <w:rFonts w:ascii="Arial" w:cs="Arial" w:eastAsia="Arial" w:hAnsi="Arial"/>
          <w:sz w:val="13"/>
          <w:szCs w:val="13"/>
          <w:i w:val="1"/>
          <w:iCs w:val="1"/>
          <w:color w:val="auto"/>
        </w:rPr>
        <w:t xml:space="preserve"> </w:t>
      </w:r>
      <w:r>
        <w:rPr>
          <w:rFonts w:ascii="Arial" w:cs="Arial" w:eastAsia="Arial" w:hAnsi="Arial"/>
          <w:sz w:val="13"/>
          <w:szCs w:val="13"/>
          <w:color w:val="auto"/>
        </w:rPr>
        <w:t>entitling the holders thereof to vote at such meeting are present at such meeting in person or by proxy. If a quorum is not present in person or by proxy at any general meeting of Schlumberger stockholders, a second general meeting will be called in the same manner as the original meeting of stockholders, to be held within two months, at which second meeting, regardless of the number of shares represented (subject to certain limitations in the event of a disposition of our assets or our liquidation or the amendment of our articles of incorporation), valid resolutions may be adopted with respect to any matter stated in the notice of the original meeting and also in the notice of the second meeting or which by law is required to be brought before Schlumberger stockholders despite the absence of a quorum.</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i w:val="1"/>
          <w:iCs w:val="1"/>
          <w:color w:val="auto"/>
        </w:rPr>
        <w:t xml:space="preserve">Required Vote. </w:t>
      </w:r>
      <w:r>
        <w:rPr>
          <w:rFonts w:ascii="Arial" w:cs="Arial" w:eastAsia="Arial" w:hAnsi="Arial"/>
          <w:sz w:val="13"/>
          <w:szCs w:val="13"/>
          <w:color w:val="auto"/>
        </w:rPr>
        <w:t>In general, any action requiring the approval of Schlumberger stockholders may be authorized by a majority of the votes cast (excluding any abstentions) at any</w:t>
      </w:r>
      <w:r>
        <w:rPr>
          <w:rFonts w:ascii="Arial" w:cs="Arial" w:eastAsia="Arial" w:hAnsi="Arial"/>
          <w:sz w:val="13"/>
          <w:szCs w:val="13"/>
          <w:i w:val="1"/>
          <w:iCs w:val="1"/>
          <w:color w:val="auto"/>
        </w:rPr>
        <w:t xml:space="preserve"> </w:t>
      </w:r>
      <w:r>
        <w:rPr>
          <w:rFonts w:ascii="Arial" w:cs="Arial" w:eastAsia="Arial" w:hAnsi="Arial"/>
          <w:sz w:val="13"/>
          <w:szCs w:val="13"/>
          <w:color w:val="auto"/>
        </w:rPr>
        <w:t>meeting at which a quorum is present (subject to the quorum exception described above).</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No action to amend our articles of incorporation or to dissolve us can be taken, however, unless such action is approved by the holders of at least a majority of the shares outstanding and entitled to vote. In addition, holders of preferred stock (if issued and outstanding) would have additional rights to vote as a class on certain amendments to our articles of incorporation that would adversely affect the preferred stock.</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sale or disposition of all or substantially all of our assets must be approved by the holders of at least a majority of the shares outstanding and entitled to vote, except that under our articles of incorporation this requirement does not apply to a reorganization or rearrangement of us or any of our subsidiaries or any of our assets in any transaction that does not result in any diminution of the beneficial interest of Schlumberger stockholders in our assets.</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Under our articles of incorporation, our board of directors may move our corporate seat to, or convert us into a legal entity under the laws of, another jurisdiction, and may change our corporate domicile from Curaçao to another jurisdiction to the extent allowed by applicable law. In certain cases, stockholder approval of such action may not be required under applicable law.</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Preemptive and Other Rights</w:t>
      </w:r>
    </w:p>
    <w:p>
      <w:pPr>
        <w:spacing w:after="0" w:line="100"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The shares of common stock do not carry any preferential,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The board of directors may grant contract rights to acquire shares of our capital stock.</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Repurchases of Common Stock</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may for our own account purchase shares of common stock so long as one share of common stock remains outstanding and our equity before and after such a purchase at least equals its nominal capital.</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Election and Removal of Directors</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Directors are elected at a general meeting of stockholders by a majority of votes cast by stockholders entitled to vote. The number of directors constituting the whole board of directors may not be less than five nor more than 24, as fixed and elected by the general meeting of Schlumberger stockholders. Our board of directors is authorized to appoint directors to fill vacancies on the board of directors, which appointment will be effective until the next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Stockholder Meetings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accordance with applicable law, all general meetings of Schlumberger stockholders must be held in Curaçao. The annual general meeting of Schlumberger stockholders is held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Schlumberger stockholders may be called at any time upon the direction of the Chairman, the Vice Chairman, the Chief Executive Officer, the President or the board of directors. Special general meetings of stockholders may also be called by one or more Schlumberger stockholders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spacing w:after="0" w:line="276" w:lineRule="auto"/>
        <w:rPr>
          <w:sz w:val="20"/>
          <w:szCs w:val="20"/>
          <w:color w:val="auto"/>
        </w:rPr>
      </w:pPr>
      <w:r>
        <w:rPr>
          <w:rFonts w:ascii="Arial" w:cs="Arial" w:eastAsia="Arial" w:hAnsi="Arial"/>
          <w:sz w:val="13"/>
          <w:szCs w:val="13"/>
          <w:color w:val="auto"/>
        </w:rPr>
        <w:t>prevented from or incapable of serving, by any person or persons holding in the aggregate at least 5% of the outstanding shares of common stock for the purpose of electing a board of directors.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Stockholder Action by Written Consent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Under Curaçao law, stockholders may not act by written consent without a meeting, unless all stockholders entitled to vote on the matter have cast a vote.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Buy-Out</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Under our articles of incorporation, any one person, or any two or more legal entities belonging to the same group, holding shares representing at least 90% of our equity can require the remaining stockholders to transfer their shares as provided by and in accordance with the provisions of Curaçao law. This provision is somewhat similar to statutes that exist in Delaware and most U.S. states, which typically allow the owner or owners of 90% of a company’s outstanding equity to effect a “short-form” merger. In order to effect a compulsory share transfer, the owner or owners of 90% of our outstanding equity would have to institute an action in a Curaçao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Rights Upon Liquidation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event of liquidation, each share of common stock is entitled to equal rights after satisfaction of any preferred stock liquidation preference.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Listing, Transfer Agent and Registrar</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Our common stock is listed for trading on the NYSE, Euronext Paris, Euronext Amsterdam, the London Stock Exchange and the SIX Swiss Exchange. The transfer agent and registrar for our common stock is Computershare Trust Company, N.A., Canton, Massachusetts.</w:t>
      </w:r>
    </w:p>
    <w:p>
      <w:pPr>
        <w:spacing w:after="0" w:line="21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DESCRIPTION OF GUARANTEES OF DEBT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will set forth in the applicable prospectus supplement a description of any guarantees of debt securities that may be offered pursuant to this prospectus.</w:t>
      </w:r>
    </w:p>
    <w:p>
      <w:pPr>
        <w:spacing w:after="0" w:line="250" w:lineRule="exact"/>
        <w:rPr>
          <w:sz w:val="20"/>
          <w:szCs w:val="20"/>
          <w:color w:val="auto"/>
        </w:rPr>
      </w:pPr>
    </w:p>
    <w:p>
      <w:pPr>
        <w:ind w:left="4900"/>
        <w:spacing w:after="0"/>
        <w:rPr>
          <w:sz w:val="20"/>
          <w:szCs w:val="20"/>
          <w:color w:val="auto"/>
        </w:rPr>
      </w:pPr>
      <w:r>
        <w:rPr>
          <w:rFonts w:ascii="Arial" w:cs="Arial" w:eastAsia="Arial" w:hAnsi="Arial"/>
          <w:sz w:val="13"/>
          <w:szCs w:val="13"/>
          <w:b w:val="1"/>
          <w:bCs w:val="1"/>
          <w:color w:val="auto"/>
        </w:rPr>
        <w:t>PLAN OF DISTRIBUTION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may sell the securities offered pursuant to this prospectus in any of the following ways:</w:t>
      </w:r>
    </w:p>
    <w:p>
      <w:pPr>
        <w:spacing w:after="0" w:line="96"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directly to one or more purchasers;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through agents;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through underwriters, brokers or dealers;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through a combination of any of these methods of sale.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will identify the specific plan of distribution, including any underwriters, brokers, dealers, agents or direct purchasers and their compensation in a prospectus supplement.</w:t>
      </w:r>
    </w:p>
    <w:p>
      <w:pPr>
        <w:spacing w:after="0" w:line="108"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addition, to the extent this prospectus is used by any selling securityholder to resell common stock or other securities, information with respect to the selling securityholder and the plan of distribution will be contained in a supplement to this prospectus, in a post-effective amendment or in filings we make with the SEC under the Exchange Act that are incorporated by reference.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2010 have been so incorporated in reliance on the report of PricewaterhouseCoopers LLP, an independent registered public accounting firm, given on the authority of said firm as experts in auditing and accounting.</w:t>
      </w:r>
    </w:p>
    <w:p>
      <w:pPr>
        <w:spacing w:after="0" w:line="20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VALIDITY OF THE SECURITIES</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Gibson, Dunn &amp; Crutcher LLP, New York, New York, will pass upon the validity of the debt securities, and Alexander C. Juden, Esq., our General Counsel, will pass upon the validity of the common stock.</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3800"/>
        <w:spacing w:after="0"/>
        <w:rPr>
          <w:sz w:val="20"/>
          <w:szCs w:val="20"/>
          <w:color w:val="auto"/>
        </w:rPr>
      </w:pPr>
      <w:r>
        <w:rPr>
          <w:rFonts w:ascii="Arial" w:cs="Arial" w:eastAsia="Arial" w:hAnsi="Arial"/>
          <w:sz w:val="13"/>
          <w:szCs w:val="13"/>
          <w:b w:val="1"/>
          <w:bCs w:val="1"/>
          <w:color w:val="auto"/>
        </w:rPr>
        <w:t>PART II — INFORMATION NOT REQUIRED IN PROSPECTUS</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following table sets forth the estimated expenses, other than underwriting discounts and commissions, to be paid by Schlumberger in connection with the offering of the securities registered hereby. The assumed amount has been used to demonstrate the expenses of an offering and does not represent an estimate of the amount of securities that may be registered or distributed because such amount is unknown at this time. All amounts shown are estimates, except the registration fee.</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9480" w:type="dxa"/>
            <w:vAlign w:val="bottom"/>
            <w:gridSpan w:val="3"/>
          </w:tcPr>
          <w:p>
            <w:pPr>
              <w:spacing w:after="0"/>
              <w:rPr>
                <w:sz w:val="20"/>
                <w:szCs w:val="20"/>
                <w:color w:val="auto"/>
              </w:rPr>
            </w:pPr>
            <w:r>
              <w:rPr>
                <w:rFonts w:ascii="Arial" w:cs="Arial" w:eastAsia="Arial" w:hAnsi="Arial"/>
                <w:sz w:val="10"/>
                <w:szCs w:val="10"/>
                <w:b w:val="1"/>
                <w:bCs w:val="1"/>
                <w:color w:val="auto"/>
              </w:rPr>
              <w:t>Item</w:t>
            </w:r>
          </w:p>
        </w:tc>
        <w:tc>
          <w:tcPr>
            <w:tcW w:w="500" w:type="dxa"/>
            <w:vAlign w:val="bottom"/>
          </w:tcPr>
          <w:p>
            <w:pPr>
              <w:jc w:val="right"/>
              <w:spacing w:after="0"/>
              <w:rPr>
                <w:sz w:val="20"/>
                <w:szCs w:val="20"/>
                <w:color w:val="auto"/>
              </w:rPr>
            </w:pPr>
            <w:r>
              <w:rPr>
                <w:rFonts w:ascii="Arial" w:cs="Arial" w:eastAsia="Arial" w:hAnsi="Arial"/>
                <w:sz w:val="10"/>
                <w:szCs w:val="10"/>
                <w:b w:val="1"/>
                <w:bCs w:val="1"/>
                <w:color w:val="auto"/>
              </w:rPr>
              <w:t>Amount</w:t>
            </w:r>
          </w:p>
        </w:tc>
      </w:tr>
      <w:tr>
        <w:trPr>
          <w:trHeight w:val="29"/>
        </w:trPr>
        <w:tc>
          <w:tcPr>
            <w:tcW w:w="10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81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r>
      <w:tr>
        <w:trPr>
          <w:trHeight w:val="157"/>
        </w:trPr>
        <w:tc>
          <w:tcPr>
            <w:tcW w:w="9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SEC registration fee</w:t>
            </w:r>
          </w:p>
        </w:tc>
        <w:tc>
          <w:tcPr>
            <w:tcW w:w="5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w:t>
            </w:r>
          </w:p>
        </w:tc>
      </w:tr>
      <w:tr>
        <w:trPr>
          <w:trHeight w:val="157"/>
        </w:trPr>
        <w:tc>
          <w:tcPr>
            <w:tcW w:w="9480" w:type="dxa"/>
            <w:vAlign w:val="bottom"/>
            <w:gridSpan w:val="3"/>
          </w:tcPr>
          <w:p>
            <w:pPr>
              <w:spacing w:after="0"/>
              <w:rPr>
                <w:sz w:val="20"/>
                <w:szCs w:val="20"/>
                <w:color w:val="auto"/>
              </w:rPr>
            </w:pPr>
            <w:r>
              <w:rPr>
                <w:rFonts w:ascii="Arial" w:cs="Arial" w:eastAsia="Arial" w:hAnsi="Arial"/>
                <w:sz w:val="13"/>
                <w:szCs w:val="13"/>
                <w:color w:val="auto"/>
              </w:rPr>
              <w:t>Printing expenses</w:t>
            </w:r>
          </w:p>
        </w:tc>
        <w:tc>
          <w:tcPr>
            <w:tcW w:w="500" w:type="dxa"/>
            <w:vAlign w:val="bottom"/>
          </w:tcPr>
          <w:p>
            <w:pPr>
              <w:jc w:val="right"/>
              <w:ind w:right="76"/>
              <w:spacing w:after="0"/>
              <w:rPr>
                <w:sz w:val="20"/>
                <w:szCs w:val="20"/>
                <w:color w:val="auto"/>
              </w:rPr>
            </w:pPr>
            <w:r>
              <w:rPr>
                <w:rFonts w:ascii="Arial" w:cs="Arial" w:eastAsia="Arial" w:hAnsi="Arial"/>
                <w:sz w:val="13"/>
                <w:szCs w:val="13"/>
                <w:color w:val="auto"/>
              </w:rPr>
              <w:t>(2)</w:t>
            </w:r>
          </w:p>
        </w:tc>
      </w:tr>
      <w:tr>
        <w:trPr>
          <w:trHeight w:val="157"/>
        </w:trPr>
        <w:tc>
          <w:tcPr>
            <w:tcW w:w="9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Legal fees and expenses</w:t>
            </w:r>
          </w:p>
        </w:tc>
        <w:tc>
          <w:tcPr>
            <w:tcW w:w="5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w:t>
            </w:r>
          </w:p>
        </w:tc>
      </w:tr>
      <w:tr>
        <w:trPr>
          <w:trHeight w:val="157"/>
        </w:trPr>
        <w:tc>
          <w:tcPr>
            <w:tcW w:w="9480" w:type="dxa"/>
            <w:vAlign w:val="bottom"/>
            <w:gridSpan w:val="3"/>
          </w:tcPr>
          <w:p>
            <w:pPr>
              <w:spacing w:after="0"/>
              <w:rPr>
                <w:sz w:val="20"/>
                <w:szCs w:val="20"/>
                <w:color w:val="auto"/>
              </w:rPr>
            </w:pPr>
            <w:r>
              <w:rPr>
                <w:rFonts w:ascii="Arial" w:cs="Arial" w:eastAsia="Arial" w:hAnsi="Arial"/>
                <w:sz w:val="13"/>
                <w:szCs w:val="13"/>
                <w:color w:val="auto"/>
              </w:rPr>
              <w:t>Accounting fees and expenses</w:t>
            </w:r>
          </w:p>
        </w:tc>
        <w:tc>
          <w:tcPr>
            <w:tcW w:w="500" w:type="dxa"/>
            <w:vAlign w:val="bottom"/>
          </w:tcPr>
          <w:p>
            <w:pPr>
              <w:jc w:val="right"/>
              <w:ind w:right="76"/>
              <w:spacing w:after="0"/>
              <w:rPr>
                <w:sz w:val="20"/>
                <w:szCs w:val="20"/>
                <w:color w:val="auto"/>
              </w:rPr>
            </w:pPr>
            <w:r>
              <w:rPr>
                <w:rFonts w:ascii="Arial" w:cs="Arial" w:eastAsia="Arial" w:hAnsi="Arial"/>
                <w:sz w:val="13"/>
                <w:szCs w:val="13"/>
                <w:color w:val="auto"/>
              </w:rPr>
              <w:t>(2)</w:t>
            </w:r>
          </w:p>
        </w:tc>
      </w:tr>
      <w:tr>
        <w:trPr>
          <w:trHeight w:val="157"/>
        </w:trPr>
        <w:tc>
          <w:tcPr>
            <w:tcW w:w="9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Trustee fees and expenses</w:t>
            </w:r>
          </w:p>
        </w:tc>
        <w:tc>
          <w:tcPr>
            <w:tcW w:w="5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w:t>
            </w:r>
          </w:p>
        </w:tc>
      </w:tr>
      <w:tr>
        <w:trPr>
          <w:trHeight w:val="157"/>
        </w:trPr>
        <w:tc>
          <w:tcPr>
            <w:tcW w:w="9480" w:type="dxa"/>
            <w:vAlign w:val="bottom"/>
            <w:gridSpan w:val="3"/>
          </w:tcPr>
          <w:p>
            <w:pPr>
              <w:spacing w:after="0"/>
              <w:rPr>
                <w:sz w:val="20"/>
                <w:szCs w:val="20"/>
                <w:color w:val="auto"/>
              </w:rPr>
            </w:pPr>
            <w:r>
              <w:rPr>
                <w:rFonts w:ascii="Arial" w:cs="Arial" w:eastAsia="Arial" w:hAnsi="Arial"/>
                <w:sz w:val="13"/>
                <w:szCs w:val="13"/>
                <w:color w:val="auto"/>
              </w:rPr>
              <w:t>Miscellaneous expenses</w:t>
            </w:r>
          </w:p>
        </w:tc>
        <w:tc>
          <w:tcPr>
            <w:tcW w:w="500" w:type="dxa"/>
            <w:vAlign w:val="bottom"/>
          </w:tcPr>
          <w:p>
            <w:pPr>
              <w:jc w:val="right"/>
              <w:ind w:right="76"/>
              <w:spacing w:after="0"/>
              <w:rPr>
                <w:sz w:val="20"/>
                <w:szCs w:val="20"/>
                <w:color w:val="auto"/>
              </w:rPr>
            </w:pPr>
            <w:r>
              <w:rPr>
                <w:rFonts w:ascii="Arial" w:cs="Arial" w:eastAsia="Arial" w:hAnsi="Arial"/>
                <w:sz w:val="13"/>
                <w:szCs w:val="13"/>
                <w:color w:val="auto"/>
              </w:rPr>
              <w:t>(2)</w:t>
            </w:r>
          </w:p>
        </w:tc>
      </w:tr>
      <w:tr>
        <w:trPr>
          <w:trHeight w:val="157"/>
        </w:trPr>
        <w:tc>
          <w:tcPr>
            <w:tcW w:w="100" w:type="dxa"/>
            <w:vAlign w:val="bottom"/>
            <w:shd w:val="clear" w:color="auto" w:fill="CCEEFF"/>
          </w:tcPr>
          <w:p>
            <w:pPr>
              <w:spacing w:after="0"/>
              <w:rPr>
                <w:sz w:val="13"/>
                <w:szCs w:val="13"/>
                <w:color w:val="auto"/>
              </w:rPr>
            </w:pPr>
          </w:p>
        </w:tc>
        <w:tc>
          <w:tcPr>
            <w:tcW w:w="9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w:t>
            </w:r>
          </w:p>
        </w:tc>
        <w:tc>
          <w:tcPr>
            <w:tcW w:w="5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w:t>
            </w:r>
          </w:p>
        </w:tc>
      </w:tr>
      <w:tr>
        <w:trPr>
          <w:trHeight w:val="98"/>
        </w:trPr>
        <w:tc>
          <w:tcPr>
            <w:tcW w:w="1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180" w:type="dxa"/>
            <w:vAlign w:val="bottom"/>
          </w:tcPr>
          <w:p>
            <w:pPr>
              <w:spacing w:after="0"/>
              <w:rPr>
                <w:sz w:val="8"/>
                <w:szCs w:val="8"/>
                <w:color w:val="auto"/>
              </w:rPr>
            </w:pPr>
          </w:p>
        </w:tc>
        <w:tc>
          <w:tcPr>
            <w:tcW w:w="500" w:type="dxa"/>
            <w:vAlign w:val="bottom"/>
          </w:tcPr>
          <w:p>
            <w:pPr>
              <w:spacing w:after="0"/>
              <w:rPr>
                <w:sz w:val="8"/>
                <w:szCs w:val="8"/>
                <w:color w:val="auto"/>
              </w:rPr>
            </w:pPr>
          </w:p>
        </w:tc>
      </w:tr>
    </w:tbl>
    <w:p>
      <w:pPr>
        <w:spacing w:after="0" w:line="40" w:lineRule="exact"/>
        <w:rPr>
          <w:sz w:val="20"/>
          <w:szCs w:val="20"/>
          <w:color w:val="auto"/>
        </w:rPr>
      </w:pPr>
    </w:p>
    <w:p>
      <w:pPr>
        <w:ind w:left="1000" w:hanging="259"/>
        <w:spacing w:after="0"/>
        <w:tabs>
          <w:tab w:leader="none" w:pos="10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 accordance with Rules 456(b) and 457(r) of the Securities Act of 1933, we are deferring payment of all of the registration fee for the securities offered by this registration statement.</w:t>
      </w:r>
    </w:p>
    <w:p>
      <w:pPr>
        <w:spacing w:after="0" w:line="58" w:lineRule="exact"/>
        <w:rPr>
          <w:rFonts w:ascii="Arial" w:cs="Arial" w:eastAsia="Arial" w:hAnsi="Arial"/>
          <w:sz w:val="12"/>
          <w:szCs w:val="12"/>
          <w:color w:val="auto"/>
        </w:rPr>
      </w:pPr>
    </w:p>
    <w:p>
      <w:pPr>
        <w:ind w:left="1000" w:hanging="259"/>
        <w:spacing w:after="0"/>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An estimate of the aggregate amount of these expenses will be reflected in the applicable prospectus supplement.</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Article 10 of Schlumberger’s articles of incorporation and Article V of Schlumberger’s amended and restated by-laws contain provisions providing for indemnification of Schlumberger’s directors, officers, employees and agents. Article 10 of the articles of incorporation permits (but does not require) Schlumberger to indemnify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Article V of Schlumberger’s amended and restated by-laws contains mandatory indemnification for current and former directors and officers as described below.</w:t>
      </w:r>
    </w:p>
    <w:p>
      <w:pPr>
        <w:spacing w:after="0" w:line="71" w:lineRule="exact"/>
        <w:rPr>
          <w:sz w:val="20"/>
          <w:szCs w:val="20"/>
          <w:color w:val="auto"/>
        </w:rPr>
      </w:pPr>
    </w:p>
    <w:p>
      <w:pPr>
        <w:ind w:left="680" w:right="20" w:firstLine="399"/>
        <w:spacing w:after="0" w:line="305" w:lineRule="auto"/>
        <w:rPr>
          <w:sz w:val="20"/>
          <w:szCs w:val="20"/>
          <w:color w:val="auto"/>
        </w:rPr>
      </w:pPr>
      <w:r>
        <w:rPr>
          <w:rFonts w:ascii="Arial" w:cs="Arial" w:eastAsia="Arial" w:hAnsi="Arial"/>
          <w:sz w:val="11"/>
          <w:szCs w:val="11"/>
          <w:color w:val="auto"/>
        </w:rPr>
        <w:t>To the fullest extent permitted by applicable law, Schlumberger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or officer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Schlumberger, and, with respect to any criminal action or proceeding, had reasonable cause to believe that such person’s conduct was unlawful. Schlumberger is required to indemnify any present or former officer or director of Schlumberger to the fullest extent allowed by the preceding paragraphs in the event of a “Change of Control.” “Change of Control” means a change in control of Schlumberger, which shall be deemed to have occurred if at any time (i) any entity, person or organization is or becomes the legal or beneficial owner, directly or indirectly, of securities of Schlumberger representing 30% or more of the combined voting</w:t>
      </w:r>
    </w:p>
    <w:p>
      <w:pPr>
        <w:spacing w:after="0" w:line="24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303" w:lineRule="auto"/>
        <w:rPr>
          <w:sz w:val="20"/>
          <w:szCs w:val="20"/>
          <w:color w:val="auto"/>
        </w:rPr>
      </w:pPr>
      <w:r>
        <w:rPr>
          <w:rFonts w:ascii="Arial" w:cs="Arial" w:eastAsia="Arial" w:hAnsi="Arial"/>
          <w:sz w:val="11"/>
          <w:szCs w:val="11"/>
          <w:color w:val="auto"/>
        </w:rPr>
        <w:t>power of Schlumberger’s then outstanding shares without the prior approval of at least two-thirds of the members of our board of directors in office immediately prior to such entity, person or organization attaining such percentage interest; (ii) Schlumberger is a party to a merger, consolidation, share exchange, sale of assets or other reorganization, or a proxy contest, as a consequence of which members of our board of directors in office immediately prior to such transaction or event constitute less than a majority of our board of directors thereafter; or</w:t>
      </w:r>
    </w:p>
    <w:p>
      <w:pPr>
        <w:jc w:val="both"/>
        <w:ind w:left="680" w:firstLine="7"/>
        <w:spacing w:after="0" w:line="258" w:lineRule="auto"/>
        <w:tabs>
          <w:tab w:leader="none" w:pos="909" w:val="left"/>
        </w:tabs>
        <w:numPr>
          <w:ilvl w:val="0"/>
          <w:numId w:val="27"/>
        </w:numPr>
        <w:rPr>
          <w:rFonts w:ascii="Arial" w:cs="Arial" w:eastAsia="Arial" w:hAnsi="Arial"/>
          <w:sz w:val="13"/>
          <w:szCs w:val="13"/>
          <w:color w:val="auto"/>
        </w:rPr>
      </w:pPr>
      <w:r>
        <w:rPr>
          <w:rFonts w:ascii="Arial" w:cs="Arial" w:eastAsia="Arial" w:hAnsi="Arial"/>
          <w:sz w:val="13"/>
          <w:szCs w:val="13"/>
          <w:color w:val="auto"/>
        </w:rPr>
        <w:t>during any 15-month period, individuals who at the beginning of such period constituted our board of directors (including for this purpose any new director whose election or nomination for election by Schlumberger’s stockholders was approved by a vote of at least two-thirds of the directors then still in office who were directors at the beginning of such period) cease for any reason to constitute at least a majority of our board of directors.</w:t>
      </w:r>
    </w:p>
    <w:p>
      <w:pPr>
        <w:spacing w:after="0" w:line="71"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To the fullest extent permitted by applicable law, Schlumberger shall indemnify any current or former director or officer who was or is a party or is threatened to be made a party to any threatened, pending or completed action or suit by or in the right of Schlumberger to procure a judgment in Schlumberger’s favor by reason of the fact that such person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Schlumberger and except that no indemnification may be made with respect to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 (as defined above).</w:t>
      </w:r>
    </w:p>
    <w:p>
      <w:pPr>
        <w:spacing w:after="0" w:line="63" w:lineRule="exact"/>
        <w:rPr>
          <w:sz w:val="20"/>
          <w:szCs w:val="20"/>
          <w:color w:val="auto"/>
        </w:rPr>
      </w:pPr>
    </w:p>
    <w:p>
      <w:pPr>
        <w:ind w:left="680" w:right="420" w:firstLine="399"/>
        <w:spacing w:after="0" w:line="320" w:lineRule="auto"/>
        <w:rPr>
          <w:sz w:val="20"/>
          <w:szCs w:val="20"/>
          <w:color w:val="auto"/>
        </w:rPr>
      </w:pPr>
      <w:r>
        <w:rPr>
          <w:rFonts w:ascii="Arial" w:cs="Arial" w:eastAsia="Arial" w:hAnsi="Arial"/>
          <w:sz w:val="12"/>
          <w:szCs w:val="12"/>
          <w:color w:val="auto"/>
        </w:rPr>
        <w:t>Any indemnification under the first two paragraphs in this item (unless ordered by a court) may be extended to current or former employees or agents of Schlumberger only as authorized by the Chief Executive Officer or by contract approved, or by-laws, resolution or other action adopted or taken, by the board of directors or by the stockholders.</w:t>
      </w:r>
    </w:p>
    <w:p>
      <w:pPr>
        <w:spacing w:after="0" w:line="35"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Expenses (including attorneys’ fees) incurred by a present or former director or a present officer in defending any civil or criminal, administrative or investigative action, suit or proceeding will be paid by Schlumberger in advance of the final disposition of such action, suit or proceeding upon receipt of an undertaking by or on behalf of such person to repay such amount if it is ultimately determined that such person is not entitled to be indemnified by Schlumberger.</w:t>
      </w:r>
    </w:p>
    <w:p>
      <w:pPr>
        <w:spacing w:after="0" w:line="67"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Schlumberger may pay such expenses (including attorneys’ fees) incurred by former officers or other employees and agents upon such terms and conditions, if any, it deems appropriate.</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7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Schlumberger has the power to purchase and maintain insurance on behalf of any person who is or was a director, officer, employee or agent of Schlumberger, or is or was serving at the request of Schlumberger in such a capacity for another corporation, partnership, joint venture, trust or other enterprise or entity against any liability asserted against that person and incurred by that person in any of those capacities or arising out of such person’s status as such, whether or not Schlumberger would have the power to indemnify such person against such liability.</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References to Schlumberger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71"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References to “other enterprises” includes employee benefit plans; references to “fines” includes any excise taxes assessed on a person with respect to any employee benefit plan; and references to “serving at the request of Schlumberger”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Schlumberger.”</w:t>
      </w:r>
    </w:p>
    <w:p>
      <w:pPr>
        <w:spacing w:after="0" w:line="39"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A member of our board of directors, or a member of any committee designated by our board of directors, shall, in the performance of such member’s duties, be fully protected in relying in good faith upon the records of Schlumberger and upon such information, opinions, reports or statements presented to Schlumberger by any of Schlumberger’s officers or employees, or committees of our board of directors, or by any other person as to matters the member reasonably believes are within such other person’s professional or expert competence and who has been selected with reasonable care by or on behalf of Schlumberger.</w:t>
      </w:r>
    </w:p>
    <w:p>
      <w:pPr>
        <w:spacing w:after="0" w:line="7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In addition, Schlumberger maintains directors’ and officers’ liability insurance which insures against certain liabilities that the officers and directors of Schlumberger may incur in such capacities.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list of exhibits filed herewith or incorporated by reference is contained in the Exhibit Index which is incorporated herein by reference.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1"/>
          <w:szCs w:val="11"/>
          <w:b w:val="1"/>
          <w:bCs w:val="1"/>
          <w:i w:val="1"/>
          <w:iCs w:val="1"/>
          <w:color w:val="auto"/>
        </w:rPr>
        <w:t>Undertakings.</w:t>
      </w:r>
    </w:p>
    <w:p>
      <w:pPr>
        <w:spacing w:after="0" w:line="100" w:lineRule="exact"/>
        <w:rPr>
          <w:sz w:val="20"/>
          <w:szCs w:val="20"/>
          <w:color w:val="auto"/>
        </w:rPr>
      </w:pPr>
    </w:p>
    <w:p>
      <w:pPr>
        <w:ind w:left="1260" w:hanging="174"/>
        <w:spacing w:after="0"/>
        <w:tabs>
          <w:tab w:leader="none" w:pos="12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undersigned Registrant hereby undertakes:</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1"/>
          <w:numId w:val="28"/>
        </w:numPr>
        <w:rPr>
          <w:rFonts w:ascii="Arial" w:cs="Arial" w:eastAsia="Arial" w:hAnsi="Arial"/>
          <w:sz w:val="13"/>
          <w:szCs w:val="13"/>
          <w:color w:val="auto"/>
        </w:rPr>
      </w:pPr>
      <w:r>
        <w:rPr>
          <w:rFonts w:ascii="Arial" w:cs="Arial" w:eastAsia="Arial" w:hAnsi="Arial"/>
          <w:sz w:val="13"/>
          <w:szCs w:val="13"/>
          <w:color w:val="auto"/>
        </w:rPr>
        <w:t>To file, during any period in which offers or sales are being made, a post-effective amendment to this registration statement:</w:t>
      </w:r>
    </w:p>
    <w:p>
      <w:pPr>
        <w:spacing w:after="0" w:line="96" w:lineRule="exact"/>
        <w:rPr>
          <w:rFonts w:ascii="Arial" w:cs="Arial" w:eastAsia="Arial" w:hAnsi="Arial"/>
          <w:sz w:val="13"/>
          <w:szCs w:val="13"/>
          <w:color w:val="auto"/>
        </w:rPr>
      </w:pPr>
    </w:p>
    <w:p>
      <w:pPr>
        <w:ind w:left="2000" w:hanging="148"/>
        <w:spacing w:after="0"/>
        <w:tabs>
          <w:tab w:leader="none" w:pos="2000" w:val="left"/>
        </w:tabs>
        <w:numPr>
          <w:ilvl w:val="2"/>
          <w:numId w:val="28"/>
        </w:numPr>
        <w:rPr>
          <w:rFonts w:ascii="Arial" w:cs="Arial" w:eastAsia="Arial" w:hAnsi="Arial"/>
          <w:sz w:val="13"/>
          <w:szCs w:val="13"/>
          <w:color w:val="auto"/>
        </w:rPr>
      </w:pPr>
      <w:r>
        <w:rPr>
          <w:rFonts w:ascii="Arial" w:cs="Arial" w:eastAsia="Arial" w:hAnsi="Arial"/>
          <w:sz w:val="13"/>
          <w:szCs w:val="13"/>
          <w:color w:val="auto"/>
        </w:rPr>
        <w:t>to include any prospectus required by Section 10(a)(3) of the Securities Act of 1933;</w:t>
      </w:r>
    </w:p>
    <w:p>
      <w:pPr>
        <w:spacing w:after="0" w:line="96" w:lineRule="exact"/>
        <w:rPr>
          <w:rFonts w:ascii="Arial" w:cs="Arial" w:eastAsia="Arial" w:hAnsi="Arial"/>
          <w:sz w:val="13"/>
          <w:szCs w:val="13"/>
          <w:color w:val="auto"/>
        </w:rPr>
      </w:pPr>
    </w:p>
    <w:p>
      <w:pPr>
        <w:ind w:left="1480" w:right="80" w:firstLine="372"/>
        <w:spacing w:after="0" w:line="257" w:lineRule="auto"/>
        <w:tabs>
          <w:tab w:leader="none" w:pos="2040" w:val="left"/>
        </w:tabs>
        <w:numPr>
          <w:ilvl w:val="2"/>
          <w:numId w:val="28"/>
        </w:numPr>
        <w:rPr>
          <w:rFonts w:ascii="Arial" w:cs="Arial" w:eastAsia="Arial" w:hAnsi="Arial"/>
          <w:sz w:val="13"/>
          <w:szCs w:val="13"/>
          <w:color w:val="auto"/>
        </w:rPr>
      </w:pPr>
      <w:r>
        <w:rPr>
          <w:rFonts w:ascii="Arial" w:cs="Arial" w:eastAsia="Arial" w:hAnsi="Arial"/>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71" w:lineRule="exact"/>
        <w:rPr>
          <w:rFonts w:ascii="Arial" w:cs="Arial" w:eastAsia="Arial" w:hAnsi="Arial"/>
          <w:sz w:val="13"/>
          <w:szCs w:val="13"/>
          <w:color w:val="auto"/>
        </w:rPr>
      </w:pPr>
    </w:p>
    <w:p>
      <w:pPr>
        <w:ind w:left="1480" w:right="240" w:firstLine="372"/>
        <w:spacing w:after="0" w:line="276" w:lineRule="auto"/>
        <w:tabs>
          <w:tab w:leader="none" w:pos="2076" w:val="left"/>
        </w:tabs>
        <w:numPr>
          <w:ilvl w:val="2"/>
          <w:numId w:val="28"/>
        </w:numPr>
        <w:rPr>
          <w:rFonts w:ascii="Arial" w:cs="Arial" w:eastAsia="Arial" w:hAnsi="Arial"/>
          <w:sz w:val="13"/>
          <w:szCs w:val="13"/>
          <w:color w:val="auto"/>
        </w:rPr>
      </w:pPr>
      <w:r>
        <w:rPr>
          <w:rFonts w:ascii="Arial" w:cs="Arial" w:eastAsia="Arial" w:hAnsi="Arial"/>
          <w:sz w:val="13"/>
          <w:szCs w:val="13"/>
          <w:color w:val="auto"/>
        </w:rPr>
        <w:t>to include any material information with respect to the plan of distribution not previously disclosed in the registration statement or any material change to such information in the registration statement;</w:t>
      </w:r>
    </w:p>
    <w:p>
      <w:pPr>
        <w:spacing w:after="0" w:line="59" w:lineRule="exact"/>
        <w:rPr>
          <w:sz w:val="20"/>
          <w:szCs w:val="20"/>
          <w:color w:val="auto"/>
        </w:rPr>
      </w:pPr>
    </w:p>
    <w:p>
      <w:pPr>
        <w:ind w:left="1480" w:right="260"/>
        <w:spacing w:after="0" w:line="276" w:lineRule="auto"/>
        <w:rPr>
          <w:sz w:val="20"/>
          <w:szCs w:val="20"/>
          <w:color w:val="auto"/>
        </w:rPr>
      </w:pPr>
      <w:r>
        <w:rPr>
          <w:rFonts w:ascii="Arial" w:cs="Arial" w:eastAsia="Arial" w:hAnsi="Arial"/>
          <w:sz w:val="13"/>
          <w:szCs w:val="13"/>
          <w:i w:val="1"/>
          <w:iCs w:val="1"/>
          <w:color w:val="auto"/>
        </w:rPr>
        <w:t>provided, however</w:t>
      </w:r>
      <w:r>
        <w:rPr>
          <w:rFonts w:ascii="Arial" w:cs="Arial" w:eastAsia="Arial" w:hAnsi="Arial"/>
          <w:sz w:val="13"/>
          <w:szCs w:val="13"/>
          <w:color w:val="auto"/>
        </w:rPr>
        <w:t>, that paragraphs (a)(1)(i), (a)(1)(ii) and (a)(1)(iii) above do not apply if the information required to be included in a post-effective amendment by those</w:t>
      </w:r>
      <w:r>
        <w:rPr>
          <w:rFonts w:ascii="Arial" w:cs="Arial" w:eastAsia="Arial" w:hAnsi="Arial"/>
          <w:sz w:val="13"/>
          <w:szCs w:val="13"/>
          <w:i w:val="1"/>
          <w:iCs w:val="1"/>
          <w:color w:val="auto"/>
        </w:rPr>
        <w:t xml:space="preserve"> </w:t>
      </w:r>
      <w:r>
        <w:rPr>
          <w:rFonts w:ascii="Arial" w:cs="Arial" w:eastAsia="Arial" w:hAnsi="Arial"/>
          <w:sz w:val="13"/>
          <w:szCs w:val="13"/>
          <w:color w:val="auto"/>
        </w:rPr>
        <w:t>paragraphs is contained in reports filed with or furnished to the SEC by the Registrant pursuant to Section 13 or Section 15(d)</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480" w:right="180"/>
        <w:spacing w:after="0" w:line="276" w:lineRule="auto"/>
        <w:rPr>
          <w:sz w:val="20"/>
          <w:szCs w:val="20"/>
          <w:color w:val="auto"/>
        </w:rPr>
      </w:pPr>
      <w:r>
        <w:rPr>
          <w:rFonts w:ascii="Arial" w:cs="Arial" w:eastAsia="Arial" w:hAnsi="Arial"/>
          <w:sz w:val="13"/>
          <w:szCs w:val="13"/>
          <w:color w:val="auto"/>
        </w:rPr>
        <w:t>of the Securities Exchange Act of 1934 that are incorporated by reference in the registration statement, or is contained in a form of prospectus filed pursuant to Rule 424(b) that is part of the registration statement.</w:t>
      </w:r>
    </w:p>
    <w:p>
      <w:pPr>
        <w:spacing w:after="0" w:line="59" w:lineRule="exact"/>
        <w:rPr>
          <w:sz w:val="20"/>
          <w:szCs w:val="20"/>
          <w:color w:val="auto"/>
        </w:rPr>
      </w:pPr>
    </w:p>
    <w:p>
      <w:pPr>
        <w:ind w:left="1080" w:right="60" w:firstLine="389"/>
        <w:spacing w:after="0" w:line="320" w:lineRule="auto"/>
        <w:tabs>
          <w:tab w:leader="none" w:pos="1646" w:val="left"/>
        </w:tabs>
        <w:numPr>
          <w:ilvl w:val="0"/>
          <w:numId w:val="29"/>
        </w:numPr>
        <w:rPr>
          <w:rFonts w:ascii="Arial" w:cs="Arial" w:eastAsia="Arial" w:hAnsi="Arial"/>
          <w:sz w:val="12"/>
          <w:szCs w:val="12"/>
          <w:color w:val="auto"/>
        </w:rPr>
      </w:pPr>
      <w:r>
        <w:rPr>
          <w:rFonts w:ascii="Arial" w:cs="Arial" w:eastAsia="Arial" w:hAnsi="Arial"/>
          <w:sz w:val="12"/>
          <w:szCs w:val="12"/>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2"/>
          <w:szCs w:val="12"/>
          <w:i w:val="1"/>
          <w:iCs w:val="1"/>
          <w:color w:val="auto"/>
        </w:rPr>
        <w:t>bona fide</w:t>
      </w:r>
      <w:r>
        <w:rPr>
          <w:rFonts w:ascii="Arial" w:cs="Arial" w:eastAsia="Arial" w:hAnsi="Arial"/>
          <w:sz w:val="12"/>
          <w:szCs w:val="12"/>
          <w:color w:val="auto"/>
        </w:rPr>
        <w:t xml:space="preserve"> offering thereof.</w:t>
      </w:r>
    </w:p>
    <w:p>
      <w:pPr>
        <w:spacing w:after="0" w:line="35" w:lineRule="exact"/>
        <w:rPr>
          <w:rFonts w:ascii="Arial" w:cs="Arial" w:eastAsia="Arial" w:hAnsi="Arial"/>
          <w:sz w:val="12"/>
          <w:szCs w:val="12"/>
          <w:color w:val="auto"/>
        </w:rPr>
      </w:pPr>
    </w:p>
    <w:p>
      <w:pPr>
        <w:ind w:left="1660" w:hanging="191"/>
        <w:spacing w:after="0"/>
        <w:tabs>
          <w:tab w:leader="none" w:pos="16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To remove from registration by means of a post-effective amendment any of the securities being registered which remain unsold at the termination of the offering.</w:t>
      </w:r>
    </w:p>
    <w:p>
      <w:pPr>
        <w:spacing w:after="0" w:line="107" w:lineRule="exact"/>
        <w:rPr>
          <w:rFonts w:ascii="Arial" w:cs="Arial" w:eastAsia="Arial" w:hAnsi="Arial"/>
          <w:sz w:val="12"/>
          <w:szCs w:val="12"/>
          <w:color w:val="auto"/>
        </w:rPr>
      </w:pPr>
    </w:p>
    <w:p>
      <w:pPr>
        <w:ind w:left="1660" w:hanging="191"/>
        <w:spacing w:after="0"/>
        <w:tabs>
          <w:tab w:leader="none" w:pos="16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That, for the purpose of determining liability under the Securities Act of 1933 to any purchaser:</w:t>
      </w:r>
    </w:p>
    <w:p>
      <w:pPr>
        <w:spacing w:after="0" w:line="96" w:lineRule="exact"/>
        <w:rPr>
          <w:rFonts w:ascii="Arial" w:cs="Arial" w:eastAsia="Arial" w:hAnsi="Arial"/>
          <w:sz w:val="13"/>
          <w:szCs w:val="13"/>
          <w:color w:val="auto"/>
        </w:rPr>
      </w:pPr>
    </w:p>
    <w:p>
      <w:pPr>
        <w:ind w:left="1480" w:right="180" w:firstLine="372"/>
        <w:spacing w:after="0" w:line="276" w:lineRule="auto"/>
        <w:tabs>
          <w:tab w:leader="none" w:pos="2062" w:val="left"/>
        </w:tabs>
        <w:numPr>
          <w:ilvl w:val="1"/>
          <w:numId w:val="29"/>
        </w:numPr>
        <w:rPr>
          <w:rFonts w:ascii="Arial" w:cs="Arial" w:eastAsia="Arial" w:hAnsi="Arial"/>
          <w:sz w:val="13"/>
          <w:szCs w:val="13"/>
          <w:color w:val="auto"/>
        </w:rPr>
      </w:pPr>
      <w:r>
        <w:rPr>
          <w:rFonts w:ascii="Arial" w:cs="Arial" w:eastAsia="Arial" w:hAnsi="Arial"/>
          <w:sz w:val="13"/>
          <w:szCs w:val="13"/>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9" w:lineRule="exact"/>
        <w:rPr>
          <w:rFonts w:ascii="Arial" w:cs="Arial" w:eastAsia="Arial" w:hAnsi="Arial"/>
          <w:sz w:val="13"/>
          <w:szCs w:val="13"/>
          <w:color w:val="auto"/>
        </w:rPr>
      </w:pPr>
    </w:p>
    <w:p>
      <w:pPr>
        <w:ind w:left="1480" w:right="40" w:firstLine="372"/>
        <w:spacing w:after="0" w:line="282" w:lineRule="auto"/>
        <w:tabs>
          <w:tab w:leader="none" w:pos="2055" w:val="left"/>
        </w:tabs>
        <w:numPr>
          <w:ilvl w:val="1"/>
          <w:numId w:val="29"/>
        </w:numPr>
        <w:rPr>
          <w:rFonts w:ascii="Arial" w:cs="Arial" w:eastAsia="Arial" w:hAnsi="Arial"/>
          <w:sz w:val="12"/>
          <w:szCs w:val="12"/>
          <w:color w:val="auto"/>
        </w:rPr>
      </w:pPr>
      <w:r>
        <w:rPr>
          <w:rFonts w:ascii="Arial" w:cs="Arial" w:eastAsia="Arial" w:hAnsi="Arial"/>
          <w:sz w:val="12"/>
          <w:szCs w:val="12"/>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2"/>
          <w:szCs w:val="12"/>
          <w:i w:val="1"/>
          <w:iCs w:val="1"/>
          <w:color w:val="auto"/>
        </w:rPr>
        <w:t>bona fide</w:t>
      </w:r>
      <w:r>
        <w:rPr>
          <w:rFonts w:ascii="Arial" w:cs="Arial" w:eastAsia="Arial" w:hAnsi="Arial"/>
          <w:sz w:val="12"/>
          <w:szCs w:val="12"/>
          <w:color w:val="auto"/>
        </w:rPr>
        <w:t xml:space="preserve"> offering thereof.</w:t>
      </w:r>
    </w:p>
    <w:p>
      <w:pPr>
        <w:spacing w:after="0" w:line="59" w:lineRule="exact"/>
        <w:rPr>
          <w:sz w:val="20"/>
          <w:szCs w:val="20"/>
          <w:color w:val="auto"/>
        </w:rPr>
      </w:pPr>
    </w:p>
    <w:p>
      <w:pPr>
        <w:ind w:left="1480"/>
        <w:spacing w:after="0" w:line="260" w:lineRule="auto"/>
        <w:rPr>
          <w:sz w:val="20"/>
          <w:szCs w:val="20"/>
          <w:color w:val="auto"/>
        </w:rPr>
      </w:pPr>
      <w:r>
        <w:rPr>
          <w:rFonts w:ascii="Arial" w:cs="Arial" w:eastAsia="Arial" w:hAnsi="Arial"/>
          <w:sz w:val="13"/>
          <w:szCs w:val="13"/>
          <w:i w:val="1"/>
          <w:iCs w:val="1"/>
          <w:color w:val="auto"/>
        </w:rPr>
        <w:t>Provided, however</w:t>
      </w:r>
      <w:r>
        <w:rPr>
          <w:rFonts w:ascii="Arial" w:cs="Arial" w:eastAsia="Arial" w:hAnsi="Arial"/>
          <w:sz w:val="13"/>
          <w:szCs w:val="13"/>
          <w:color w:val="auto"/>
        </w:rPr>
        <w:t>, that no statement made in a registration statement or prospectus that is part of the registration statement or made in a document incorporated or deemed</w:t>
      </w:r>
      <w:r>
        <w:rPr>
          <w:rFonts w:ascii="Arial" w:cs="Arial" w:eastAsia="Arial" w:hAnsi="Arial"/>
          <w:sz w:val="13"/>
          <w:szCs w:val="13"/>
          <w:i w:val="1"/>
          <w:iCs w:val="1"/>
          <w:color w:val="auto"/>
        </w:rPr>
        <w:t xml:space="preserve"> </w:t>
      </w:r>
      <w:r>
        <w:rPr>
          <w:rFonts w:ascii="Arial" w:cs="Arial" w:eastAsia="Arial" w:hAnsi="Arial"/>
          <w:sz w:val="13"/>
          <w:szCs w:val="13"/>
          <w:color w:val="auto"/>
        </w:rPr>
        <w:t>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0" w:lineRule="exact"/>
        <w:rPr>
          <w:sz w:val="20"/>
          <w:szCs w:val="20"/>
          <w:color w:val="auto"/>
        </w:rPr>
      </w:pPr>
    </w:p>
    <w:p>
      <w:pPr>
        <w:ind w:left="1080" w:right="60" w:firstLine="389"/>
        <w:spacing w:after="0" w:line="260" w:lineRule="auto"/>
        <w:tabs>
          <w:tab w:leader="none" w:pos="1646" w:val="left"/>
        </w:tabs>
        <w:numPr>
          <w:ilvl w:val="1"/>
          <w:numId w:val="30"/>
        </w:numPr>
        <w:rPr>
          <w:rFonts w:ascii="Arial" w:cs="Arial" w:eastAsia="Arial" w:hAnsi="Arial"/>
          <w:sz w:val="13"/>
          <w:szCs w:val="13"/>
          <w:color w:val="auto"/>
        </w:rPr>
      </w:pPr>
      <w:r>
        <w:rPr>
          <w:rFonts w:ascii="Arial" w:cs="Arial" w:eastAsia="Arial" w:hAnsi="Arial"/>
          <w:sz w:val="13"/>
          <w:szCs w:val="13"/>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9" w:lineRule="exact"/>
        <w:rPr>
          <w:rFonts w:ascii="Arial" w:cs="Arial" w:eastAsia="Arial" w:hAnsi="Arial"/>
          <w:sz w:val="13"/>
          <w:szCs w:val="13"/>
          <w:color w:val="auto"/>
        </w:rPr>
      </w:pPr>
    </w:p>
    <w:p>
      <w:pPr>
        <w:ind w:left="2000" w:hanging="148"/>
        <w:spacing w:after="0"/>
        <w:tabs>
          <w:tab w:leader="none" w:pos="2000" w:val="left"/>
        </w:tabs>
        <w:numPr>
          <w:ilvl w:val="2"/>
          <w:numId w:val="30"/>
        </w:numPr>
        <w:rPr>
          <w:rFonts w:ascii="Arial" w:cs="Arial" w:eastAsia="Arial" w:hAnsi="Arial"/>
          <w:sz w:val="13"/>
          <w:szCs w:val="13"/>
          <w:color w:val="auto"/>
        </w:rPr>
      </w:pPr>
      <w:r>
        <w:rPr>
          <w:rFonts w:ascii="Arial" w:cs="Arial" w:eastAsia="Arial" w:hAnsi="Arial"/>
          <w:sz w:val="13"/>
          <w:szCs w:val="13"/>
          <w:color w:val="auto"/>
        </w:rPr>
        <w:t>Any preliminary prospectus or prospectus of the undersigned Registrant relating to the offering required to be filed pursuant to Rule 424;</w:t>
      </w:r>
    </w:p>
    <w:p>
      <w:pPr>
        <w:spacing w:after="0" w:line="96" w:lineRule="exact"/>
        <w:rPr>
          <w:rFonts w:ascii="Arial" w:cs="Arial" w:eastAsia="Arial" w:hAnsi="Arial"/>
          <w:sz w:val="13"/>
          <w:szCs w:val="13"/>
          <w:color w:val="auto"/>
        </w:rPr>
      </w:pPr>
    </w:p>
    <w:p>
      <w:pPr>
        <w:ind w:left="2040" w:hanging="188"/>
        <w:spacing w:after="0"/>
        <w:tabs>
          <w:tab w:leader="none" w:pos="2040" w:val="left"/>
        </w:tabs>
        <w:numPr>
          <w:ilvl w:val="2"/>
          <w:numId w:val="30"/>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107" w:lineRule="exact"/>
        <w:rPr>
          <w:rFonts w:ascii="Arial" w:cs="Arial" w:eastAsia="Arial" w:hAnsi="Arial"/>
          <w:sz w:val="12"/>
          <w:szCs w:val="12"/>
          <w:color w:val="auto"/>
        </w:rPr>
      </w:pPr>
    </w:p>
    <w:p>
      <w:pPr>
        <w:ind w:left="1480" w:right="60" w:firstLine="372"/>
        <w:spacing w:after="0" w:line="276" w:lineRule="auto"/>
        <w:tabs>
          <w:tab w:leader="none" w:pos="2074" w:val="left"/>
        </w:tabs>
        <w:numPr>
          <w:ilvl w:val="2"/>
          <w:numId w:val="30"/>
        </w:numPr>
        <w:rPr>
          <w:rFonts w:ascii="Arial" w:cs="Arial" w:eastAsia="Arial" w:hAnsi="Arial"/>
          <w:sz w:val="13"/>
          <w:szCs w:val="13"/>
          <w:color w:val="auto"/>
        </w:rPr>
      </w:pPr>
      <w:r>
        <w:rPr>
          <w:rFonts w:ascii="Arial" w:cs="Arial" w:eastAsia="Arial" w:hAnsi="Arial"/>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59" w:lineRule="exact"/>
        <w:rPr>
          <w:rFonts w:ascii="Arial" w:cs="Arial" w:eastAsia="Arial" w:hAnsi="Arial"/>
          <w:sz w:val="13"/>
          <w:szCs w:val="13"/>
          <w:color w:val="auto"/>
        </w:rPr>
      </w:pPr>
    </w:p>
    <w:p>
      <w:pPr>
        <w:ind w:left="2060" w:hanging="208"/>
        <w:spacing w:after="0"/>
        <w:tabs>
          <w:tab w:leader="none" w:pos="2060" w:val="left"/>
        </w:tabs>
        <w:numPr>
          <w:ilvl w:val="2"/>
          <w:numId w:val="30"/>
        </w:numPr>
        <w:rPr>
          <w:rFonts w:ascii="Arial" w:cs="Arial" w:eastAsia="Arial" w:hAnsi="Arial"/>
          <w:sz w:val="13"/>
          <w:szCs w:val="13"/>
          <w:color w:val="auto"/>
        </w:rPr>
      </w:pPr>
      <w:r>
        <w:rPr>
          <w:rFonts w:ascii="Arial" w:cs="Arial" w:eastAsia="Arial" w:hAnsi="Arial"/>
          <w:sz w:val="13"/>
          <w:szCs w:val="13"/>
          <w:color w:val="auto"/>
        </w:rPr>
        <w:t>Any other communication that is an offer in the offering made by the undersigned Registrant to the purchaser.</w:t>
      </w:r>
    </w:p>
    <w:p>
      <w:pPr>
        <w:spacing w:after="0" w:line="96" w:lineRule="exact"/>
        <w:rPr>
          <w:rFonts w:ascii="Arial" w:cs="Arial" w:eastAsia="Arial" w:hAnsi="Arial"/>
          <w:sz w:val="13"/>
          <w:szCs w:val="13"/>
          <w:color w:val="auto"/>
        </w:rPr>
      </w:pPr>
    </w:p>
    <w:p>
      <w:pPr>
        <w:ind w:left="680" w:right="460" w:firstLine="406"/>
        <w:spacing w:after="0" w:line="276" w:lineRule="auto"/>
        <w:tabs>
          <w:tab w:leader="none" w:pos="1262"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undersigned Registrant hereby undertakes that, for purposes of determining any liability under the Securities Act of 1933, each filing of the Registrant’s annual report pursuant to Section 13(a) or</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 xml:space="preserve">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3"/>
          <w:szCs w:val="13"/>
          <w:i w:val="1"/>
          <w:iCs w:val="1"/>
          <w:color w:val="auto"/>
        </w:rPr>
        <w:t>bona fide</w:t>
      </w:r>
      <w:r>
        <w:rPr>
          <w:rFonts w:ascii="Arial" w:cs="Arial" w:eastAsia="Arial" w:hAnsi="Arial"/>
          <w:sz w:val="13"/>
          <w:szCs w:val="13"/>
          <w:color w:val="auto"/>
        </w:rPr>
        <w:t xml:space="preserve"> offering thereof.</w:t>
      </w:r>
    </w:p>
    <w:p>
      <w:pPr>
        <w:spacing w:after="0" w:line="67" w:lineRule="exact"/>
        <w:rPr>
          <w:sz w:val="20"/>
          <w:szCs w:val="20"/>
          <w:color w:val="auto"/>
        </w:rPr>
      </w:pPr>
    </w:p>
    <w:p>
      <w:pPr>
        <w:ind w:left="680" w:firstLine="406"/>
        <w:spacing w:after="0" w:line="282" w:lineRule="auto"/>
        <w:tabs>
          <w:tab w:leader="none" w:pos="1257"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59" w:lineRule="exact"/>
        <w:rPr>
          <w:rFonts w:ascii="Arial" w:cs="Arial" w:eastAsia="Arial" w:hAnsi="Arial"/>
          <w:sz w:val="12"/>
          <w:szCs w:val="12"/>
          <w:color w:val="auto"/>
        </w:rPr>
      </w:pPr>
    </w:p>
    <w:p>
      <w:pPr>
        <w:ind w:left="680" w:right="240" w:firstLine="406"/>
        <w:spacing w:after="0" w:line="276" w:lineRule="auto"/>
        <w:tabs>
          <w:tab w:leader="none" w:pos="1262"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jc w:val="both"/>
        <w:ind w:left="680" w:right="900" w:firstLine="399"/>
        <w:spacing w:after="0" w:line="371" w:lineRule="auto"/>
        <w:rPr>
          <w:sz w:val="20"/>
          <w:szCs w:val="20"/>
          <w:color w:val="auto"/>
        </w:rPr>
      </w:pPr>
      <w:r>
        <w:rPr>
          <w:rFonts w:ascii="Arial" w:cs="Arial" w:eastAsia="Arial" w:hAnsi="Arial"/>
          <w:sz w:val="11"/>
          <w:szCs w:val="11"/>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7th day of April, 2011.</w:t>
      </w:r>
    </w:p>
    <w:p>
      <w:pPr>
        <w:spacing w:after="0" w:line="244"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SCHLUMBERGER N.V.</w:t>
      </w:r>
    </w:p>
    <w:p>
      <w:pPr>
        <w:spacing w:after="0" w:line="19"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(Schlumberger Limited)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Howard Guild</w:t>
      </w:r>
    </w:p>
    <w:p>
      <w:pPr>
        <w:spacing w:after="0" w:line="15" w:lineRule="exact"/>
        <w:rPr>
          <w:sz w:val="20"/>
          <w:szCs w:val="20"/>
          <w:color w:val="auto"/>
        </w:rPr>
      </w:pPr>
    </w:p>
    <w:tbl>
      <w:tblPr>
        <w:tblLayout w:type="fixed"/>
        <w:tblInd w:w="5980" w:type="dxa"/>
        <w:tblCellMar>
          <w:top w:w="0" w:type="dxa"/>
          <w:left w:w="0" w:type="dxa"/>
          <w:bottom w:w="0" w:type="dxa"/>
          <w:right w:w="0" w:type="dxa"/>
        </w:tblCellMar>
      </w:tblPr>
      <w:tr>
        <w:trPr>
          <w:trHeight w:val="149"/>
        </w:trPr>
        <w:tc>
          <w:tcPr>
            <w:tcW w:w="4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Name:</w:t>
            </w:r>
          </w:p>
        </w:tc>
        <w:tc>
          <w:tcPr>
            <w:tcW w:w="514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Howard Guild</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380"/>
              <w:spacing w:after="0"/>
              <w:rPr>
                <w:sz w:val="20"/>
                <w:szCs w:val="20"/>
                <w:color w:val="auto"/>
              </w:rPr>
            </w:pPr>
            <w:r>
              <w:rPr>
                <w:rFonts w:ascii="Arial" w:cs="Arial" w:eastAsia="Arial" w:hAnsi="Arial"/>
                <w:sz w:val="13"/>
                <w:szCs w:val="13"/>
                <w:color w:val="auto"/>
              </w:rPr>
              <w:t>Chief Accounting Officer</w:t>
            </w: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by the following persons in the capacities and on the dates indicated.</w:t>
      </w:r>
    </w:p>
    <w:p>
      <w:pPr>
        <w:spacing w:after="0" w:line="98" w:lineRule="exact"/>
        <w:rPr>
          <w:sz w:val="20"/>
          <w:szCs w:val="20"/>
          <w:color w:val="auto"/>
        </w:rPr>
      </w:pPr>
    </w:p>
    <w:p>
      <w:pPr>
        <w:ind w:left="2860"/>
        <w:spacing w:after="0"/>
        <w:tabs>
          <w:tab w:leader="none" w:pos="7300" w:val="left"/>
          <w:tab w:leader="none" w:pos="101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6421755</wp:posOffset>
            </wp:positionH>
            <wp:positionV relativeFrom="paragraph">
              <wp:posOffset>12700</wp:posOffset>
            </wp:positionV>
            <wp:extent cx="635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4260" w:type="dxa"/>
            <w:vAlign w:val="bottom"/>
          </w:tcPr>
          <w:p>
            <w:pPr>
              <w:jc w:val="center"/>
              <w:ind w:left="134"/>
              <w:spacing w:after="0"/>
              <w:rPr>
                <w:sz w:val="20"/>
                <w:szCs w:val="20"/>
                <w:color w:val="auto"/>
              </w:rPr>
            </w:pPr>
            <w:r>
              <w:rPr>
                <w:rFonts w:ascii="Arial" w:cs="Arial" w:eastAsia="Arial" w:hAnsi="Arial"/>
                <w:sz w:val="13"/>
                <w:szCs w:val="13"/>
                <w:color w:val="auto"/>
                <w:w w:val="93"/>
              </w:rPr>
              <w:t>Chairman of the Board, Chief Executive Officer and Director</w:t>
            </w:r>
          </w:p>
        </w:tc>
        <w:tc>
          <w:tcPr>
            <w:tcW w:w="2100" w:type="dxa"/>
            <w:vAlign w:val="bottom"/>
          </w:tcPr>
          <w:p>
            <w:pPr>
              <w:ind w:left="420"/>
              <w:spacing w:after="0"/>
              <w:rPr>
                <w:sz w:val="20"/>
                <w:szCs w:val="20"/>
                <w:color w:val="auto"/>
              </w:rPr>
            </w:pPr>
            <w:r>
              <w:rPr>
                <w:rFonts w:ascii="Arial" w:cs="Arial" w:eastAsia="Arial" w:hAnsi="Arial"/>
                <w:sz w:val="13"/>
                <w:szCs w:val="13"/>
                <w:color w:val="auto"/>
              </w:rPr>
              <w:t>April 7, 2011</w:t>
            </w:r>
          </w:p>
        </w:tc>
      </w:tr>
      <w:tr>
        <w:trPr>
          <w:trHeight w:val="156"/>
        </w:trPr>
        <w:tc>
          <w:tcPr>
            <w:tcW w:w="680" w:type="dxa"/>
            <w:vAlign w:val="bottom"/>
          </w:tcPr>
          <w:p>
            <w:pPr>
              <w:spacing w:after="0"/>
              <w:rPr>
                <w:sz w:val="13"/>
                <w:szCs w:val="13"/>
                <w:color w:val="auto"/>
              </w:rPr>
            </w:pPr>
          </w:p>
        </w:tc>
        <w:tc>
          <w:tcPr>
            <w:tcW w:w="4420" w:type="dxa"/>
            <w:vAlign w:val="bottom"/>
          </w:tcPr>
          <w:p>
            <w:pPr>
              <w:jc w:val="center"/>
              <w:spacing w:after="0"/>
              <w:rPr>
                <w:sz w:val="20"/>
                <w:szCs w:val="20"/>
                <w:color w:val="auto"/>
              </w:rPr>
            </w:pPr>
            <w:r>
              <w:rPr>
                <w:rFonts w:ascii="Arial" w:cs="Arial" w:eastAsia="Arial" w:hAnsi="Arial"/>
                <w:sz w:val="13"/>
                <w:szCs w:val="13"/>
                <w:color w:val="auto"/>
                <w:w w:val="94"/>
              </w:rPr>
              <w:t>(Andrew Gould)</w:t>
            </w:r>
          </w:p>
        </w:tc>
        <w:tc>
          <w:tcPr>
            <w:tcW w:w="4260" w:type="dxa"/>
            <w:vAlign w:val="bottom"/>
          </w:tcPr>
          <w:p>
            <w:pPr>
              <w:jc w:val="center"/>
              <w:ind w:left="154"/>
              <w:spacing w:after="0" w:line="145" w:lineRule="exact"/>
              <w:rPr>
                <w:sz w:val="20"/>
                <w:szCs w:val="20"/>
                <w:color w:val="auto"/>
              </w:rPr>
            </w:pPr>
            <w:r>
              <w:rPr>
                <w:rFonts w:ascii="Arial" w:cs="Arial" w:eastAsia="Arial" w:hAnsi="Arial"/>
                <w:sz w:val="13"/>
                <w:szCs w:val="13"/>
                <w:color w:val="auto"/>
                <w:w w:val="94"/>
              </w:rPr>
              <w:t>(Principal Executive Officer)</w:t>
            </w: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4260" w:type="dxa"/>
            <w:vAlign w:val="bottom"/>
          </w:tcPr>
          <w:p>
            <w:pPr>
              <w:jc w:val="center"/>
              <w:ind w:left="134"/>
              <w:spacing w:after="0"/>
              <w:rPr>
                <w:sz w:val="20"/>
                <w:szCs w:val="20"/>
                <w:color w:val="auto"/>
              </w:rPr>
            </w:pPr>
            <w:r>
              <w:rPr>
                <w:rFonts w:ascii="Arial" w:cs="Arial" w:eastAsia="Arial" w:hAnsi="Arial"/>
                <w:sz w:val="13"/>
                <w:szCs w:val="13"/>
                <w:color w:val="auto"/>
                <w:w w:val="91"/>
              </w:rPr>
              <w:t>Executive Vice President and</w:t>
            </w:r>
          </w:p>
        </w:tc>
        <w:tc>
          <w:tcPr>
            <w:tcW w:w="2100" w:type="dxa"/>
            <w:vAlign w:val="bottom"/>
          </w:tcPr>
          <w:p>
            <w:pPr>
              <w:ind w:left="420"/>
              <w:spacing w:after="0"/>
              <w:rPr>
                <w:sz w:val="20"/>
                <w:szCs w:val="20"/>
                <w:color w:val="auto"/>
              </w:rPr>
            </w:pPr>
            <w:r>
              <w:rPr>
                <w:rFonts w:ascii="Arial" w:cs="Arial" w:eastAsia="Arial" w:hAnsi="Arial"/>
                <w:sz w:val="13"/>
                <w:szCs w:val="13"/>
                <w:color w:val="auto"/>
              </w:rPr>
              <w:t>April 7, 2011</w:t>
            </w:r>
          </w:p>
        </w:tc>
      </w:tr>
      <w:tr>
        <w:trPr>
          <w:trHeight w:val="130"/>
        </w:trPr>
        <w:tc>
          <w:tcPr>
            <w:tcW w:w="680" w:type="dxa"/>
            <w:vAlign w:val="bottom"/>
          </w:tcPr>
          <w:p>
            <w:pPr>
              <w:spacing w:after="0"/>
              <w:rPr>
                <w:sz w:val="11"/>
                <w:szCs w:val="11"/>
                <w:color w:val="auto"/>
              </w:rPr>
            </w:pPr>
          </w:p>
        </w:tc>
        <w:tc>
          <w:tcPr>
            <w:tcW w:w="4420" w:type="dxa"/>
            <w:vAlign w:val="bottom"/>
          </w:tcPr>
          <w:p>
            <w:pPr>
              <w:jc w:val="center"/>
              <w:spacing w:after="0" w:line="130" w:lineRule="exact"/>
              <w:rPr>
                <w:sz w:val="20"/>
                <w:szCs w:val="20"/>
                <w:color w:val="auto"/>
              </w:rPr>
            </w:pPr>
            <w:r>
              <w:rPr>
                <w:rFonts w:ascii="Arial" w:cs="Arial" w:eastAsia="Arial" w:hAnsi="Arial"/>
                <w:sz w:val="13"/>
                <w:szCs w:val="13"/>
                <w:color w:val="auto"/>
                <w:w w:val="93"/>
              </w:rPr>
              <w:t>(Simon Ayat)</w:t>
            </w:r>
          </w:p>
        </w:tc>
        <w:tc>
          <w:tcPr>
            <w:tcW w:w="4260" w:type="dxa"/>
            <w:vAlign w:val="bottom"/>
          </w:tcPr>
          <w:p>
            <w:pPr>
              <w:jc w:val="center"/>
              <w:ind w:left="134"/>
              <w:spacing w:after="0" w:line="130" w:lineRule="exact"/>
              <w:rPr>
                <w:sz w:val="20"/>
                <w:szCs w:val="20"/>
                <w:color w:val="auto"/>
              </w:rPr>
            </w:pPr>
            <w:r>
              <w:rPr>
                <w:rFonts w:ascii="Arial" w:cs="Arial" w:eastAsia="Arial" w:hAnsi="Arial"/>
                <w:sz w:val="13"/>
                <w:szCs w:val="13"/>
                <w:color w:val="auto"/>
                <w:w w:val="95"/>
              </w:rPr>
              <w:t>Chief Financial Officer</w:t>
            </w:r>
          </w:p>
        </w:tc>
        <w:tc>
          <w:tcPr>
            <w:tcW w:w="210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260" w:type="dxa"/>
            <w:vAlign w:val="bottom"/>
          </w:tcPr>
          <w:p>
            <w:pPr>
              <w:jc w:val="center"/>
              <w:ind w:left="154"/>
              <w:spacing w:after="0"/>
              <w:rPr>
                <w:sz w:val="20"/>
                <w:szCs w:val="20"/>
                <w:color w:val="auto"/>
              </w:rPr>
            </w:pPr>
            <w:r>
              <w:rPr>
                <w:rFonts w:ascii="Arial" w:cs="Arial" w:eastAsia="Arial" w:hAnsi="Arial"/>
                <w:sz w:val="13"/>
                <w:szCs w:val="13"/>
                <w:color w:val="auto"/>
                <w:w w:val="94"/>
              </w:rPr>
              <w:t>(Principal Financial Officer)</w:t>
            </w:r>
          </w:p>
        </w:tc>
        <w:tc>
          <w:tcPr>
            <w:tcW w:w="210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Howard Guild</w:t>
            </w:r>
          </w:p>
        </w:tc>
        <w:tc>
          <w:tcPr>
            <w:tcW w:w="4260" w:type="dxa"/>
            <w:vAlign w:val="bottom"/>
          </w:tcPr>
          <w:p>
            <w:pPr>
              <w:jc w:val="center"/>
              <w:ind w:left="134"/>
              <w:spacing w:after="0"/>
              <w:rPr>
                <w:sz w:val="20"/>
                <w:szCs w:val="20"/>
                <w:color w:val="auto"/>
              </w:rPr>
            </w:pPr>
            <w:r>
              <w:rPr>
                <w:rFonts w:ascii="Arial" w:cs="Arial" w:eastAsia="Arial" w:hAnsi="Arial"/>
                <w:sz w:val="13"/>
                <w:szCs w:val="13"/>
                <w:color w:val="auto"/>
                <w:w w:val="95"/>
              </w:rPr>
              <w:t>Chief Accounting Officer</w:t>
            </w:r>
          </w:p>
        </w:tc>
        <w:tc>
          <w:tcPr>
            <w:tcW w:w="2100" w:type="dxa"/>
            <w:vAlign w:val="bottom"/>
          </w:tcPr>
          <w:p>
            <w:pPr>
              <w:ind w:left="420"/>
              <w:spacing w:after="0"/>
              <w:rPr>
                <w:sz w:val="20"/>
                <w:szCs w:val="20"/>
                <w:color w:val="auto"/>
              </w:rPr>
            </w:pPr>
            <w:r>
              <w:rPr>
                <w:rFonts w:ascii="Arial" w:cs="Arial" w:eastAsia="Arial" w:hAnsi="Arial"/>
                <w:sz w:val="13"/>
                <w:szCs w:val="13"/>
                <w:color w:val="auto"/>
              </w:rPr>
              <w:t>April 7, 2011</w:t>
            </w:r>
          </w:p>
        </w:tc>
      </w:tr>
      <w:tr>
        <w:trPr>
          <w:trHeight w:val="156"/>
        </w:trPr>
        <w:tc>
          <w:tcPr>
            <w:tcW w:w="680" w:type="dxa"/>
            <w:vAlign w:val="bottom"/>
          </w:tcPr>
          <w:p>
            <w:pPr>
              <w:spacing w:after="0"/>
              <w:rPr>
                <w:sz w:val="13"/>
                <w:szCs w:val="13"/>
                <w:color w:val="auto"/>
              </w:rPr>
            </w:pPr>
          </w:p>
        </w:tc>
        <w:tc>
          <w:tcPr>
            <w:tcW w:w="4420" w:type="dxa"/>
            <w:vAlign w:val="bottom"/>
          </w:tcPr>
          <w:p>
            <w:pPr>
              <w:jc w:val="center"/>
              <w:spacing w:after="0"/>
              <w:rPr>
                <w:sz w:val="20"/>
                <w:szCs w:val="20"/>
                <w:color w:val="auto"/>
              </w:rPr>
            </w:pPr>
            <w:r>
              <w:rPr>
                <w:rFonts w:ascii="Arial" w:cs="Arial" w:eastAsia="Arial" w:hAnsi="Arial"/>
                <w:sz w:val="13"/>
                <w:szCs w:val="13"/>
                <w:color w:val="auto"/>
                <w:w w:val="98"/>
              </w:rPr>
              <w:t>(Howard Guild)</w:t>
            </w:r>
          </w:p>
        </w:tc>
        <w:tc>
          <w:tcPr>
            <w:tcW w:w="4260" w:type="dxa"/>
            <w:vAlign w:val="bottom"/>
          </w:tcPr>
          <w:p>
            <w:pPr>
              <w:jc w:val="center"/>
              <w:ind w:left="154"/>
              <w:spacing w:after="0" w:line="145" w:lineRule="exact"/>
              <w:rPr>
                <w:sz w:val="20"/>
                <w:szCs w:val="20"/>
                <w:color w:val="auto"/>
              </w:rPr>
            </w:pPr>
            <w:r>
              <w:rPr>
                <w:rFonts w:ascii="Arial" w:cs="Arial" w:eastAsia="Arial" w:hAnsi="Arial"/>
                <w:sz w:val="13"/>
                <w:szCs w:val="13"/>
                <w:color w:val="auto"/>
                <w:w w:val="95"/>
              </w:rPr>
              <w:t>(Principal Accounting Officer)</w:t>
            </w: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4260" w:type="dxa"/>
            <w:vAlign w:val="bottom"/>
          </w:tcPr>
          <w:p>
            <w:pPr>
              <w:jc w:val="center"/>
              <w:ind w:left="154"/>
              <w:spacing w:after="0"/>
              <w:rPr>
                <w:sz w:val="20"/>
                <w:szCs w:val="20"/>
                <w:color w:val="auto"/>
              </w:rPr>
            </w:pPr>
            <w:r>
              <w:rPr>
                <w:rFonts w:ascii="Arial" w:cs="Arial" w:eastAsia="Arial" w:hAnsi="Arial"/>
                <w:sz w:val="13"/>
                <w:szCs w:val="13"/>
                <w:color w:val="auto"/>
                <w:w w:val="96"/>
              </w:rPr>
              <w:t>Director</w:t>
            </w:r>
          </w:p>
        </w:tc>
        <w:tc>
          <w:tcPr>
            <w:tcW w:w="2100" w:type="dxa"/>
            <w:vAlign w:val="bottom"/>
          </w:tcPr>
          <w:p>
            <w:pPr>
              <w:ind w:left="420"/>
              <w:spacing w:after="0"/>
              <w:rPr>
                <w:sz w:val="20"/>
                <w:szCs w:val="20"/>
                <w:color w:val="auto"/>
              </w:rPr>
            </w:pPr>
            <w:r>
              <w:rPr>
                <w:rFonts w:ascii="Arial" w:cs="Arial" w:eastAsia="Arial" w:hAnsi="Arial"/>
                <w:sz w:val="13"/>
                <w:szCs w:val="13"/>
                <w:color w:val="auto"/>
              </w:rPr>
              <w:t>April 7, 2011</w:t>
            </w:r>
          </w:p>
        </w:tc>
      </w:tr>
      <w:tr>
        <w:trPr>
          <w:trHeight w:val="155"/>
        </w:trPr>
        <w:tc>
          <w:tcPr>
            <w:tcW w:w="680" w:type="dxa"/>
            <w:vAlign w:val="bottom"/>
          </w:tcPr>
          <w:p>
            <w:pPr>
              <w:spacing w:after="0"/>
              <w:rPr>
                <w:sz w:val="13"/>
                <w:szCs w:val="13"/>
                <w:color w:val="auto"/>
              </w:rPr>
            </w:pPr>
          </w:p>
        </w:tc>
        <w:tc>
          <w:tcPr>
            <w:tcW w:w="4420" w:type="dxa"/>
            <w:vAlign w:val="bottom"/>
          </w:tcPr>
          <w:p>
            <w:pPr>
              <w:jc w:val="center"/>
              <w:spacing w:after="0"/>
              <w:rPr>
                <w:sz w:val="20"/>
                <w:szCs w:val="20"/>
                <w:color w:val="auto"/>
              </w:rPr>
            </w:pPr>
            <w:r>
              <w:rPr>
                <w:rFonts w:ascii="Arial" w:cs="Arial" w:eastAsia="Arial" w:hAnsi="Arial"/>
                <w:sz w:val="13"/>
                <w:szCs w:val="13"/>
                <w:color w:val="auto"/>
                <w:w w:val="94"/>
              </w:rPr>
              <w:t>(Philippe Camus)</w:t>
            </w:r>
          </w:p>
        </w:tc>
        <w:tc>
          <w:tcPr>
            <w:tcW w:w="42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4260" w:type="dxa"/>
            <w:vAlign w:val="bottom"/>
          </w:tcPr>
          <w:p>
            <w:pPr>
              <w:jc w:val="center"/>
              <w:ind w:left="154"/>
              <w:spacing w:after="0"/>
              <w:rPr>
                <w:sz w:val="20"/>
                <w:szCs w:val="20"/>
                <w:color w:val="auto"/>
              </w:rPr>
            </w:pPr>
            <w:r>
              <w:rPr>
                <w:rFonts w:ascii="Arial" w:cs="Arial" w:eastAsia="Arial" w:hAnsi="Arial"/>
                <w:sz w:val="13"/>
                <w:szCs w:val="13"/>
                <w:color w:val="auto"/>
                <w:w w:val="96"/>
              </w:rPr>
              <w:t>Director</w:t>
            </w:r>
          </w:p>
        </w:tc>
        <w:tc>
          <w:tcPr>
            <w:tcW w:w="2100" w:type="dxa"/>
            <w:vAlign w:val="bottom"/>
          </w:tcPr>
          <w:p>
            <w:pPr>
              <w:ind w:left="420"/>
              <w:spacing w:after="0"/>
              <w:rPr>
                <w:sz w:val="20"/>
                <w:szCs w:val="20"/>
                <w:color w:val="auto"/>
              </w:rPr>
            </w:pPr>
            <w:r>
              <w:rPr>
                <w:rFonts w:ascii="Arial" w:cs="Arial" w:eastAsia="Arial" w:hAnsi="Arial"/>
                <w:sz w:val="13"/>
                <w:szCs w:val="13"/>
                <w:color w:val="auto"/>
              </w:rPr>
              <w:t>April 7, 2011</w:t>
            </w:r>
          </w:p>
        </w:tc>
      </w:tr>
      <w:tr>
        <w:trPr>
          <w:trHeight w:val="155"/>
        </w:trPr>
        <w:tc>
          <w:tcPr>
            <w:tcW w:w="680" w:type="dxa"/>
            <w:vAlign w:val="bottom"/>
          </w:tcPr>
          <w:p>
            <w:pPr>
              <w:spacing w:after="0"/>
              <w:rPr>
                <w:sz w:val="13"/>
                <w:szCs w:val="13"/>
                <w:color w:val="auto"/>
              </w:rPr>
            </w:pPr>
          </w:p>
        </w:tc>
        <w:tc>
          <w:tcPr>
            <w:tcW w:w="4420" w:type="dxa"/>
            <w:vAlign w:val="bottom"/>
          </w:tcPr>
          <w:p>
            <w:pPr>
              <w:jc w:val="center"/>
              <w:spacing w:after="0"/>
              <w:rPr>
                <w:sz w:val="20"/>
                <w:szCs w:val="20"/>
                <w:color w:val="auto"/>
              </w:rPr>
            </w:pPr>
            <w:r>
              <w:rPr>
                <w:rFonts w:ascii="Arial" w:cs="Arial" w:eastAsia="Arial" w:hAnsi="Arial"/>
                <w:sz w:val="13"/>
                <w:szCs w:val="13"/>
                <w:color w:val="auto"/>
                <w:w w:val="92"/>
              </w:rPr>
              <w:t>(Peter L.S. Currie)</w:t>
            </w:r>
          </w:p>
        </w:tc>
        <w:tc>
          <w:tcPr>
            <w:tcW w:w="42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4260" w:type="dxa"/>
            <w:vAlign w:val="bottom"/>
          </w:tcPr>
          <w:p>
            <w:pPr>
              <w:jc w:val="center"/>
              <w:ind w:left="154"/>
              <w:spacing w:after="0"/>
              <w:rPr>
                <w:sz w:val="20"/>
                <w:szCs w:val="20"/>
                <w:color w:val="auto"/>
              </w:rPr>
            </w:pPr>
            <w:r>
              <w:rPr>
                <w:rFonts w:ascii="Arial" w:cs="Arial" w:eastAsia="Arial" w:hAnsi="Arial"/>
                <w:sz w:val="13"/>
                <w:szCs w:val="13"/>
                <w:color w:val="auto"/>
                <w:w w:val="96"/>
              </w:rPr>
              <w:t>Director</w:t>
            </w:r>
          </w:p>
        </w:tc>
        <w:tc>
          <w:tcPr>
            <w:tcW w:w="2100" w:type="dxa"/>
            <w:vAlign w:val="bottom"/>
          </w:tcPr>
          <w:p>
            <w:pPr>
              <w:ind w:left="420"/>
              <w:spacing w:after="0"/>
              <w:rPr>
                <w:sz w:val="20"/>
                <w:szCs w:val="20"/>
                <w:color w:val="auto"/>
              </w:rPr>
            </w:pPr>
            <w:r>
              <w:rPr>
                <w:rFonts w:ascii="Arial" w:cs="Arial" w:eastAsia="Arial" w:hAnsi="Arial"/>
                <w:sz w:val="13"/>
                <w:szCs w:val="13"/>
                <w:color w:val="auto"/>
              </w:rPr>
              <w:t>April 7, 2011</w:t>
            </w:r>
          </w:p>
        </w:tc>
      </w:tr>
      <w:tr>
        <w:trPr>
          <w:trHeight w:val="155"/>
        </w:trPr>
        <w:tc>
          <w:tcPr>
            <w:tcW w:w="680" w:type="dxa"/>
            <w:vAlign w:val="bottom"/>
          </w:tcPr>
          <w:p>
            <w:pPr>
              <w:spacing w:after="0"/>
              <w:rPr>
                <w:sz w:val="13"/>
                <w:szCs w:val="13"/>
                <w:color w:val="auto"/>
              </w:rPr>
            </w:pPr>
          </w:p>
        </w:tc>
        <w:tc>
          <w:tcPr>
            <w:tcW w:w="4420" w:type="dxa"/>
            <w:vAlign w:val="bottom"/>
          </w:tcPr>
          <w:p>
            <w:pPr>
              <w:jc w:val="center"/>
              <w:spacing w:after="0"/>
              <w:rPr>
                <w:sz w:val="20"/>
                <w:szCs w:val="20"/>
                <w:color w:val="auto"/>
              </w:rPr>
            </w:pPr>
            <w:r>
              <w:rPr>
                <w:rFonts w:ascii="Arial" w:cs="Arial" w:eastAsia="Arial" w:hAnsi="Arial"/>
                <w:sz w:val="13"/>
                <w:szCs w:val="13"/>
                <w:color w:val="auto"/>
                <w:w w:val="91"/>
              </w:rPr>
              <w:t>(Tony Isaac)</w:t>
            </w:r>
          </w:p>
        </w:tc>
        <w:tc>
          <w:tcPr>
            <w:tcW w:w="42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4260" w:type="dxa"/>
            <w:vAlign w:val="bottom"/>
          </w:tcPr>
          <w:p>
            <w:pPr>
              <w:jc w:val="center"/>
              <w:ind w:left="154"/>
              <w:spacing w:after="0"/>
              <w:rPr>
                <w:sz w:val="20"/>
                <w:szCs w:val="20"/>
                <w:color w:val="auto"/>
              </w:rPr>
            </w:pPr>
            <w:r>
              <w:rPr>
                <w:rFonts w:ascii="Arial" w:cs="Arial" w:eastAsia="Arial" w:hAnsi="Arial"/>
                <w:sz w:val="13"/>
                <w:szCs w:val="13"/>
                <w:color w:val="auto"/>
                <w:w w:val="96"/>
              </w:rPr>
              <w:t>Director</w:t>
            </w:r>
          </w:p>
        </w:tc>
        <w:tc>
          <w:tcPr>
            <w:tcW w:w="2100" w:type="dxa"/>
            <w:vAlign w:val="bottom"/>
          </w:tcPr>
          <w:p>
            <w:pPr>
              <w:ind w:left="420"/>
              <w:spacing w:after="0"/>
              <w:rPr>
                <w:sz w:val="20"/>
                <w:szCs w:val="20"/>
                <w:color w:val="auto"/>
              </w:rPr>
            </w:pPr>
            <w:r>
              <w:rPr>
                <w:rFonts w:ascii="Arial" w:cs="Arial" w:eastAsia="Arial" w:hAnsi="Arial"/>
                <w:sz w:val="13"/>
                <w:szCs w:val="13"/>
                <w:color w:val="auto"/>
              </w:rPr>
              <w:t>April 7, 2011</w:t>
            </w:r>
          </w:p>
        </w:tc>
      </w:tr>
      <w:tr>
        <w:trPr>
          <w:trHeight w:val="155"/>
        </w:trPr>
        <w:tc>
          <w:tcPr>
            <w:tcW w:w="680" w:type="dxa"/>
            <w:vAlign w:val="bottom"/>
          </w:tcPr>
          <w:p>
            <w:pPr>
              <w:spacing w:after="0"/>
              <w:rPr>
                <w:sz w:val="13"/>
                <w:szCs w:val="13"/>
                <w:color w:val="auto"/>
              </w:rPr>
            </w:pPr>
          </w:p>
        </w:tc>
        <w:tc>
          <w:tcPr>
            <w:tcW w:w="4420" w:type="dxa"/>
            <w:vAlign w:val="bottom"/>
          </w:tcPr>
          <w:p>
            <w:pPr>
              <w:jc w:val="center"/>
              <w:spacing w:after="0"/>
              <w:rPr>
                <w:sz w:val="20"/>
                <w:szCs w:val="20"/>
                <w:color w:val="auto"/>
              </w:rPr>
            </w:pPr>
            <w:r>
              <w:rPr>
                <w:rFonts w:ascii="Arial" w:cs="Arial" w:eastAsia="Arial" w:hAnsi="Arial"/>
                <w:sz w:val="13"/>
                <w:szCs w:val="13"/>
                <w:color w:val="auto"/>
                <w:w w:val="92"/>
              </w:rPr>
              <w:t>(K. Vaman Kamath)</w:t>
            </w:r>
          </w:p>
        </w:tc>
        <w:tc>
          <w:tcPr>
            <w:tcW w:w="42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4260" w:type="dxa"/>
            <w:vAlign w:val="bottom"/>
          </w:tcPr>
          <w:p>
            <w:pPr>
              <w:jc w:val="center"/>
              <w:ind w:left="154"/>
              <w:spacing w:after="0"/>
              <w:rPr>
                <w:sz w:val="20"/>
                <w:szCs w:val="20"/>
                <w:color w:val="auto"/>
              </w:rPr>
            </w:pPr>
            <w:r>
              <w:rPr>
                <w:rFonts w:ascii="Arial" w:cs="Arial" w:eastAsia="Arial" w:hAnsi="Arial"/>
                <w:sz w:val="13"/>
                <w:szCs w:val="13"/>
                <w:color w:val="auto"/>
                <w:w w:val="96"/>
              </w:rPr>
              <w:t>Director</w:t>
            </w:r>
          </w:p>
        </w:tc>
        <w:tc>
          <w:tcPr>
            <w:tcW w:w="2100" w:type="dxa"/>
            <w:vAlign w:val="bottom"/>
          </w:tcPr>
          <w:p>
            <w:pPr>
              <w:ind w:left="420"/>
              <w:spacing w:after="0"/>
              <w:rPr>
                <w:sz w:val="20"/>
                <w:szCs w:val="20"/>
                <w:color w:val="auto"/>
              </w:rPr>
            </w:pPr>
            <w:r>
              <w:rPr>
                <w:rFonts w:ascii="Arial" w:cs="Arial" w:eastAsia="Arial" w:hAnsi="Arial"/>
                <w:sz w:val="13"/>
                <w:szCs w:val="13"/>
                <w:color w:val="auto"/>
              </w:rPr>
              <w:t>April 7, 2011</w:t>
            </w:r>
          </w:p>
        </w:tc>
      </w:tr>
      <w:tr>
        <w:trPr>
          <w:trHeight w:val="155"/>
        </w:trPr>
        <w:tc>
          <w:tcPr>
            <w:tcW w:w="680" w:type="dxa"/>
            <w:vAlign w:val="bottom"/>
          </w:tcPr>
          <w:p>
            <w:pPr>
              <w:spacing w:after="0"/>
              <w:rPr>
                <w:sz w:val="13"/>
                <w:szCs w:val="13"/>
                <w:color w:val="auto"/>
              </w:rPr>
            </w:pPr>
          </w:p>
        </w:tc>
        <w:tc>
          <w:tcPr>
            <w:tcW w:w="4420" w:type="dxa"/>
            <w:vAlign w:val="bottom"/>
          </w:tcPr>
          <w:p>
            <w:pPr>
              <w:jc w:val="center"/>
              <w:spacing w:after="0"/>
              <w:rPr>
                <w:sz w:val="20"/>
                <w:szCs w:val="20"/>
                <w:color w:val="auto"/>
              </w:rPr>
            </w:pPr>
            <w:r>
              <w:rPr>
                <w:rFonts w:ascii="Arial" w:cs="Arial" w:eastAsia="Arial" w:hAnsi="Arial"/>
                <w:sz w:val="13"/>
                <w:szCs w:val="13"/>
                <w:color w:val="auto"/>
                <w:w w:val="96"/>
              </w:rPr>
              <w:t>(Nikolay Kudryavtsev)</w:t>
            </w:r>
          </w:p>
        </w:tc>
        <w:tc>
          <w:tcPr>
            <w:tcW w:w="42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4260" w:type="dxa"/>
            <w:vAlign w:val="bottom"/>
          </w:tcPr>
          <w:p>
            <w:pPr>
              <w:jc w:val="center"/>
              <w:ind w:left="154"/>
              <w:spacing w:after="0"/>
              <w:rPr>
                <w:sz w:val="20"/>
                <w:szCs w:val="20"/>
                <w:color w:val="auto"/>
              </w:rPr>
            </w:pPr>
            <w:r>
              <w:rPr>
                <w:rFonts w:ascii="Arial" w:cs="Arial" w:eastAsia="Arial" w:hAnsi="Arial"/>
                <w:sz w:val="13"/>
                <w:szCs w:val="13"/>
                <w:color w:val="auto"/>
                <w:w w:val="96"/>
              </w:rPr>
              <w:t>Director</w:t>
            </w:r>
          </w:p>
        </w:tc>
        <w:tc>
          <w:tcPr>
            <w:tcW w:w="2100" w:type="dxa"/>
            <w:vAlign w:val="bottom"/>
          </w:tcPr>
          <w:p>
            <w:pPr>
              <w:ind w:left="420"/>
              <w:spacing w:after="0"/>
              <w:rPr>
                <w:sz w:val="20"/>
                <w:szCs w:val="20"/>
                <w:color w:val="auto"/>
              </w:rPr>
            </w:pPr>
            <w:r>
              <w:rPr>
                <w:rFonts w:ascii="Arial" w:cs="Arial" w:eastAsia="Arial" w:hAnsi="Arial"/>
                <w:sz w:val="13"/>
                <w:szCs w:val="13"/>
                <w:color w:val="auto"/>
              </w:rPr>
              <w:t>April 7, 2011</w:t>
            </w:r>
          </w:p>
        </w:tc>
      </w:tr>
      <w:tr>
        <w:trPr>
          <w:trHeight w:val="155"/>
        </w:trPr>
        <w:tc>
          <w:tcPr>
            <w:tcW w:w="680" w:type="dxa"/>
            <w:vAlign w:val="bottom"/>
          </w:tcPr>
          <w:p>
            <w:pPr>
              <w:spacing w:after="0"/>
              <w:rPr>
                <w:sz w:val="13"/>
                <w:szCs w:val="13"/>
                <w:color w:val="auto"/>
              </w:rPr>
            </w:pPr>
          </w:p>
        </w:tc>
        <w:tc>
          <w:tcPr>
            <w:tcW w:w="4420" w:type="dxa"/>
            <w:vAlign w:val="bottom"/>
          </w:tcPr>
          <w:p>
            <w:pPr>
              <w:jc w:val="center"/>
              <w:spacing w:after="0"/>
              <w:rPr>
                <w:sz w:val="20"/>
                <w:szCs w:val="20"/>
                <w:color w:val="auto"/>
              </w:rPr>
            </w:pPr>
            <w:r>
              <w:rPr>
                <w:rFonts w:ascii="Arial" w:cs="Arial" w:eastAsia="Arial" w:hAnsi="Arial"/>
                <w:sz w:val="13"/>
                <w:szCs w:val="13"/>
                <w:color w:val="auto"/>
                <w:w w:val="95"/>
              </w:rPr>
              <w:t>(Adrian Lajous)</w:t>
            </w:r>
          </w:p>
        </w:tc>
        <w:tc>
          <w:tcPr>
            <w:tcW w:w="42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4260" w:type="dxa"/>
            <w:vAlign w:val="bottom"/>
          </w:tcPr>
          <w:p>
            <w:pPr>
              <w:jc w:val="center"/>
              <w:ind w:left="154"/>
              <w:spacing w:after="0"/>
              <w:rPr>
                <w:sz w:val="20"/>
                <w:szCs w:val="20"/>
                <w:color w:val="auto"/>
              </w:rPr>
            </w:pPr>
            <w:r>
              <w:rPr>
                <w:rFonts w:ascii="Arial" w:cs="Arial" w:eastAsia="Arial" w:hAnsi="Arial"/>
                <w:sz w:val="13"/>
                <w:szCs w:val="13"/>
                <w:color w:val="auto"/>
                <w:w w:val="96"/>
              </w:rPr>
              <w:t>Director</w:t>
            </w:r>
          </w:p>
        </w:tc>
        <w:tc>
          <w:tcPr>
            <w:tcW w:w="2100" w:type="dxa"/>
            <w:vAlign w:val="bottom"/>
          </w:tcPr>
          <w:p>
            <w:pPr>
              <w:ind w:left="420"/>
              <w:spacing w:after="0"/>
              <w:rPr>
                <w:sz w:val="20"/>
                <w:szCs w:val="20"/>
                <w:color w:val="auto"/>
              </w:rPr>
            </w:pPr>
            <w:r>
              <w:rPr>
                <w:rFonts w:ascii="Arial" w:cs="Arial" w:eastAsia="Arial" w:hAnsi="Arial"/>
                <w:sz w:val="13"/>
                <w:szCs w:val="13"/>
                <w:color w:val="auto"/>
              </w:rPr>
              <w:t>April 7, 2011</w:t>
            </w:r>
          </w:p>
        </w:tc>
      </w:tr>
      <w:tr>
        <w:trPr>
          <w:trHeight w:val="155"/>
        </w:trPr>
        <w:tc>
          <w:tcPr>
            <w:tcW w:w="680" w:type="dxa"/>
            <w:vAlign w:val="bottom"/>
          </w:tcPr>
          <w:p>
            <w:pPr>
              <w:spacing w:after="0"/>
              <w:rPr>
                <w:sz w:val="13"/>
                <w:szCs w:val="13"/>
                <w:color w:val="auto"/>
              </w:rPr>
            </w:pPr>
          </w:p>
        </w:tc>
        <w:tc>
          <w:tcPr>
            <w:tcW w:w="4420" w:type="dxa"/>
            <w:vAlign w:val="bottom"/>
          </w:tcPr>
          <w:p>
            <w:pPr>
              <w:jc w:val="center"/>
              <w:spacing w:after="0"/>
              <w:rPr>
                <w:sz w:val="20"/>
                <w:szCs w:val="20"/>
                <w:color w:val="auto"/>
              </w:rPr>
            </w:pPr>
            <w:r>
              <w:rPr>
                <w:rFonts w:ascii="Arial" w:cs="Arial" w:eastAsia="Arial" w:hAnsi="Arial"/>
                <w:sz w:val="13"/>
                <w:szCs w:val="13"/>
                <w:color w:val="auto"/>
                <w:w w:val="94"/>
              </w:rPr>
              <w:t>(Michael E. Marks)</w:t>
            </w:r>
          </w:p>
        </w:tc>
        <w:tc>
          <w:tcPr>
            <w:tcW w:w="42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260" w:type="dxa"/>
            <w:vAlign w:val="bottom"/>
          </w:tcPr>
          <w:p>
            <w:pPr>
              <w:ind w:left="480"/>
              <w:spacing w:after="0"/>
              <w:rPr>
                <w:sz w:val="20"/>
                <w:szCs w:val="20"/>
                <w:color w:val="auto"/>
              </w:rPr>
            </w:pPr>
            <w:r>
              <w:rPr>
                <w:rFonts w:ascii="Arial" w:cs="Arial" w:eastAsia="Arial" w:hAnsi="Arial"/>
                <w:sz w:val="13"/>
                <w:szCs w:val="13"/>
                <w:color w:val="auto"/>
              </w:rPr>
              <w:t>II-6</w:t>
            </w:r>
          </w:p>
        </w:tc>
        <w:tc>
          <w:tcPr>
            <w:tcW w:w="21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42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21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2860"/>
        <w:spacing w:after="0"/>
        <w:tabs>
          <w:tab w:leader="none" w:pos="7300" w:val="left"/>
          <w:tab w:leader="none" w:pos="101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6421755</wp:posOffset>
            </wp:positionH>
            <wp:positionV relativeFrom="paragraph">
              <wp:posOffset>12700</wp:posOffset>
            </wp:positionV>
            <wp:extent cx="635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44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w:t>
            </w:r>
          </w:p>
        </w:tc>
        <w:tc>
          <w:tcPr>
            <w:tcW w:w="356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2800" w:type="dxa"/>
            <w:vAlign w:val="bottom"/>
          </w:tcPr>
          <w:p>
            <w:pPr>
              <w:ind w:left="1120"/>
              <w:spacing w:after="0"/>
              <w:rPr>
                <w:sz w:val="20"/>
                <w:szCs w:val="20"/>
                <w:color w:val="auto"/>
              </w:rPr>
            </w:pPr>
            <w:r>
              <w:rPr>
                <w:rFonts w:ascii="Arial" w:cs="Arial" w:eastAsia="Arial" w:hAnsi="Arial"/>
                <w:sz w:val="13"/>
                <w:szCs w:val="13"/>
                <w:color w:val="auto"/>
              </w:rPr>
              <w:t>April 7, 2011</w:t>
            </w:r>
          </w:p>
        </w:tc>
      </w:tr>
      <w:tr>
        <w:trPr>
          <w:trHeight w:val="160"/>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120" w:type="dxa"/>
            <w:vAlign w:val="bottom"/>
          </w:tcPr>
          <w:p>
            <w:pPr>
              <w:jc w:val="center"/>
              <w:ind w:right="234"/>
              <w:spacing w:after="0"/>
              <w:rPr>
                <w:sz w:val="20"/>
                <w:szCs w:val="20"/>
                <w:color w:val="auto"/>
              </w:rPr>
            </w:pPr>
            <w:r>
              <w:rPr>
                <w:rFonts w:ascii="Arial" w:cs="Arial" w:eastAsia="Arial" w:hAnsi="Arial"/>
                <w:sz w:val="13"/>
                <w:szCs w:val="13"/>
                <w:color w:val="auto"/>
                <w:w w:val="95"/>
              </w:rPr>
              <w:t>(Elizabeth Anne Moler)</w:t>
            </w:r>
          </w:p>
        </w:tc>
        <w:tc>
          <w:tcPr>
            <w:tcW w:w="3560" w:type="dxa"/>
            <w:vAlign w:val="bottom"/>
          </w:tcPr>
          <w:p>
            <w:pPr>
              <w:spacing w:after="0"/>
              <w:rPr>
                <w:sz w:val="13"/>
                <w:szCs w:val="13"/>
                <w:color w:val="auto"/>
              </w:rPr>
            </w:pPr>
          </w:p>
        </w:tc>
        <w:tc>
          <w:tcPr>
            <w:tcW w:w="280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4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w:t>
            </w:r>
          </w:p>
        </w:tc>
        <w:tc>
          <w:tcPr>
            <w:tcW w:w="356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2800" w:type="dxa"/>
            <w:vAlign w:val="bottom"/>
          </w:tcPr>
          <w:p>
            <w:pPr>
              <w:ind w:left="1120"/>
              <w:spacing w:after="0"/>
              <w:rPr>
                <w:sz w:val="20"/>
                <w:szCs w:val="20"/>
                <w:color w:val="auto"/>
              </w:rPr>
            </w:pPr>
            <w:r>
              <w:rPr>
                <w:rFonts w:ascii="Arial" w:cs="Arial" w:eastAsia="Arial" w:hAnsi="Arial"/>
                <w:sz w:val="13"/>
                <w:szCs w:val="13"/>
                <w:color w:val="auto"/>
              </w:rPr>
              <w:t>April 7, 2011</w:t>
            </w:r>
          </w:p>
        </w:tc>
      </w:tr>
      <w:tr>
        <w:trPr>
          <w:trHeight w:val="160"/>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120" w:type="dxa"/>
            <w:vAlign w:val="bottom"/>
          </w:tcPr>
          <w:p>
            <w:pPr>
              <w:jc w:val="center"/>
              <w:ind w:right="234"/>
              <w:spacing w:after="0"/>
              <w:rPr>
                <w:sz w:val="20"/>
                <w:szCs w:val="20"/>
                <w:color w:val="auto"/>
              </w:rPr>
            </w:pPr>
            <w:r>
              <w:rPr>
                <w:rFonts w:ascii="Arial" w:cs="Arial" w:eastAsia="Arial" w:hAnsi="Arial"/>
                <w:sz w:val="13"/>
                <w:szCs w:val="13"/>
                <w:color w:val="auto"/>
                <w:w w:val="95"/>
              </w:rPr>
              <w:t>(Leo Rafael Reif)</w:t>
            </w:r>
          </w:p>
        </w:tc>
        <w:tc>
          <w:tcPr>
            <w:tcW w:w="3560" w:type="dxa"/>
            <w:vAlign w:val="bottom"/>
          </w:tcPr>
          <w:p>
            <w:pPr>
              <w:spacing w:after="0"/>
              <w:rPr>
                <w:sz w:val="13"/>
                <w:szCs w:val="13"/>
                <w:color w:val="auto"/>
              </w:rPr>
            </w:pPr>
          </w:p>
        </w:tc>
        <w:tc>
          <w:tcPr>
            <w:tcW w:w="280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4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w:t>
            </w:r>
          </w:p>
        </w:tc>
        <w:tc>
          <w:tcPr>
            <w:tcW w:w="356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2800" w:type="dxa"/>
            <w:vAlign w:val="bottom"/>
          </w:tcPr>
          <w:p>
            <w:pPr>
              <w:ind w:left="1120"/>
              <w:spacing w:after="0"/>
              <w:rPr>
                <w:sz w:val="20"/>
                <w:szCs w:val="20"/>
                <w:color w:val="auto"/>
              </w:rPr>
            </w:pPr>
            <w:r>
              <w:rPr>
                <w:rFonts w:ascii="Arial" w:cs="Arial" w:eastAsia="Arial" w:hAnsi="Arial"/>
                <w:sz w:val="13"/>
                <w:szCs w:val="13"/>
                <w:color w:val="auto"/>
              </w:rPr>
              <w:t>April 7, 2011</w:t>
            </w:r>
          </w:p>
        </w:tc>
      </w:tr>
      <w:tr>
        <w:trPr>
          <w:trHeight w:val="160"/>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120" w:type="dxa"/>
            <w:vAlign w:val="bottom"/>
          </w:tcPr>
          <w:p>
            <w:pPr>
              <w:jc w:val="center"/>
              <w:ind w:right="234"/>
              <w:spacing w:after="0"/>
              <w:rPr>
                <w:sz w:val="20"/>
                <w:szCs w:val="20"/>
                <w:color w:val="auto"/>
              </w:rPr>
            </w:pPr>
            <w:r>
              <w:rPr>
                <w:rFonts w:ascii="Arial" w:cs="Arial" w:eastAsia="Arial" w:hAnsi="Arial"/>
                <w:sz w:val="13"/>
                <w:szCs w:val="13"/>
                <w:color w:val="auto"/>
                <w:w w:val="94"/>
              </w:rPr>
              <w:t>(Tore I. Sandvold)</w:t>
            </w:r>
          </w:p>
        </w:tc>
        <w:tc>
          <w:tcPr>
            <w:tcW w:w="3560" w:type="dxa"/>
            <w:vAlign w:val="bottom"/>
          </w:tcPr>
          <w:p>
            <w:pPr>
              <w:spacing w:after="0"/>
              <w:rPr>
                <w:sz w:val="13"/>
                <w:szCs w:val="13"/>
                <w:color w:val="auto"/>
              </w:rPr>
            </w:pPr>
          </w:p>
        </w:tc>
        <w:tc>
          <w:tcPr>
            <w:tcW w:w="280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4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w:t>
            </w:r>
          </w:p>
        </w:tc>
        <w:tc>
          <w:tcPr>
            <w:tcW w:w="356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2800" w:type="dxa"/>
            <w:vAlign w:val="bottom"/>
          </w:tcPr>
          <w:p>
            <w:pPr>
              <w:ind w:left="1120"/>
              <w:spacing w:after="0"/>
              <w:rPr>
                <w:sz w:val="20"/>
                <w:szCs w:val="20"/>
                <w:color w:val="auto"/>
              </w:rPr>
            </w:pPr>
            <w:r>
              <w:rPr>
                <w:rFonts w:ascii="Arial" w:cs="Arial" w:eastAsia="Arial" w:hAnsi="Arial"/>
                <w:sz w:val="13"/>
                <w:szCs w:val="13"/>
                <w:color w:val="auto"/>
              </w:rPr>
              <w:t>April 7, 2011</w:t>
            </w:r>
          </w:p>
        </w:tc>
      </w:tr>
      <w:tr>
        <w:trPr>
          <w:trHeight w:val="160"/>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120" w:type="dxa"/>
            <w:vAlign w:val="bottom"/>
          </w:tcPr>
          <w:p>
            <w:pPr>
              <w:jc w:val="center"/>
              <w:ind w:right="234"/>
              <w:spacing w:after="0"/>
              <w:rPr>
                <w:sz w:val="20"/>
                <w:szCs w:val="20"/>
                <w:color w:val="auto"/>
              </w:rPr>
            </w:pPr>
            <w:r>
              <w:rPr>
                <w:rFonts w:ascii="Arial" w:cs="Arial" w:eastAsia="Arial" w:hAnsi="Arial"/>
                <w:sz w:val="13"/>
                <w:szCs w:val="13"/>
                <w:color w:val="auto"/>
                <w:w w:val="91"/>
              </w:rPr>
              <w:t>(Henri Seydoux)</w:t>
            </w:r>
          </w:p>
        </w:tc>
        <w:tc>
          <w:tcPr>
            <w:tcW w:w="3560" w:type="dxa"/>
            <w:vAlign w:val="bottom"/>
          </w:tcPr>
          <w:p>
            <w:pPr>
              <w:spacing w:after="0"/>
              <w:rPr>
                <w:sz w:val="13"/>
                <w:szCs w:val="13"/>
                <w:color w:val="auto"/>
              </w:rPr>
            </w:pPr>
          </w:p>
        </w:tc>
        <w:tc>
          <w:tcPr>
            <w:tcW w:w="280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3"/>
                <w:szCs w:val="13"/>
                <w:color w:val="auto"/>
              </w:rPr>
              <w:t>*By: /s/ Howard Guild</w:t>
            </w:r>
          </w:p>
        </w:tc>
        <w:tc>
          <w:tcPr>
            <w:tcW w:w="35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60"/>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Howard Guild, Attorney-in-Fact</w:t>
            </w:r>
          </w:p>
        </w:tc>
        <w:tc>
          <w:tcPr>
            <w:tcW w:w="3560" w:type="dxa"/>
            <w:vAlign w:val="bottom"/>
          </w:tcPr>
          <w:p>
            <w:pPr>
              <w:spacing w:after="0"/>
              <w:rPr>
                <w:sz w:val="13"/>
                <w:szCs w:val="13"/>
                <w:color w:val="auto"/>
              </w:rPr>
            </w:pPr>
          </w:p>
        </w:tc>
        <w:tc>
          <w:tcPr>
            <w:tcW w:w="280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560" w:type="dxa"/>
            <w:vAlign w:val="bottom"/>
          </w:tcPr>
          <w:p>
            <w:pPr>
              <w:ind w:left="480"/>
              <w:spacing w:after="0"/>
              <w:rPr>
                <w:sz w:val="20"/>
                <w:szCs w:val="20"/>
                <w:color w:val="auto"/>
              </w:rPr>
            </w:pPr>
            <w:r>
              <w:rPr>
                <w:rFonts w:ascii="Arial" w:cs="Arial" w:eastAsia="Arial" w:hAnsi="Arial"/>
                <w:sz w:val="13"/>
                <w:szCs w:val="13"/>
                <w:color w:val="auto"/>
              </w:rPr>
              <w:t>II-7</w:t>
            </w:r>
          </w:p>
        </w:tc>
        <w:tc>
          <w:tcPr>
            <w:tcW w:w="2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3560" w:type="dxa"/>
            <w:vAlign w:val="bottom"/>
            <w:tcBorders>
              <w:bottom w:val="single" w:sz="8" w:color="808080"/>
            </w:tcBorders>
          </w:tcPr>
          <w:p>
            <w:pPr>
              <w:spacing w:after="0"/>
              <w:rPr>
                <w:sz w:val="14"/>
                <w:szCs w:val="14"/>
                <w:color w:val="auto"/>
              </w:rPr>
            </w:pPr>
          </w:p>
        </w:tc>
        <w:tc>
          <w:tcPr>
            <w:tcW w:w="2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880" w:type="dxa"/>
        <w:tblCellMar>
          <w:top w:w="0" w:type="dxa"/>
          <w:left w:w="0" w:type="dxa"/>
          <w:bottom w:w="0" w:type="dxa"/>
          <w:right w:w="0" w:type="dxa"/>
        </w:tblCellMar>
      </w:tblPr>
      <w:tr>
        <w:trPr>
          <w:trHeight w:val="169"/>
        </w:trPr>
        <w:tc>
          <w:tcPr>
            <w:tcW w:w="2420" w:type="dxa"/>
            <w:vAlign w:val="bottom"/>
          </w:tcPr>
          <w:p>
            <w:pPr>
              <w:spacing w:after="0"/>
              <w:rPr>
                <w:sz w:val="14"/>
                <w:szCs w:val="14"/>
                <w:color w:val="auto"/>
              </w:rPr>
            </w:pPr>
          </w:p>
        </w:tc>
        <w:tc>
          <w:tcPr>
            <w:tcW w:w="3300" w:type="dxa"/>
            <w:vAlign w:val="bottom"/>
            <w:gridSpan w:val="3"/>
          </w:tcPr>
          <w:p>
            <w:pPr>
              <w:ind w:left="186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269"/>
        </w:trPr>
        <w:tc>
          <w:tcPr>
            <w:tcW w:w="242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780" w:type="dxa"/>
            <w:vAlign w:val="bottom"/>
          </w:tcPr>
          <w:p>
            <w:pPr>
              <w:spacing w:after="0"/>
              <w:rPr>
                <w:sz w:val="23"/>
                <w:szCs w:val="23"/>
                <w:color w:val="auto"/>
              </w:rPr>
            </w:pPr>
          </w:p>
        </w:tc>
        <w:tc>
          <w:tcPr>
            <w:tcW w:w="52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90"/>
              </w:rPr>
              <w:t>Description</w:t>
            </w:r>
          </w:p>
        </w:tc>
        <w:tc>
          <w:tcPr>
            <w:tcW w:w="0" w:type="dxa"/>
            <w:vAlign w:val="bottom"/>
          </w:tcPr>
          <w:p>
            <w:pPr>
              <w:spacing w:after="0"/>
              <w:rPr>
                <w:sz w:val="1"/>
                <w:szCs w:val="1"/>
                <w:color w:val="auto"/>
              </w:rPr>
            </w:pPr>
          </w:p>
        </w:tc>
      </w:tr>
      <w:tr>
        <w:trPr>
          <w:trHeight w:val="135"/>
        </w:trPr>
        <w:tc>
          <w:tcPr>
            <w:tcW w:w="242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7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-5715</wp:posOffset>
            </wp:positionV>
            <wp:extent cx="635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Form of Underwriting Agreement.*</w:t>
      </w:r>
    </w:p>
    <w:p>
      <w:pPr>
        <w:spacing w:after="0" w:line="15" w:lineRule="exact"/>
        <w:rPr>
          <w:sz w:val="20"/>
          <w:szCs w:val="20"/>
          <w:color w:val="auto"/>
        </w:rPr>
      </w:pPr>
    </w:p>
    <w:p>
      <w:pPr>
        <w:jc w:val="right"/>
        <w:spacing w:after="0"/>
        <w:tabs>
          <w:tab w:leader="none" w:pos="864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Amended and Restated By-Laws of the Registrant (incorporated by reference to Exhibit 3.1 to Schlumberger’s Current Report on Form 8-K filed on April 22, 2005).</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2"/>
          <w:szCs w:val="12"/>
          <w:color w:val="auto"/>
        </w:rPr>
        <w:t>Form of Senior Indenture.</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1"/>
          <w:szCs w:val="11"/>
          <w:color w:val="auto"/>
        </w:rPr>
        <w:t>Form of Subordinated Indenture.</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2"/>
          <w:szCs w:val="12"/>
          <w:color w:val="auto"/>
        </w:rPr>
        <w:t>Form of Debt Securities.*</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1"/>
          <w:szCs w:val="11"/>
          <w:color w:val="auto"/>
        </w:rPr>
        <w:t>Opinion of Alexander C. Juden, Esq.</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5.2</w:t>
      </w:r>
      <w:r>
        <w:rPr>
          <w:sz w:val="20"/>
          <w:szCs w:val="20"/>
          <w:color w:val="auto"/>
        </w:rPr>
        <w:tab/>
      </w:r>
      <w:r>
        <w:rPr>
          <w:rFonts w:ascii="Arial" w:cs="Arial" w:eastAsia="Arial" w:hAnsi="Arial"/>
          <w:sz w:val="12"/>
          <w:szCs w:val="12"/>
          <w:color w:val="auto"/>
        </w:rPr>
        <w:t>Opinion of Gibson, Dunn &amp; Crutcher LLP.</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12.1</w:t>
      </w:r>
      <w:r>
        <w:rPr>
          <w:sz w:val="20"/>
          <w:szCs w:val="20"/>
          <w:color w:val="auto"/>
        </w:rPr>
        <w:tab/>
      </w:r>
      <w:r>
        <w:rPr>
          <w:rFonts w:ascii="Arial" w:cs="Arial" w:eastAsia="Arial" w:hAnsi="Arial"/>
          <w:sz w:val="11"/>
          <w:szCs w:val="11"/>
          <w:color w:val="auto"/>
        </w:rPr>
        <w:t>Computation of Ratio of Earnings to Fixed Charges.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1"/>
          <w:szCs w:val="11"/>
          <w:color w:val="auto"/>
        </w:rPr>
        <w:t>Consent of PricewaterhouseCoopers LLP.</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2"/>
          <w:szCs w:val="12"/>
          <w:color w:val="auto"/>
        </w:rPr>
        <w:t>Consent of Alexander C. Juden, Esq. (set forth in Exhibit 5.1).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2"/>
          <w:szCs w:val="12"/>
          <w:color w:val="auto"/>
        </w:rPr>
        <w:t>Consent of Gibson, Dunn &amp; Crutcher LLP (set forth in Exhibit 5.2).</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1"/>
          <w:szCs w:val="11"/>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760" w:right="6980" w:firstLine="35"/>
        <w:spacing w:after="0" w:line="340" w:lineRule="auto"/>
        <w:tabs>
          <w:tab w:leader="none" w:pos="989" w:val="left"/>
        </w:tabs>
        <w:numPr>
          <w:ilvl w:val="0"/>
          <w:numId w:val="33"/>
        </w:numPr>
        <w:rPr>
          <w:rFonts w:ascii="Arial" w:cs="Arial" w:eastAsia="Arial" w:hAnsi="Arial"/>
          <w:sz w:val="13"/>
          <w:szCs w:val="13"/>
          <w:color w:val="auto"/>
        </w:rPr>
      </w:pPr>
      <w:r>
        <w:rPr>
          <w:rFonts w:ascii="Arial" w:cs="Arial" w:eastAsia="Arial" w:hAnsi="Arial"/>
          <w:sz w:val="13"/>
          <w:szCs w:val="13"/>
          <w:color w:val="auto"/>
        </w:rPr>
        <w:t>To be filed by amendment or via Form 8-K. ** Previously filed.</w:t>
      </w:r>
    </w:p>
    <w:p>
      <w:pPr>
        <w:sectPr>
          <w:pgSz w:w="11900" w:h="16838" w:orient="portrait"/>
          <w:cols w:equalWidth="0" w:num="1">
            <w:col w:w="10260"/>
          </w:cols>
          <w:pgMar w:left="220" w:top="343" w:right="1419" w:bottom="1440" w:gutter="0" w:footer="0" w:header="0"/>
        </w:sectPr>
      </w:pPr>
    </w:p>
    <w:bookmarkStart w:id="37" w:name="page38"/>
    <w:bookmarkEnd w:id="37"/>
    <w:p>
      <w:pPr>
        <w:jc w:val="right"/>
        <w:spacing w:after="0"/>
        <w:rPr>
          <w:sz w:val="20"/>
          <w:szCs w:val="20"/>
          <w:color w:val="auto"/>
        </w:rPr>
      </w:pPr>
      <w:r>
        <w:rPr>
          <w:rFonts w:ascii="Arial" w:cs="Arial" w:eastAsia="Arial" w:hAnsi="Arial"/>
          <w:sz w:val="13"/>
          <w:szCs w:val="13"/>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168910</wp:posOffset>
            </wp:positionV>
            <wp:extent cx="728408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980"/>
        <w:spacing w:after="0"/>
        <w:rPr>
          <w:sz w:val="20"/>
          <w:szCs w:val="20"/>
          <w:color w:val="auto"/>
        </w:rPr>
      </w:pPr>
      <w:r>
        <w:rPr>
          <w:rFonts w:ascii="Arial" w:cs="Arial" w:eastAsia="Arial" w:hAnsi="Arial"/>
          <w:sz w:val="13"/>
          <w:szCs w:val="13"/>
          <w:b w:val="1"/>
          <w:bCs w:val="1"/>
          <w:color w:val="auto"/>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162560</wp:posOffset>
            </wp:positionV>
            <wp:extent cx="189103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91030" cy="635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INDENTURE</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3"/>
          <w:szCs w:val="13"/>
          <w:color w:val="auto"/>
        </w:rPr>
        <w:t>Dated as of [__________],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141605</wp:posOffset>
            </wp:positionV>
            <wp:extent cx="189103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91030" cy="6350"/>
                    </a:xfrm>
                    <a:prstGeom prst="rect">
                      <a:avLst/>
                    </a:prstGeom>
                    <a:noFill/>
                  </pic:spPr>
                </pic:pic>
              </a:graphicData>
            </a:graphic>
          </wp:anchor>
        </w:drawing>
      </w:r>
    </w:p>
    <w:p>
      <w:pPr>
        <w:spacing w:after="0" w:line="332"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[Name of Trustee]</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as Trustee</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Unsubordinated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74295</wp:posOffset>
            </wp:positionV>
            <wp:extent cx="728408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363855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9"/>
        </w:trPr>
        <w:tc>
          <w:tcPr>
            <w:tcW w:w="4460" w:type="dxa"/>
            <w:vAlign w:val="bottom"/>
          </w:tcPr>
          <w:p>
            <w:pPr>
              <w:spacing w:after="0"/>
              <w:rPr>
                <w:sz w:val="14"/>
                <w:szCs w:val="14"/>
                <w:color w:val="auto"/>
              </w:rPr>
            </w:pPr>
          </w:p>
        </w:tc>
        <w:tc>
          <w:tcPr>
            <w:tcW w:w="7000" w:type="dxa"/>
            <w:vAlign w:val="bottom"/>
            <w:gridSpan w:val="2"/>
          </w:tcPr>
          <w:p>
            <w:pPr>
              <w:jc w:val="right"/>
              <w:ind w:right="4961"/>
              <w:spacing w:after="0"/>
              <w:rPr>
                <w:sz w:val="20"/>
                <w:szCs w:val="20"/>
                <w:color w:val="auto"/>
              </w:rPr>
            </w:pPr>
            <w:r>
              <w:rPr>
                <w:rFonts w:ascii="Arial" w:cs="Arial" w:eastAsia="Arial" w:hAnsi="Arial"/>
                <w:sz w:val="13"/>
                <w:szCs w:val="13"/>
                <w:b w:val="1"/>
                <w:bCs w:val="1"/>
                <w:color w:val="auto"/>
              </w:rPr>
              <w:t>TABLE OF CONTENTS</w:t>
            </w:r>
          </w:p>
        </w:tc>
        <w:tc>
          <w:tcPr>
            <w:tcW w:w="0" w:type="dxa"/>
            <w:vAlign w:val="bottom"/>
          </w:tcPr>
          <w:p>
            <w:pPr>
              <w:spacing w:after="0"/>
              <w:rPr>
                <w:sz w:val="1"/>
                <w:szCs w:val="1"/>
                <w:color w:val="auto"/>
              </w:rPr>
            </w:pPr>
          </w:p>
        </w:tc>
      </w:tr>
      <w:tr>
        <w:trPr>
          <w:trHeight w:val="267"/>
        </w:trPr>
        <w:tc>
          <w:tcPr>
            <w:tcW w:w="4460" w:type="dxa"/>
            <w:vAlign w:val="bottom"/>
            <w:vMerge w:val="restart"/>
          </w:tcPr>
          <w:p>
            <w:pPr>
              <w:spacing w:after="0"/>
              <w:rPr>
                <w:sz w:val="20"/>
                <w:szCs w:val="20"/>
                <w:color w:val="auto"/>
              </w:rPr>
            </w:pPr>
            <w:r>
              <w:rPr>
                <w:rFonts w:ascii="Arial" w:cs="Arial" w:eastAsia="Arial" w:hAnsi="Arial"/>
                <w:sz w:val="13"/>
                <w:szCs w:val="13"/>
                <w:color w:val="auto"/>
              </w:rPr>
              <w:t>ARTICLE I. DEFINITIONS AND INCORPORATION BY REFERENCE</w:t>
            </w:r>
          </w:p>
        </w:tc>
        <w:tc>
          <w:tcPr>
            <w:tcW w:w="6180" w:type="dxa"/>
            <w:vAlign w:val="bottom"/>
          </w:tcPr>
          <w:p>
            <w:pPr>
              <w:spacing w:after="0"/>
              <w:rPr>
                <w:sz w:val="23"/>
                <w:szCs w:val="23"/>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38"/>
        </w:trPr>
        <w:tc>
          <w:tcPr>
            <w:tcW w:w="4460" w:type="dxa"/>
            <w:vAlign w:val="bottom"/>
            <w:vMerge w:val="continue"/>
          </w:tcPr>
          <w:p>
            <w:pPr>
              <w:spacing w:after="0"/>
              <w:rPr>
                <w:sz w:val="12"/>
                <w:szCs w:val="12"/>
                <w:color w:val="auto"/>
              </w:rPr>
            </w:pPr>
          </w:p>
        </w:tc>
        <w:tc>
          <w:tcPr>
            <w:tcW w:w="6180" w:type="dxa"/>
            <w:vAlign w:val="bottom"/>
          </w:tcPr>
          <w:p>
            <w:pPr>
              <w:spacing w:after="0"/>
              <w:rPr>
                <w:sz w:val="12"/>
                <w:szCs w:val="12"/>
                <w:color w:val="auto"/>
              </w:rPr>
            </w:pPr>
          </w:p>
        </w:tc>
        <w:tc>
          <w:tcPr>
            <w:tcW w:w="820" w:type="dxa"/>
            <w:vAlign w:val="bottom"/>
          </w:tcPr>
          <w:p>
            <w:pPr>
              <w:jc w:val="right"/>
              <w:ind w:right="281"/>
              <w:spacing w:after="0" w:line="139"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1.1. Definitions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1.2. Other Definitions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1.3. Rules of Construction</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4460" w:type="dxa"/>
            <w:vAlign w:val="bottom"/>
          </w:tcPr>
          <w:p>
            <w:pPr>
              <w:spacing w:after="0"/>
              <w:rPr>
                <w:sz w:val="20"/>
                <w:szCs w:val="20"/>
                <w:color w:val="auto"/>
              </w:rPr>
            </w:pPr>
            <w:r>
              <w:rPr>
                <w:rFonts w:ascii="Arial" w:cs="Arial" w:eastAsia="Arial" w:hAnsi="Arial"/>
                <w:sz w:val="13"/>
                <w:szCs w:val="13"/>
                <w:color w:val="auto"/>
              </w:rPr>
              <w:t>ARTICLE II. THE SECURITIES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2.1. Issuable in Series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2.2. Establishment of Terms of Series of Securities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2.3. Execution and Authentication</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2.4. Registrar, Paying Agent and Transfer Agent</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2.5. Paying Agent to Hold Money in Trust</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2.6. Securityholder Lists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2.7. Transfer and Exchange</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2.8. Mutilated, Destroyed, Lost and Stolen Securities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2.9. Outstanding Securities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2.10. Treasury Securities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2.11. Temporary Securities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2.12. Cancellation</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2.13. Defaulted Interest</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2.14. Global Securities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2.15. CUSIP Numbers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4460" w:type="dxa"/>
            <w:vAlign w:val="bottom"/>
          </w:tcPr>
          <w:p>
            <w:pPr>
              <w:spacing w:after="0"/>
              <w:rPr>
                <w:sz w:val="20"/>
                <w:szCs w:val="20"/>
                <w:color w:val="auto"/>
              </w:rPr>
            </w:pPr>
            <w:r>
              <w:rPr>
                <w:rFonts w:ascii="Arial" w:cs="Arial" w:eastAsia="Arial" w:hAnsi="Arial"/>
                <w:sz w:val="13"/>
                <w:szCs w:val="13"/>
                <w:color w:val="auto"/>
              </w:rPr>
              <w:t>ARTICLE III. REDEMPTION</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3.1. Notice to Trustee; No Liability for Calculations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3.2. Selection of Securities to be Redeemed</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3.3. Notice of Redemption</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3.4. Effect of Notice of Redemption</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3.5. Deposit of Redemption Price</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3.6. Securities Redeemed in Part</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3.7. Sinking Fund</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3.8. Satisfaction of Sinking Fund Payments with Securities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3.9. Redemption of Securities for Sinking Fund</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3.10. Redemption Upon Changes in Tax Law</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4460" w:type="dxa"/>
            <w:vAlign w:val="bottom"/>
          </w:tcPr>
          <w:p>
            <w:pPr>
              <w:spacing w:after="0"/>
              <w:rPr>
                <w:sz w:val="20"/>
                <w:szCs w:val="20"/>
                <w:color w:val="auto"/>
              </w:rPr>
            </w:pPr>
            <w:r>
              <w:rPr>
                <w:rFonts w:ascii="Arial" w:cs="Arial" w:eastAsia="Arial" w:hAnsi="Arial"/>
                <w:sz w:val="13"/>
                <w:szCs w:val="13"/>
                <w:color w:val="auto"/>
              </w:rPr>
              <w:t>ARTICLE IV. COVENANTS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4.1. Payment of Principal, Premium and Interest</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4.2. Compliance Certificate</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4.3. Stay, Extension and Usury Laws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4.4. Corporate Existence</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4.5. Limitation on Liens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4.6. Additional Amounts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4.7. Reports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4460" w:type="dxa"/>
            <w:vAlign w:val="bottom"/>
          </w:tcPr>
          <w:p>
            <w:pPr>
              <w:spacing w:after="0"/>
              <w:rPr>
                <w:sz w:val="20"/>
                <w:szCs w:val="20"/>
                <w:color w:val="auto"/>
              </w:rPr>
            </w:pPr>
            <w:r>
              <w:rPr>
                <w:rFonts w:ascii="Arial" w:cs="Arial" w:eastAsia="Arial" w:hAnsi="Arial"/>
                <w:sz w:val="13"/>
                <w:szCs w:val="13"/>
                <w:color w:val="auto"/>
              </w:rPr>
              <w:t>ARTICLE V. SUCCESSORS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5.1. Consolidation, Merger and Sale of Assets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4460" w:type="dxa"/>
            <w:vAlign w:val="bottom"/>
          </w:tcPr>
          <w:p>
            <w:pPr>
              <w:spacing w:after="0"/>
              <w:rPr>
                <w:sz w:val="20"/>
                <w:szCs w:val="20"/>
                <w:color w:val="auto"/>
              </w:rPr>
            </w:pPr>
            <w:r>
              <w:rPr>
                <w:rFonts w:ascii="Arial" w:cs="Arial" w:eastAsia="Arial" w:hAnsi="Arial"/>
                <w:sz w:val="13"/>
                <w:szCs w:val="13"/>
                <w:color w:val="auto"/>
              </w:rPr>
              <w:t>ARTICLE VI. DEFAULTS AND REMEDIES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65"/>
        </w:trPr>
        <w:tc>
          <w:tcPr>
            <w:tcW w:w="4460" w:type="dxa"/>
            <w:vAlign w:val="bottom"/>
          </w:tcPr>
          <w:p>
            <w:pPr>
              <w:ind w:left="140"/>
              <w:spacing w:after="0"/>
              <w:rPr>
                <w:sz w:val="20"/>
                <w:szCs w:val="20"/>
                <w:color w:val="auto"/>
              </w:rPr>
            </w:pPr>
            <w:r>
              <w:rPr>
                <w:rFonts w:ascii="Arial" w:cs="Arial" w:eastAsia="Arial" w:hAnsi="Arial"/>
                <w:sz w:val="13"/>
                <w:szCs w:val="13"/>
                <w:color w:val="auto"/>
              </w:rPr>
              <w:t>Section 6.1. Events of Default</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21"/>
        </w:trPr>
        <w:tc>
          <w:tcPr>
            <w:tcW w:w="10640" w:type="dxa"/>
            <w:vAlign w:val="bottom"/>
            <w:vMerge w:val="restart"/>
          </w:tcPr>
          <w:p>
            <w:pPr>
              <w:ind w:left="140"/>
              <w:spacing w:after="0"/>
              <w:rPr>
                <w:sz w:val="20"/>
                <w:szCs w:val="20"/>
                <w:color w:val="auto"/>
              </w:rPr>
            </w:pPr>
            <w:r>
              <w:rPr>
                <w:rFonts w:ascii="Arial" w:cs="Arial" w:eastAsia="Arial" w:hAnsi="Arial"/>
                <w:sz w:val="13"/>
                <w:szCs w:val="13"/>
                <w:color w:val="auto"/>
              </w:rPr>
              <w:t>Section 6.2. Acceleration of Maturity; Rescission and Annulment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5"/>
              </w:rPr>
              <w:t>Page</w:t>
            </w:r>
          </w:p>
        </w:tc>
        <w:tc>
          <w:tcPr>
            <w:tcW w:w="0" w:type="dxa"/>
            <w:vAlign w:val="bottom"/>
          </w:tcPr>
          <w:p>
            <w:pPr>
              <w:spacing w:after="0"/>
              <w:rPr>
                <w:sz w:val="1"/>
                <w:szCs w:val="1"/>
                <w:color w:val="auto"/>
              </w:rPr>
            </w:pPr>
          </w:p>
        </w:tc>
      </w:tr>
      <w:tr>
        <w:trPr>
          <w:trHeight w:val="138"/>
        </w:trPr>
        <w:tc>
          <w:tcPr>
            <w:tcW w:w="10640" w:type="dxa"/>
            <w:vAlign w:val="bottom"/>
            <w:vMerge w:val="continue"/>
          </w:tcPr>
          <w:p>
            <w:pPr>
              <w:spacing w:after="0"/>
              <w:rPr>
                <w:sz w:val="12"/>
                <w:szCs w:val="12"/>
                <w:color w:val="auto"/>
              </w:rPr>
            </w:pPr>
          </w:p>
        </w:tc>
        <w:tc>
          <w:tcPr>
            <w:tcW w:w="820" w:type="dxa"/>
            <w:vAlign w:val="bottom"/>
          </w:tcPr>
          <w:p>
            <w:pPr>
              <w:jc w:val="center"/>
              <w:spacing w:after="0" w:line="139" w:lineRule="exact"/>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6.3. Collection of Indebtedness and Suits for Enforcement by Trustee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6.4. Trustee May File Proofs of Claim</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29</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6.5. Trustee May Enforce Claims Without Possession of Securities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29</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6.6. Application of Money Collected</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29</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6.7. Limitation on Suits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30</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6.8. Unconditional Right of Holders to Receive Principal and Interest</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30</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6.9. Restoration of Rights and Remedies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31</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6.10. Rights and Remedies Cumulative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31</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6.11. Delay or Omission Not Waiver</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31</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6.12. Control by Holders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31</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6.13. Waiver of Past Defaults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32</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6.14. Undertaking for Costs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32</w:t>
            </w:r>
          </w:p>
        </w:tc>
        <w:tc>
          <w:tcPr>
            <w:tcW w:w="0" w:type="dxa"/>
            <w:vAlign w:val="bottom"/>
          </w:tcPr>
          <w:p>
            <w:pPr>
              <w:spacing w:after="0"/>
              <w:rPr>
                <w:sz w:val="1"/>
                <w:szCs w:val="1"/>
                <w:color w:val="auto"/>
              </w:rPr>
            </w:pPr>
          </w:p>
        </w:tc>
      </w:tr>
      <w:tr>
        <w:trPr>
          <w:trHeight w:val="157"/>
        </w:trPr>
        <w:tc>
          <w:tcPr>
            <w:tcW w:w="10640" w:type="dxa"/>
            <w:vAlign w:val="bottom"/>
          </w:tcPr>
          <w:p>
            <w:pPr>
              <w:spacing w:after="0"/>
              <w:rPr>
                <w:sz w:val="20"/>
                <w:szCs w:val="20"/>
                <w:color w:val="auto"/>
              </w:rPr>
            </w:pPr>
            <w:r>
              <w:rPr>
                <w:rFonts w:ascii="Arial" w:cs="Arial" w:eastAsia="Arial" w:hAnsi="Arial"/>
                <w:sz w:val="13"/>
                <w:szCs w:val="13"/>
                <w:color w:val="auto"/>
              </w:rPr>
              <w:t>ARTICLE VII. TRUSTEE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32</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7.1. Duties of Trustee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32</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7.2. Rights of Trustee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33</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7.3. May Hold Securities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35</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7.4. Trustee’s Disclaimer</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35</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7.5. Notice of Defaults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35</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7.6. Compensation and Indemnity</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35</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7.7. Replacement of Trustee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36</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7.8. Successor Trustee by Merger, etc.</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38</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7.9. Eligibility; Disqualification</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38</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7.10. Preferential Collection of Claims Against Company</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38</w:t>
            </w:r>
          </w:p>
        </w:tc>
        <w:tc>
          <w:tcPr>
            <w:tcW w:w="0" w:type="dxa"/>
            <w:vAlign w:val="bottom"/>
          </w:tcPr>
          <w:p>
            <w:pPr>
              <w:spacing w:after="0"/>
              <w:rPr>
                <w:sz w:val="1"/>
                <w:szCs w:val="1"/>
                <w:color w:val="auto"/>
              </w:rPr>
            </w:pPr>
          </w:p>
        </w:tc>
      </w:tr>
      <w:tr>
        <w:trPr>
          <w:trHeight w:val="157"/>
        </w:trPr>
        <w:tc>
          <w:tcPr>
            <w:tcW w:w="10640" w:type="dxa"/>
            <w:vAlign w:val="bottom"/>
          </w:tcPr>
          <w:p>
            <w:pPr>
              <w:spacing w:after="0"/>
              <w:rPr>
                <w:sz w:val="20"/>
                <w:szCs w:val="20"/>
                <w:color w:val="auto"/>
              </w:rPr>
            </w:pPr>
            <w:r>
              <w:rPr>
                <w:rFonts w:ascii="Arial" w:cs="Arial" w:eastAsia="Arial" w:hAnsi="Arial"/>
                <w:sz w:val="13"/>
                <w:szCs w:val="13"/>
                <w:color w:val="auto"/>
              </w:rPr>
              <w:t>ARTICLE VIII. DISCHARGE OF INDENTURE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39</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8.1. Termination of Company’s Obligations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39</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8.2. Application of Trust Money</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42</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8.3. Repayment to Company</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42</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8.4. Reinstatement</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43</w:t>
            </w:r>
          </w:p>
        </w:tc>
        <w:tc>
          <w:tcPr>
            <w:tcW w:w="0" w:type="dxa"/>
            <w:vAlign w:val="bottom"/>
          </w:tcPr>
          <w:p>
            <w:pPr>
              <w:spacing w:after="0"/>
              <w:rPr>
                <w:sz w:val="1"/>
                <w:szCs w:val="1"/>
                <w:color w:val="auto"/>
              </w:rPr>
            </w:pPr>
          </w:p>
        </w:tc>
      </w:tr>
      <w:tr>
        <w:trPr>
          <w:trHeight w:val="157"/>
        </w:trPr>
        <w:tc>
          <w:tcPr>
            <w:tcW w:w="10640" w:type="dxa"/>
            <w:vAlign w:val="bottom"/>
          </w:tcPr>
          <w:p>
            <w:pPr>
              <w:spacing w:after="0"/>
              <w:rPr>
                <w:sz w:val="20"/>
                <w:szCs w:val="20"/>
                <w:color w:val="auto"/>
              </w:rPr>
            </w:pPr>
            <w:r>
              <w:rPr>
                <w:rFonts w:ascii="Arial" w:cs="Arial" w:eastAsia="Arial" w:hAnsi="Arial"/>
                <w:sz w:val="13"/>
                <w:szCs w:val="13"/>
                <w:color w:val="auto"/>
              </w:rPr>
              <w:t>ARTICLE IX. AMENDMENTS AND WAIVERS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43</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9.1. Without Consent of Holders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43</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9.2. With Consent of Holders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44</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9.3. Limitations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45</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9.4. Form of Amendments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45</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9.5. Revocation and Effect of Consents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46</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9.6. Notation on or Exchange of Securities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46</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9.7. Trustee Protected</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46</w:t>
            </w:r>
          </w:p>
        </w:tc>
        <w:tc>
          <w:tcPr>
            <w:tcW w:w="0" w:type="dxa"/>
            <w:vAlign w:val="bottom"/>
          </w:tcPr>
          <w:p>
            <w:pPr>
              <w:spacing w:after="0"/>
              <w:rPr>
                <w:sz w:val="1"/>
                <w:szCs w:val="1"/>
                <w:color w:val="auto"/>
              </w:rPr>
            </w:pPr>
          </w:p>
        </w:tc>
      </w:tr>
      <w:tr>
        <w:trPr>
          <w:trHeight w:val="157"/>
        </w:trPr>
        <w:tc>
          <w:tcPr>
            <w:tcW w:w="10640" w:type="dxa"/>
            <w:vAlign w:val="bottom"/>
          </w:tcPr>
          <w:p>
            <w:pPr>
              <w:spacing w:after="0"/>
              <w:rPr>
                <w:sz w:val="20"/>
                <w:szCs w:val="20"/>
                <w:color w:val="auto"/>
              </w:rPr>
            </w:pPr>
            <w:r>
              <w:rPr>
                <w:rFonts w:ascii="Arial" w:cs="Arial" w:eastAsia="Arial" w:hAnsi="Arial"/>
                <w:sz w:val="13"/>
                <w:szCs w:val="13"/>
                <w:color w:val="auto"/>
              </w:rPr>
              <w:t>ARTICLE X. MISCELLANEOUS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46</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10.1. Notices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46</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10.2. Communication by Holders with Other Holders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48</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10.3. Certificate and Opinion as to Conditions Precedent</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48</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10.4. Statements Required in Certificate or Opinion</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48</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10.5. Rules by Trustee and Agents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49</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10.6. Legal Holidays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49</w:t>
            </w:r>
          </w:p>
        </w:tc>
        <w:tc>
          <w:tcPr>
            <w:tcW w:w="0" w:type="dxa"/>
            <w:vAlign w:val="bottom"/>
          </w:tcPr>
          <w:p>
            <w:pPr>
              <w:spacing w:after="0"/>
              <w:rPr>
                <w:sz w:val="1"/>
                <w:szCs w:val="1"/>
                <w:color w:val="auto"/>
              </w:rPr>
            </w:pPr>
          </w:p>
        </w:tc>
      </w:tr>
      <w:tr>
        <w:trPr>
          <w:trHeight w:val="165"/>
        </w:trPr>
        <w:tc>
          <w:tcPr>
            <w:tcW w:w="10640" w:type="dxa"/>
            <w:vAlign w:val="bottom"/>
          </w:tcPr>
          <w:p>
            <w:pPr>
              <w:ind w:left="140"/>
              <w:spacing w:after="0"/>
              <w:rPr>
                <w:sz w:val="20"/>
                <w:szCs w:val="20"/>
                <w:color w:val="auto"/>
              </w:rPr>
            </w:pPr>
            <w:r>
              <w:rPr>
                <w:rFonts w:ascii="Arial" w:cs="Arial" w:eastAsia="Arial" w:hAnsi="Arial"/>
                <w:sz w:val="13"/>
                <w:szCs w:val="13"/>
                <w:color w:val="auto"/>
              </w:rPr>
              <w:t>Section 10.7. No Personal Liability of Directors, Officers, Employees and Certain Others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874" w:right="2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21"/>
        </w:trPr>
        <w:tc>
          <w:tcPr>
            <w:tcW w:w="10500" w:type="dxa"/>
            <w:vAlign w:val="bottom"/>
            <w:vMerge w:val="restart"/>
          </w:tcPr>
          <w:p>
            <w:pPr>
              <w:spacing w:after="0"/>
              <w:rPr>
                <w:sz w:val="20"/>
                <w:szCs w:val="20"/>
                <w:color w:val="auto"/>
              </w:rPr>
            </w:pPr>
            <w:r>
              <w:rPr>
                <w:rFonts w:ascii="Arial" w:cs="Arial" w:eastAsia="Arial" w:hAnsi="Arial"/>
                <w:sz w:val="13"/>
                <w:szCs w:val="13"/>
                <w:color w:val="auto"/>
              </w:rPr>
              <w:t>Section 10.8. Counterparts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5"/>
              </w:rPr>
              <w:t>Page</w:t>
            </w:r>
          </w:p>
        </w:tc>
        <w:tc>
          <w:tcPr>
            <w:tcW w:w="0" w:type="dxa"/>
            <w:vAlign w:val="bottom"/>
          </w:tcPr>
          <w:p>
            <w:pPr>
              <w:spacing w:after="0"/>
              <w:rPr>
                <w:sz w:val="1"/>
                <w:szCs w:val="1"/>
                <w:color w:val="auto"/>
              </w:rPr>
            </w:pPr>
          </w:p>
        </w:tc>
      </w:tr>
      <w:tr>
        <w:trPr>
          <w:trHeight w:val="138"/>
        </w:trPr>
        <w:tc>
          <w:tcPr>
            <w:tcW w:w="10500" w:type="dxa"/>
            <w:vAlign w:val="bottom"/>
            <w:vMerge w:val="continue"/>
          </w:tcPr>
          <w:p>
            <w:pPr>
              <w:spacing w:after="0"/>
              <w:rPr>
                <w:sz w:val="12"/>
                <w:szCs w:val="12"/>
                <w:color w:val="auto"/>
              </w:rPr>
            </w:pPr>
          </w:p>
        </w:tc>
        <w:tc>
          <w:tcPr>
            <w:tcW w:w="820" w:type="dxa"/>
            <w:vAlign w:val="bottom"/>
          </w:tcPr>
          <w:p>
            <w:pPr>
              <w:jc w:val="center"/>
              <w:spacing w:after="0" w:line="139" w:lineRule="exact"/>
              <w:rPr>
                <w:sz w:val="20"/>
                <w:szCs w:val="20"/>
                <w:color w:val="auto"/>
              </w:rPr>
            </w:pPr>
            <w:r>
              <w:rPr>
                <w:rFonts w:ascii="Arial" w:cs="Arial" w:eastAsia="Arial" w:hAnsi="Arial"/>
                <w:sz w:val="13"/>
                <w:szCs w:val="13"/>
                <w:color w:val="auto"/>
                <w:w w:val="82"/>
              </w:rPr>
              <w:t>49</w:t>
            </w:r>
          </w:p>
        </w:tc>
        <w:tc>
          <w:tcPr>
            <w:tcW w:w="0" w:type="dxa"/>
            <w:vAlign w:val="bottom"/>
          </w:tcPr>
          <w:p>
            <w:pPr>
              <w:spacing w:after="0"/>
              <w:rPr>
                <w:sz w:val="1"/>
                <w:szCs w:val="1"/>
                <w:color w:val="auto"/>
              </w:rPr>
            </w:pPr>
          </w:p>
        </w:tc>
      </w:tr>
      <w:tr>
        <w:trPr>
          <w:trHeight w:val="157"/>
        </w:trPr>
        <w:tc>
          <w:tcPr>
            <w:tcW w:w="10500" w:type="dxa"/>
            <w:vAlign w:val="bottom"/>
          </w:tcPr>
          <w:p>
            <w:pPr>
              <w:spacing w:after="0"/>
              <w:rPr>
                <w:sz w:val="20"/>
                <w:szCs w:val="20"/>
                <w:color w:val="auto"/>
              </w:rPr>
            </w:pPr>
            <w:r>
              <w:rPr>
                <w:rFonts w:ascii="Arial" w:cs="Arial" w:eastAsia="Arial" w:hAnsi="Arial"/>
                <w:sz w:val="13"/>
                <w:szCs w:val="13"/>
                <w:color w:val="auto"/>
              </w:rPr>
              <w:t>Section 10.9. Governing Laws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49</w:t>
            </w:r>
          </w:p>
        </w:tc>
        <w:tc>
          <w:tcPr>
            <w:tcW w:w="0" w:type="dxa"/>
            <w:vAlign w:val="bottom"/>
          </w:tcPr>
          <w:p>
            <w:pPr>
              <w:spacing w:after="0"/>
              <w:rPr>
                <w:sz w:val="1"/>
                <w:szCs w:val="1"/>
                <w:color w:val="auto"/>
              </w:rPr>
            </w:pPr>
          </w:p>
        </w:tc>
      </w:tr>
      <w:tr>
        <w:trPr>
          <w:trHeight w:val="157"/>
        </w:trPr>
        <w:tc>
          <w:tcPr>
            <w:tcW w:w="10500" w:type="dxa"/>
            <w:vAlign w:val="bottom"/>
          </w:tcPr>
          <w:p>
            <w:pPr>
              <w:spacing w:after="0"/>
              <w:rPr>
                <w:sz w:val="20"/>
                <w:szCs w:val="20"/>
                <w:color w:val="auto"/>
              </w:rPr>
            </w:pPr>
            <w:r>
              <w:rPr>
                <w:rFonts w:ascii="Arial" w:cs="Arial" w:eastAsia="Arial" w:hAnsi="Arial"/>
                <w:sz w:val="13"/>
                <w:szCs w:val="13"/>
                <w:color w:val="auto"/>
              </w:rPr>
              <w:t>Section 10.10. No Adverse Interpretation of Other Agreements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50</w:t>
            </w:r>
          </w:p>
        </w:tc>
        <w:tc>
          <w:tcPr>
            <w:tcW w:w="0" w:type="dxa"/>
            <w:vAlign w:val="bottom"/>
          </w:tcPr>
          <w:p>
            <w:pPr>
              <w:spacing w:after="0"/>
              <w:rPr>
                <w:sz w:val="1"/>
                <w:szCs w:val="1"/>
                <w:color w:val="auto"/>
              </w:rPr>
            </w:pPr>
          </w:p>
        </w:tc>
      </w:tr>
      <w:tr>
        <w:trPr>
          <w:trHeight w:val="157"/>
        </w:trPr>
        <w:tc>
          <w:tcPr>
            <w:tcW w:w="10500" w:type="dxa"/>
            <w:vAlign w:val="bottom"/>
          </w:tcPr>
          <w:p>
            <w:pPr>
              <w:spacing w:after="0"/>
              <w:rPr>
                <w:sz w:val="20"/>
                <w:szCs w:val="20"/>
                <w:color w:val="auto"/>
              </w:rPr>
            </w:pPr>
            <w:r>
              <w:rPr>
                <w:rFonts w:ascii="Arial" w:cs="Arial" w:eastAsia="Arial" w:hAnsi="Arial"/>
                <w:sz w:val="13"/>
                <w:szCs w:val="13"/>
                <w:color w:val="auto"/>
              </w:rPr>
              <w:t>Section 10.11. Successors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50</w:t>
            </w:r>
          </w:p>
        </w:tc>
        <w:tc>
          <w:tcPr>
            <w:tcW w:w="0" w:type="dxa"/>
            <w:vAlign w:val="bottom"/>
          </w:tcPr>
          <w:p>
            <w:pPr>
              <w:spacing w:after="0"/>
              <w:rPr>
                <w:sz w:val="1"/>
                <w:szCs w:val="1"/>
                <w:color w:val="auto"/>
              </w:rPr>
            </w:pPr>
          </w:p>
        </w:tc>
      </w:tr>
      <w:tr>
        <w:trPr>
          <w:trHeight w:val="157"/>
        </w:trPr>
        <w:tc>
          <w:tcPr>
            <w:tcW w:w="10500" w:type="dxa"/>
            <w:vAlign w:val="bottom"/>
          </w:tcPr>
          <w:p>
            <w:pPr>
              <w:spacing w:after="0"/>
              <w:rPr>
                <w:sz w:val="20"/>
                <w:szCs w:val="20"/>
                <w:color w:val="auto"/>
              </w:rPr>
            </w:pPr>
            <w:r>
              <w:rPr>
                <w:rFonts w:ascii="Arial" w:cs="Arial" w:eastAsia="Arial" w:hAnsi="Arial"/>
                <w:sz w:val="13"/>
                <w:szCs w:val="13"/>
                <w:color w:val="auto"/>
              </w:rPr>
              <w:t>Section 10.12. Severability</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50</w:t>
            </w:r>
          </w:p>
        </w:tc>
        <w:tc>
          <w:tcPr>
            <w:tcW w:w="0" w:type="dxa"/>
            <w:vAlign w:val="bottom"/>
          </w:tcPr>
          <w:p>
            <w:pPr>
              <w:spacing w:after="0"/>
              <w:rPr>
                <w:sz w:val="1"/>
                <w:szCs w:val="1"/>
                <w:color w:val="auto"/>
              </w:rPr>
            </w:pPr>
          </w:p>
        </w:tc>
      </w:tr>
      <w:tr>
        <w:trPr>
          <w:trHeight w:val="157"/>
        </w:trPr>
        <w:tc>
          <w:tcPr>
            <w:tcW w:w="10500" w:type="dxa"/>
            <w:vAlign w:val="bottom"/>
          </w:tcPr>
          <w:p>
            <w:pPr>
              <w:spacing w:after="0"/>
              <w:rPr>
                <w:sz w:val="20"/>
                <w:szCs w:val="20"/>
                <w:color w:val="auto"/>
              </w:rPr>
            </w:pPr>
            <w:r>
              <w:rPr>
                <w:rFonts w:ascii="Arial" w:cs="Arial" w:eastAsia="Arial" w:hAnsi="Arial"/>
                <w:sz w:val="13"/>
                <w:szCs w:val="13"/>
                <w:color w:val="auto"/>
              </w:rPr>
              <w:t>Section 10.13. Table of Contents, Headings, Etc.</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50</w:t>
            </w:r>
          </w:p>
        </w:tc>
        <w:tc>
          <w:tcPr>
            <w:tcW w:w="0" w:type="dxa"/>
            <w:vAlign w:val="bottom"/>
          </w:tcPr>
          <w:p>
            <w:pPr>
              <w:spacing w:after="0"/>
              <w:rPr>
                <w:sz w:val="1"/>
                <w:szCs w:val="1"/>
                <w:color w:val="auto"/>
              </w:rPr>
            </w:pPr>
          </w:p>
        </w:tc>
      </w:tr>
      <w:tr>
        <w:trPr>
          <w:trHeight w:val="157"/>
        </w:trPr>
        <w:tc>
          <w:tcPr>
            <w:tcW w:w="10500" w:type="dxa"/>
            <w:vAlign w:val="bottom"/>
          </w:tcPr>
          <w:p>
            <w:pPr>
              <w:spacing w:after="0"/>
              <w:rPr>
                <w:sz w:val="20"/>
                <w:szCs w:val="20"/>
                <w:color w:val="auto"/>
              </w:rPr>
            </w:pPr>
            <w:r>
              <w:rPr>
                <w:rFonts w:ascii="Arial" w:cs="Arial" w:eastAsia="Arial" w:hAnsi="Arial"/>
                <w:sz w:val="13"/>
                <w:szCs w:val="13"/>
                <w:color w:val="auto"/>
              </w:rPr>
              <w:t>Section 10.14. Judgment Currency</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50</w:t>
            </w:r>
          </w:p>
        </w:tc>
        <w:tc>
          <w:tcPr>
            <w:tcW w:w="0" w:type="dxa"/>
            <w:vAlign w:val="bottom"/>
          </w:tcPr>
          <w:p>
            <w:pPr>
              <w:spacing w:after="0"/>
              <w:rPr>
                <w:sz w:val="1"/>
                <w:szCs w:val="1"/>
                <w:color w:val="auto"/>
              </w:rPr>
            </w:pPr>
          </w:p>
        </w:tc>
      </w:tr>
      <w:tr>
        <w:trPr>
          <w:trHeight w:val="157"/>
        </w:trPr>
        <w:tc>
          <w:tcPr>
            <w:tcW w:w="10500" w:type="dxa"/>
            <w:vAlign w:val="bottom"/>
          </w:tcPr>
          <w:p>
            <w:pPr>
              <w:spacing w:after="0"/>
              <w:rPr>
                <w:sz w:val="20"/>
                <w:szCs w:val="20"/>
                <w:color w:val="auto"/>
              </w:rPr>
            </w:pPr>
            <w:r>
              <w:rPr>
                <w:rFonts w:ascii="Arial" w:cs="Arial" w:eastAsia="Arial" w:hAnsi="Arial"/>
                <w:sz w:val="13"/>
                <w:szCs w:val="13"/>
                <w:color w:val="auto"/>
              </w:rPr>
              <w:t>Section 10.15. English Language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51</w:t>
            </w:r>
          </w:p>
        </w:tc>
        <w:tc>
          <w:tcPr>
            <w:tcW w:w="0" w:type="dxa"/>
            <w:vAlign w:val="bottom"/>
          </w:tcPr>
          <w:p>
            <w:pPr>
              <w:spacing w:after="0"/>
              <w:rPr>
                <w:sz w:val="1"/>
                <w:szCs w:val="1"/>
                <w:color w:val="auto"/>
              </w:rPr>
            </w:pPr>
          </w:p>
        </w:tc>
      </w:tr>
      <w:tr>
        <w:trPr>
          <w:trHeight w:val="157"/>
        </w:trPr>
        <w:tc>
          <w:tcPr>
            <w:tcW w:w="10500" w:type="dxa"/>
            <w:vAlign w:val="bottom"/>
          </w:tcPr>
          <w:p>
            <w:pPr>
              <w:spacing w:after="0"/>
              <w:rPr>
                <w:sz w:val="20"/>
                <w:szCs w:val="20"/>
                <w:color w:val="auto"/>
              </w:rPr>
            </w:pPr>
            <w:r>
              <w:rPr>
                <w:rFonts w:ascii="Arial" w:cs="Arial" w:eastAsia="Arial" w:hAnsi="Arial"/>
                <w:sz w:val="13"/>
                <w:szCs w:val="13"/>
                <w:color w:val="auto"/>
              </w:rPr>
              <w:t>Section 10.16. Submission to Jurisdiction; Appointment of Agent</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51</w:t>
            </w:r>
          </w:p>
        </w:tc>
        <w:tc>
          <w:tcPr>
            <w:tcW w:w="0" w:type="dxa"/>
            <w:vAlign w:val="bottom"/>
          </w:tcPr>
          <w:p>
            <w:pPr>
              <w:spacing w:after="0"/>
              <w:rPr>
                <w:sz w:val="1"/>
                <w:szCs w:val="1"/>
                <w:color w:val="auto"/>
              </w:rPr>
            </w:pPr>
          </w:p>
        </w:tc>
      </w:tr>
      <w:tr>
        <w:trPr>
          <w:trHeight w:val="157"/>
        </w:trPr>
        <w:tc>
          <w:tcPr>
            <w:tcW w:w="10500" w:type="dxa"/>
            <w:vAlign w:val="bottom"/>
          </w:tcPr>
          <w:p>
            <w:pPr>
              <w:spacing w:after="0"/>
              <w:rPr>
                <w:sz w:val="20"/>
                <w:szCs w:val="20"/>
                <w:color w:val="auto"/>
              </w:rPr>
            </w:pPr>
            <w:r>
              <w:rPr>
                <w:rFonts w:ascii="Arial" w:cs="Arial" w:eastAsia="Arial" w:hAnsi="Arial"/>
                <w:sz w:val="13"/>
                <w:szCs w:val="13"/>
                <w:color w:val="auto"/>
              </w:rPr>
              <w:t>Section 10.17. Waiver of Immunity</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51</w:t>
            </w:r>
          </w:p>
        </w:tc>
        <w:tc>
          <w:tcPr>
            <w:tcW w:w="0" w:type="dxa"/>
            <w:vAlign w:val="bottom"/>
          </w:tcPr>
          <w:p>
            <w:pPr>
              <w:spacing w:after="0"/>
              <w:rPr>
                <w:sz w:val="1"/>
                <w:szCs w:val="1"/>
                <w:color w:val="auto"/>
              </w:rPr>
            </w:pPr>
          </w:p>
        </w:tc>
      </w:tr>
      <w:tr>
        <w:trPr>
          <w:trHeight w:val="165"/>
        </w:trPr>
        <w:tc>
          <w:tcPr>
            <w:tcW w:w="10500" w:type="dxa"/>
            <w:vAlign w:val="bottom"/>
          </w:tcPr>
          <w:p>
            <w:pPr>
              <w:spacing w:after="0"/>
              <w:rPr>
                <w:sz w:val="20"/>
                <w:szCs w:val="20"/>
                <w:color w:val="auto"/>
              </w:rPr>
            </w:pPr>
            <w:r>
              <w:rPr>
                <w:rFonts w:ascii="Arial" w:cs="Arial" w:eastAsia="Arial" w:hAnsi="Arial"/>
                <w:sz w:val="13"/>
                <w:szCs w:val="13"/>
                <w:color w:val="auto"/>
              </w:rPr>
              <w:t>Section 10.18. Waiver of Jury Trial</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52</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360" w:top="874" w:right="219" w:bottom="1440" w:gutter="0" w:footer="0" w:header="0"/>
        </w:sectPr>
      </w:pPr>
    </w:p>
    <w:bookmarkStart w:id="41" w:name="page42"/>
    <w:bookmarkEnd w:id="41"/>
    <w:p>
      <w:pPr>
        <w:ind w:left="320"/>
        <w:spacing w:after="0"/>
        <w:rPr>
          <w:sz w:val="20"/>
          <w:szCs w:val="20"/>
          <w:color w:val="auto"/>
        </w:rPr>
      </w:pPr>
      <w:r>
        <w:rPr>
          <w:rFonts w:ascii="Arial" w:cs="Arial" w:eastAsia="Arial" w:hAnsi="Arial"/>
          <w:sz w:val="13"/>
          <w:szCs w:val="13"/>
          <w:color w:val="auto"/>
        </w:rPr>
        <w:t>Indenture dated as of [__________], 2011 between Schlumberger N.V. (the “</w:t>
      </w:r>
      <w:r>
        <w:rPr>
          <w:rFonts w:ascii="Arial" w:cs="Arial" w:eastAsia="Arial" w:hAnsi="Arial"/>
          <w:sz w:val="13"/>
          <w:szCs w:val="13"/>
          <w:i w:val="1"/>
          <w:iCs w:val="1"/>
          <w:color w:val="auto"/>
        </w:rPr>
        <w:t>Company</w:t>
      </w:r>
      <w:r>
        <w:rPr>
          <w:rFonts w:ascii="Arial" w:cs="Arial" w:eastAsia="Arial" w:hAnsi="Arial"/>
          <w:sz w:val="13"/>
          <w:szCs w:val="13"/>
          <w:color w:val="auto"/>
        </w:rPr>
        <w:t>”) and [__________], as trustee (the “</w:t>
      </w:r>
      <w:r>
        <w:rPr>
          <w:rFonts w:ascii="Arial" w:cs="Arial" w:eastAsia="Arial" w:hAnsi="Arial"/>
          <w:sz w:val="13"/>
          <w:szCs w:val="13"/>
          <w:i w:val="1"/>
          <w:iCs w:val="1"/>
          <w:color w:val="auto"/>
        </w:rPr>
        <w:t>Trustee</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Each party agrees as follows for the benefit of the other parties and for the equal and ratable benefit of the Holders (as defined below) of the Securities (as defined below) issued under this Indenture.</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DEFINITIONS AND INCORPORATION BY REFERENCE</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1.1. </w:t>
      </w:r>
      <w:r>
        <w:rPr>
          <w:rFonts w:ascii="Arial" w:cs="Arial" w:eastAsia="Arial" w:hAnsi="Arial"/>
          <w:sz w:val="13"/>
          <w:szCs w:val="13"/>
          <w:u w:val="single" w:color="auto"/>
          <w:color w:val="auto"/>
        </w:rPr>
        <w:t>Definitions</w:t>
      </w:r>
      <w:r>
        <w:rPr>
          <w:rFonts w:ascii="Arial" w:cs="Arial" w:eastAsia="Arial" w:hAnsi="Arial"/>
          <w:sz w:val="13"/>
          <w:szCs w:val="13"/>
          <w:color w:val="auto"/>
        </w:rPr>
        <w:t>.</w:t>
      </w:r>
    </w:p>
    <w:p>
      <w:pPr>
        <w:spacing w:after="0" w:line="86" w:lineRule="exact"/>
        <w:rPr>
          <w:sz w:val="20"/>
          <w:szCs w:val="20"/>
          <w:color w:val="auto"/>
        </w:rPr>
      </w:pPr>
    </w:p>
    <w:p>
      <w:pPr>
        <w:ind w:right="14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Affiliate</w:t>
      </w:r>
      <w:r>
        <w:rPr>
          <w:rFonts w:ascii="Arial" w:cs="Arial" w:eastAsia="Arial" w:hAnsi="Arial"/>
          <w:sz w:val="13"/>
          <w:szCs w:val="13"/>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Agent</w:t>
      </w:r>
      <w:r>
        <w:rPr>
          <w:rFonts w:ascii="Arial" w:cs="Arial" w:eastAsia="Arial" w:hAnsi="Arial"/>
          <w:sz w:val="13"/>
          <w:szCs w:val="13"/>
          <w:color w:val="auto"/>
        </w:rPr>
        <w:t>” means any Registrar, Paying Agent or Transfer Agent or any other agent appointed pursuant to this Indenture.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Board of Directors</w:t>
      </w:r>
      <w:r>
        <w:rPr>
          <w:rFonts w:ascii="Arial" w:cs="Arial" w:eastAsia="Arial" w:hAnsi="Arial"/>
          <w:sz w:val="13"/>
          <w:szCs w:val="13"/>
          <w:color w:val="auto"/>
        </w:rPr>
        <w:t>” means the Board of Directors of the Company, or any duly authorized committee thereof.</w:t>
      </w:r>
    </w:p>
    <w:p>
      <w:pPr>
        <w:spacing w:after="0" w:line="86" w:lineRule="exact"/>
        <w:rPr>
          <w:sz w:val="20"/>
          <w:szCs w:val="20"/>
          <w:color w:val="auto"/>
        </w:rPr>
      </w:pPr>
    </w:p>
    <w:p>
      <w:pPr>
        <w:ind w:right="12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Board Resolution</w:t>
      </w:r>
      <w:r>
        <w:rPr>
          <w:rFonts w:ascii="Arial" w:cs="Arial" w:eastAsia="Arial" w:hAnsi="Arial"/>
          <w:sz w:val="13"/>
          <w:szCs w:val="13"/>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certification and delivered to the Trustee.</w:t>
      </w:r>
    </w:p>
    <w:p>
      <w:pPr>
        <w:spacing w:after="0" w:line="49"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Business Day</w:t>
      </w:r>
      <w:r>
        <w:rPr>
          <w:rFonts w:ascii="Arial" w:cs="Arial" w:eastAsia="Arial" w:hAnsi="Arial"/>
          <w:sz w:val="13"/>
          <w:szCs w:val="13"/>
          <w:color w:val="auto"/>
        </w:rPr>
        <w:t>” means, unless otherwise provided by Board Resolution, Officer’s Certificate or supplemental indenture for a particular Series, any day except a Saturday, Sunday or a Legal Holiday in The City of New York on which banking institutions are authorized or required by law, regulation or executive order to close.</w:t>
      </w:r>
    </w:p>
    <w:p>
      <w:pPr>
        <w:spacing w:after="0" w:line="49" w:lineRule="exact"/>
        <w:rPr>
          <w:sz w:val="20"/>
          <w:szCs w:val="20"/>
          <w:color w:val="auto"/>
        </w:rPr>
      </w:pPr>
    </w:p>
    <w:p>
      <w:pPr>
        <w:ind w:right="320" w:firstLine="328"/>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Capital Stock</w:t>
      </w:r>
      <w:r>
        <w:rPr>
          <w:rFonts w:ascii="Arial" w:cs="Arial" w:eastAsia="Arial" w:hAnsi="Arial"/>
          <w:sz w:val="13"/>
          <w:szCs w:val="13"/>
          <w:color w:val="auto"/>
        </w:rPr>
        <w:t>” means (1) in the case of a corporation, corporate stock; (2) in the case of an association or business entity, any and all shares, interests, participations, rights or other equivalents (however designated) of corporate stock; (3) in the case of a partnership or limited liability company, partnership interests (whether general or limited) or membership interests; and (4)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Certificated Securities</w:t>
      </w:r>
      <w:r>
        <w:rPr>
          <w:rFonts w:ascii="Arial" w:cs="Arial" w:eastAsia="Arial" w:hAnsi="Arial"/>
          <w:sz w:val="13"/>
          <w:szCs w:val="13"/>
          <w:color w:val="auto"/>
        </w:rPr>
        <w:t>” means definitive Securities in registered non-global certificated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42" w:name="page43"/>
    <w:bookmarkEnd w:id="42"/>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Company</w:t>
      </w:r>
      <w:r>
        <w:rPr>
          <w:rFonts w:ascii="Arial" w:cs="Arial" w:eastAsia="Arial" w:hAnsi="Arial"/>
          <w:sz w:val="13"/>
          <w:szCs w:val="13"/>
          <w:color w:val="auto"/>
        </w:rPr>
        <w:t>” means Schlumberger N.V. until a successor replaces it and thereafter means the successor.</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Company Order</w:t>
      </w:r>
      <w:r>
        <w:rPr>
          <w:rFonts w:ascii="Arial" w:cs="Arial" w:eastAsia="Arial" w:hAnsi="Arial"/>
          <w:sz w:val="13"/>
          <w:szCs w:val="13"/>
          <w:color w:val="auto"/>
        </w:rPr>
        <w:t>” or “</w:t>
      </w:r>
      <w:r>
        <w:rPr>
          <w:rFonts w:ascii="Arial" w:cs="Arial" w:eastAsia="Arial" w:hAnsi="Arial"/>
          <w:sz w:val="13"/>
          <w:szCs w:val="13"/>
          <w:i w:val="1"/>
          <w:iCs w:val="1"/>
          <w:color w:val="auto"/>
        </w:rPr>
        <w:t>Company Request</w:t>
      </w:r>
      <w:r>
        <w:rPr>
          <w:rFonts w:ascii="Arial" w:cs="Arial" w:eastAsia="Arial" w:hAnsi="Arial"/>
          <w:sz w:val="13"/>
          <w:szCs w:val="13"/>
          <w:color w:val="auto"/>
        </w:rPr>
        <w:t>” means a written order signed in the name of the Company by one of the Company’s Officers.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Consolidated Net Worth</w:t>
      </w:r>
      <w:r>
        <w:rPr>
          <w:rFonts w:ascii="Arial" w:cs="Arial" w:eastAsia="Arial" w:hAnsi="Arial"/>
          <w:sz w:val="13"/>
          <w:szCs w:val="13"/>
          <w:color w:val="auto"/>
        </w:rPr>
        <w:t>” means the amount of total stockholders’ equity shown in the Company’s most recent quarterly consolidated statement of financial position.</w:t>
      </w:r>
    </w:p>
    <w:p>
      <w:pPr>
        <w:spacing w:after="0" w:line="86" w:lineRule="exact"/>
        <w:rPr>
          <w:sz w:val="20"/>
          <w:szCs w:val="20"/>
          <w:color w:val="auto"/>
        </w:rPr>
      </w:pPr>
    </w:p>
    <w:p>
      <w:pPr>
        <w:ind w:right="48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Corporate Trust Office</w:t>
      </w:r>
      <w:r>
        <w:rPr>
          <w:rFonts w:ascii="Arial" w:cs="Arial" w:eastAsia="Arial" w:hAnsi="Arial"/>
          <w:sz w:val="13"/>
          <w:szCs w:val="13"/>
          <w:color w:val="auto"/>
        </w:rPr>
        <w:t>” means the office of the Trustee at which at any particular time its corporate trust business shall be principally administered, which, as of the date hereof is the address set forth in Section 10.1.</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Default</w:t>
      </w:r>
      <w:r>
        <w:rPr>
          <w:rFonts w:ascii="Arial" w:cs="Arial" w:eastAsia="Arial" w:hAnsi="Arial"/>
          <w:sz w:val="13"/>
          <w:szCs w:val="13"/>
          <w:color w:val="auto"/>
        </w:rPr>
        <w:t>” means any event which is, or after notice or passage of time or both would be, an Event of Default.</w:t>
      </w:r>
    </w:p>
    <w:p>
      <w:pPr>
        <w:spacing w:after="0" w:line="86" w:lineRule="exact"/>
        <w:rPr>
          <w:sz w:val="20"/>
          <w:szCs w:val="20"/>
          <w:color w:val="auto"/>
        </w:rPr>
      </w:pPr>
    </w:p>
    <w:p>
      <w:pPr>
        <w:ind w:right="16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Depositary</w:t>
      </w:r>
      <w:r>
        <w:rPr>
          <w:rFonts w:ascii="Arial" w:cs="Arial" w:eastAsia="Arial" w:hAnsi="Arial"/>
          <w:sz w:val="13"/>
          <w:szCs w:val="13"/>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w:t>
      </w:r>
      <w:r>
        <w:rPr>
          <w:rFonts w:ascii="Arial" w:cs="Arial" w:eastAsia="Arial" w:hAnsi="Arial"/>
          <w:sz w:val="13"/>
          <w:szCs w:val="13"/>
          <w:i w:val="1"/>
          <w:iCs w:val="1"/>
          <w:color w:val="auto"/>
        </w:rPr>
        <w:t>Depositary</w:t>
      </w:r>
      <w:r>
        <w:rPr>
          <w:rFonts w:ascii="Arial" w:cs="Arial" w:eastAsia="Arial" w:hAnsi="Arial"/>
          <w:sz w:val="13"/>
          <w:szCs w:val="13"/>
          <w:color w:val="auto"/>
        </w:rPr>
        <w:t>” as used with respect to the Securities of any Series shall mean the Depositary with respect to the Securities of such Series.</w:t>
      </w:r>
    </w:p>
    <w:p>
      <w:pPr>
        <w:spacing w:after="0" w:line="57" w:lineRule="exact"/>
        <w:rPr>
          <w:sz w:val="20"/>
          <w:szCs w:val="20"/>
          <w:color w:val="auto"/>
        </w:rPr>
      </w:pPr>
    </w:p>
    <w:p>
      <w:pPr>
        <w:ind w:right="44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Discount Security</w:t>
      </w:r>
      <w:r>
        <w:rPr>
          <w:rFonts w:ascii="Arial" w:cs="Arial" w:eastAsia="Arial" w:hAnsi="Arial"/>
          <w:sz w:val="13"/>
          <w:szCs w:val="13"/>
          <w:color w:val="auto"/>
        </w:rPr>
        <w:t>” means any Security that provides for an amount less than the stated principal amount thereof to be due and payable upon declaration of acceleration of the maturity thereof pursuant to Section 6.2.</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Dollars</w:t>
      </w:r>
      <w:r>
        <w:rPr>
          <w:rFonts w:ascii="Arial" w:cs="Arial" w:eastAsia="Arial" w:hAnsi="Arial"/>
          <w:sz w:val="13"/>
          <w:szCs w:val="13"/>
          <w:color w:val="auto"/>
        </w:rPr>
        <w:t>” or “</w:t>
      </w:r>
      <w:r>
        <w:rPr>
          <w:rFonts w:ascii="Arial" w:cs="Arial" w:eastAsia="Arial" w:hAnsi="Arial"/>
          <w:sz w:val="13"/>
          <w:szCs w:val="13"/>
          <w:i w:val="1"/>
          <w:iCs w:val="1"/>
          <w:color w:val="auto"/>
        </w:rPr>
        <w:t>$</w:t>
      </w:r>
      <w:r>
        <w:rPr>
          <w:rFonts w:ascii="Arial" w:cs="Arial" w:eastAsia="Arial" w:hAnsi="Arial"/>
          <w:sz w:val="13"/>
          <w:szCs w:val="13"/>
          <w:color w:val="auto"/>
        </w:rPr>
        <w:t>” means the currency of The United States of America.</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Exchange Act</w:t>
      </w:r>
      <w:r>
        <w:rPr>
          <w:rFonts w:ascii="Arial" w:cs="Arial" w:eastAsia="Arial" w:hAnsi="Arial"/>
          <w:sz w:val="13"/>
          <w:szCs w:val="13"/>
          <w:color w:val="auto"/>
        </w:rPr>
        <w:t>” means the Securities Exchange Act of 1934, as amended.</w:t>
      </w:r>
    </w:p>
    <w:p>
      <w:pPr>
        <w:spacing w:after="0" w:line="86" w:lineRule="exact"/>
        <w:rPr>
          <w:sz w:val="20"/>
          <w:szCs w:val="20"/>
          <w:color w:val="auto"/>
        </w:rPr>
      </w:pPr>
    </w:p>
    <w:p>
      <w:pPr>
        <w:jc w:val="both"/>
        <w:ind w:right="100" w:firstLine="327"/>
        <w:spacing w:after="0" w:line="264" w:lineRule="auto"/>
        <w:rPr>
          <w:sz w:val="20"/>
          <w:szCs w:val="20"/>
          <w:color w:val="auto"/>
        </w:rPr>
      </w:pPr>
      <w:r>
        <w:rPr>
          <w:rFonts w:ascii="Arial" w:cs="Arial" w:eastAsia="Arial" w:hAnsi="Arial"/>
          <w:sz w:val="13"/>
          <w:szCs w:val="13"/>
          <w:i w:val="1"/>
          <w:iCs w:val="1"/>
          <w:color w:val="auto"/>
        </w:rPr>
        <w:t xml:space="preserve">“GAAP” </w:t>
      </w:r>
      <w:r>
        <w:rPr>
          <w:rFonts w:ascii="Arial" w:cs="Arial" w:eastAsia="Arial" w:hAnsi="Arial"/>
          <w:sz w:val="13"/>
          <w:szCs w:val="13"/>
          <w:color w:val="auto"/>
        </w:rPr>
        <w:t>means accounting principles generally accepted in the United States of America set forth in the opinions and pronouncements of the Accounting Principles Board of the American Institute of Certified</w:t>
      </w:r>
      <w:r>
        <w:rPr>
          <w:rFonts w:ascii="Arial" w:cs="Arial" w:eastAsia="Arial" w:hAnsi="Arial"/>
          <w:sz w:val="13"/>
          <w:szCs w:val="13"/>
          <w:i w:val="1"/>
          <w:iCs w:val="1"/>
          <w:color w:val="auto"/>
        </w:rPr>
        <w:t xml:space="preserve"> </w:t>
      </w:r>
      <w:r>
        <w:rPr>
          <w:rFonts w:ascii="Arial" w:cs="Arial" w:eastAsia="Arial" w:hAnsi="Arial"/>
          <w:sz w:val="13"/>
          <w:szCs w:val="13"/>
          <w:color w:val="auto"/>
        </w:rPr>
        <w:t>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57"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Global Security</w:t>
      </w:r>
      <w:r>
        <w:rPr>
          <w:rFonts w:ascii="Arial" w:cs="Arial" w:eastAsia="Arial" w:hAnsi="Arial"/>
          <w:sz w:val="13"/>
          <w:szCs w:val="13"/>
          <w:color w:val="auto"/>
        </w:rPr>
        <w:t>” or “</w:t>
      </w:r>
      <w:r>
        <w:rPr>
          <w:rFonts w:ascii="Arial" w:cs="Arial" w:eastAsia="Arial" w:hAnsi="Arial"/>
          <w:sz w:val="13"/>
          <w:szCs w:val="13"/>
          <w:i w:val="1"/>
          <w:iCs w:val="1"/>
          <w:color w:val="auto"/>
        </w:rPr>
        <w:t>Global Securities</w:t>
      </w:r>
      <w:r>
        <w:rPr>
          <w:rFonts w:ascii="Arial" w:cs="Arial" w:eastAsia="Arial" w:hAnsi="Arial"/>
          <w:sz w:val="13"/>
          <w:szCs w:val="13"/>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49"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Government Obligations</w:t>
      </w:r>
      <w:r>
        <w:rPr>
          <w:rFonts w:ascii="Arial" w:cs="Arial" w:eastAsia="Arial" w:hAnsi="Arial"/>
          <w:sz w:val="13"/>
          <w:szCs w:val="13"/>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43" w:name="page44"/>
    <w:bookmarkEnd w:id="43"/>
    <w:p>
      <w:pPr>
        <w:ind w:right="60"/>
        <w:spacing w:after="0" w:line="260" w:lineRule="auto"/>
        <w:rPr>
          <w:sz w:val="20"/>
          <w:szCs w:val="20"/>
          <w:color w:val="auto"/>
        </w:rPr>
      </w:pPr>
      <w:r>
        <w:rPr>
          <w:rFonts w:ascii="Arial" w:cs="Arial" w:eastAsia="Arial" w:hAnsi="Arial"/>
          <w:sz w:val="13"/>
          <w:szCs w:val="13"/>
          <w:color w:val="auto"/>
        </w:rPr>
        <w:t xml:space="preserve">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(except as required by law) such custodian is not authorized to make any deduction from the amount payable to the holder of such depository receipt from any amount received by the custodian with respect to the Government Obligation evidenced by such depository receipt.</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Holder</w:t>
      </w:r>
      <w:r>
        <w:rPr>
          <w:rFonts w:ascii="Arial" w:cs="Arial" w:eastAsia="Arial" w:hAnsi="Arial"/>
          <w:sz w:val="13"/>
          <w:szCs w:val="13"/>
          <w:color w:val="auto"/>
        </w:rPr>
        <w:t>” or “</w:t>
      </w:r>
      <w:r>
        <w:rPr>
          <w:rFonts w:ascii="Arial" w:cs="Arial" w:eastAsia="Arial" w:hAnsi="Arial"/>
          <w:sz w:val="13"/>
          <w:szCs w:val="13"/>
          <w:i w:val="1"/>
          <w:iCs w:val="1"/>
          <w:color w:val="auto"/>
        </w:rPr>
        <w:t>Securityholder</w:t>
      </w:r>
      <w:r>
        <w:rPr>
          <w:rFonts w:ascii="Arial" w:cs="Arial" w:eastAsia="Arial" w:hAnsi="Arial"/>
          <w:sz w:val="13"/>
          <w:szCs w:val="13"/>
          <w:color w:val="auto"/>
        </w:rPr>
        <w:t>” means a Person in whose name a Security is registered in the register maintained by the Registrar.</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Indenture</w:t>
      </w:r>
      <w:r>
        <w:rPr>
          <w:rFonts w:ascii="Arial" w:cs="Arial" w:eastAsia="Arial" w:hAnsi="Arial"/>
          <w:sz w:val="13"/>
          <w:szCs w:val="13"/>
          <w:color w:val="auto"/>
        </w:rPr>
        <w:t>” means this Indenture as amended or supplemented from time to time and shall include the form and terms of particular Series of Securities established as contemplated hereunder.</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Issue Date</w:t>
      </w:r>
      <w:r>
        <w:rPr>
          <w:rFonts w:ascii="Arial" w:cs="Arial" w:eastAsia="Arial" w:hAnsi="Arial"/>
          <w:sz w:val="13"/>
          <w:szCs w:val="13"/>
          <w:color w:val="auto"/>
        </w:rPr>
        <w:t>” means, with respect to any Security, the date of original issuance of such Security.</w:t>
      </w:r>
    </w:p>
    <w:p>
      <w:pPr>
        <w:spacing w:after="0" w:line="86"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Maturity</w:t>
      </w:r>
      <w:r>
        <w:rPr>
          <w:rFonts w:ascii="Arial" w:cs="Arial" w:eastAsia="Arial" w:hAnsi="Arial"/>
          <w:sz w:val="13"/>
          <w:szCs w:val="13"/>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Mortgage</w:t>
      </w:r>
      <w:r>
        <w:rPr>
          <w:rFonts w:ascii="Arial" w:cs="Arial" w:eastAsia="Arial" w:hAnsi="Arial"/>
          <w:sz w:val="13"/>
          <w:szCs w:val="13"/>
          <w:color w:val="auto"/>
        </w:rPr>
        <w:t>” means and includes any mortgage, pledge, lien, security interest, conditional sale or other title retention agreement or other similar encumbrance.</w:t>
      </w:r>
    </w:p>
    <w:p>
      <w:pPr>
        <w:spacing w:after="0" w:line="86"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Non-recourse Debt</w:t>
      </w:r>
      <w:r>
        <w:rPr>
          <w:rFonts w:ascii="Arial" w:cs="Arial" w:eastAsia="Arial" w:hAnsi="Arial"/>
          <w:sz w:val="13"/>
          <w:szCs w:val="13"/>
          <w:color w:val="auto"/>
        </w:rPr>
        <w:t>” means indebtedness as to which (a) neither the Company, nor any of its Subsidiaries (x) provides credit support of any kind or (y) is directly or indirectly liable as a guarantor or otherwise and (b) as to which the lenders have been notified in writing that they will not have any recourse to the stock or assets of the Company or any of its Subsidiaries.</w:t>
      </w:r>
    </w:p>
    <w:p>
      <w:pPr>
        <w:spacing w:after="0" w:line="49" w:lineRule="exact"/>
        <w:rPr>
          <w:sz w:val="20"/>
          <w:szCs w:val="20"/>
          <w:color w:val="auto"/>
        </w:rPr>
      </w:pPr>
    </w:p>
    <w:p>
      <w:pPr>
        <w:ind w:right="6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Officer</w:t>
      </w:r>
      <w:r>
        <w:rPr>
          <w:rFonts w:ascii="Arial" w:cs="Arial" w:eastAsia="Arial" w:hAnsi="Arial"/>
          <w:sz w:val="13"/>
          <w:szCs w:val="13"/>
          <w:color w:val="auto"/>
        </w:rPr>
        <w:t>” means the Chief Executive Officer, Chief Operating Officer, Chief Financial Officer, President, any Vice-President, the Treasurer, a Director, the Chairman, the Secretary, any Assistant Treasurer or any Assistant Secretary of the Company.</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Officer’s Certificate</w:t>
      </w:r>
      <w:r>
        <w:rPr>
          <w:rFonts w:ascii="Arial" w:cs="Arial" w:eastAsia="Arial" w:hAnsi="Arial"/>
          <w:sz w:val="13"/>
          <w:szCs w:val="13"/>
          <w:color w:val="auto"/>
        </w:rPr>
        <w:t>” means a certificate signed by an Officer of the Company.</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Opinion of Counsel</w:t>
      </w:r>
      <w:r>
        <w:rPr>
          <w:rFonts w:ascii="Arial" w:cs="Arial" w:eastAsia="Arial" w:hAnsi="Arial"/>
          <w:sz w:val="13"/>
          <w:szCs w:val="13"/>
          <w:color w:val="auto"/>
        </w:rPr>
        <w:t>” means a written opinion of legal counsel who is acceptable to the Trustee. The counsel may be a direct or indirect employee of or counsel to the Company.</w:t>
      </w:r>
    </w:p>
    <w:p>
      <w:pPr>
        <w:spacing w:after="0" w:line="86" w:lineRule="exact"/>
        <w:rPr>
          <w:sz w:val="20"/>
          <w:szCs w:val="20"/>
          <w:color w:val="auto"/>
        </w:rPr>
      </w:pPr>
    </w:p>
    <w:p>
      <w:pPr>
        <w:ind w:right="10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Periodic Offering</w:t>
      </w:r>
      <w:r>
        <w:rPr>
          <w:rFonts w:ascii="Arial" w:cs="Arial" w:eastAsia="Arial" w:hAnsi="Arial"/>
          <w:sz w:val="13"/>
          <w:szCs w:val="13"/>
          <w:color w:val="auto"/>
        </w:rPr>
        <w:t>” means an offering of Securities of a Series from time to time, during which any or all of the specific terms of the Securities, including the rate or rates of interest, if any, thereon, the maturity or maturities thereof and the redemption provisions, if any, with respect thereto, are to be determined by the Company or its agents upon the issuance of such Securities in accordance with the terms of the relevant supplemental indenture.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Person</w:t>
      </w:r>
      <w:r>
        <w:rPr>
          <w:rFonts w:ascii="Arial" w:cs="Arial" w:eastAsia="Arial" w:hAnsi="Arial"/>
          <w:sz w:val="13"/>
          <w:szCs w:val="13"/>
          <w:color w:val="auto"/>
        </w:rPr>
        <w:t>” means any individual, corporation, partnership, limited liability company, association, joint venture, trust, joint stock company or any other entity or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44" w:name="page45"/>
    <w:bookmarkEnd w:id="44"/>
    <w:p>
      <w:pPr>
        <w:spacing w:after="0"/>
        <w:rPr>
          <w:sz w:val="20"/>
          <w:szCs w:val="20"/>
          <w:color w:val="auto"/>
        </w:rPr>
      </w:pPr>
      <w:r>
        <w:rPr>
          <w:rFonts w:ascii="Arial" w:cs="Arial" w:eastAsia="Arial" w:hAnsi="Arial"/>
          <w:sz w:val="13"/>
          <w:szCs w:val="13"/>
          <w:color w:val="auto"/>
        </w:rPr>
        <w:t>organization, including a government or political subdivision or an agency or instrumentality thereof.</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principal</w:t>
      </w:r>
      <w:r>
        <w:rPr>
          <w:rFonts w:ascii="Arial" w:cs="Arial" w:eastAsia="Arial" w:hAnsi="Arial"/>
          <w:sz w:val="13"/>
          <w:szCs w:val="13"/>
          <w:color w:val="auto"/>
        </w:rPr>
        <w:t>” of a Security means the principal of the Security plus, when appropriate, the premium, if any, on, and any Additional Amounts with respect to, the Security.</w:t>
      </w:r>
    </w:p>
    <w:p>
      <w:pPr>
        <w:spacing w:after="0" w:line="86"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Responsible Officer</w:t>
      </w:r>
      <w:r>
        <w:rPr>
          <w:rFonts w:ascii="Arial" w:cs="Arial" w:eastAsia="Arial" w:hAnsi="Arial"/>
          <w:sz w:val="13"/>
          <w:szCs w:val="13"/>
          <w:color w:val="auto"/>
        </w:rPr>
        <w:t>” means any officer of the Trustee in its Corporate Trust Office responsible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49" w:lineRule="exact"/>
        <w:rPr>
          <w:sz w:val="20"/>
          <w:szCs w:val="20"/>
          <w:color w:val="auto"/>
        </w:rPr>
      </w:pPr>
    </w:p>
    <w:p>
      <w:pPr>
        <w:ind w:right="6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Restricted Property</w:t>
      </w:r>
      <w:r>
        <w:rPr>
          <w:rFonts w:ascii="Arial" w:cs="Arial" w:eastAsia="Arial" w:hAnsi="Arial"/>
          <w:sz w:val="13"/>
          <w:szCs w:val="13"/>
          <w:color w:val="auto"/>
        </w:rPr>
        <w:t>” means any real property, manufacturing plant, warehouse, office building or other physical facility, or any item of marine, transportation or construction equipment or other like depreciable assets of the Company or any of its Restricted Subsidiaries, whether owned on or acquired after the Issue Date of the Securities of any Series, unless, in the opinion of the Board of Directors, such plant or facility or other asset is not of material importance to the total business conducted by the Company and its Restricted Subsidiaries taken as a whole.</w:t>
      </w:r>
    </w:p>
    <w:p>
      <w:pPr>
        <w:spacing w:after="0" w:line="57" w:lineRule="exact"/>
        <w:rPr>
          <w:sz w:val="20"/>
          <w:szCs w:val="20"/>
          <w:color w:val="auto"/>
        </w:rPr>
      </w:pPr>
    </w:p>
    <w:p>
      <w:pPr>
        <w:ind w:right="20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Restricted Security</w:t>
      </w:r>
      <w:r>
        <w:rPr>
          <w:rFonts w:ascii="Arial" w:cs="Arial" w:eastAsia="Arial" w:hAnsi="Arial"/>
          <w:sz w:val="13"/>
          <w:szCs w:val="13"/>
          <w:color w:val="auto"/>
        </w:rPr>
        <w:t>”, with respect to any Series of Securities, means a Security of such Series, unless or until it has been (i) effectively registered under the Securities Act and disposed of in accordance with a registration statement with respect to such Series or (ii) distributed to the public pursuant to Rule 144 under the Securities Act or any similar provision then in force.</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Restricted Subsidiary</w:t>
      </w:r>
      <w:r>
        <w:rPr>
          <w:rFonts w:ascii="Arial" w:cs="Arial" w:eastAsia="Arial" w:hAnsi="Arial"/>
          <w:sz w:val="13"/>
          <w:szCs w:val="13"/>
          <w:color w:val="auto"/>
        </w:rPr>
        <w:t>” means any Subsidiary of the Company which owns a Restricted Property.</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SEC</w:t>
      </w:r>
      <w:r>
        <w:rPr>
          <w:rFonts w:ascii="Arial" w:cs="Arial" w:eastAsia="Arial" w:hAnsi="Arial"/>
          <w:sz w:val="13"/>
          <w:szCs w:val="13"/>
          <w:color w:val="auto"/>
        </w:rPr>
        <w:t>” means the Securities and Exchange Commission.</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Securities</w:t>
      </w:r>
      <w:r>
        <w:rPr>
          <w:rFonts w:ascii="Arial" w:cs="Arial" w:eastAsia="Arial" w:hAnsi="Arial"/>
          <w:sz w:val="13"/>
          <w:szCs w:val="13"/>
          <w:color w:val="auto"/>
        </w:rPr>
        <w:t>” means the debentures, notes or other debt instruments of the Company of any Series authenticated and delivered under this Indenture.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Securities Act</w:t>
      </w:r>
      <w:r>
        <w:rPr>
          <w:rFonts w:ascii="Arial" w:cs="Arial" w:eastAsia="Arial" w:hAnsi="Arial"/>
          <w:sz w:val="13"/>
          <w:szCs w:val="13"/>
          <w:color w:val="auto"/>
        </w:rPr>
        <w:t>” means the Securities Act of 1933, as amended.</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Series</w:t>
      </w:r>
      <w:r>
        <w:rPr>
          <w:rFonts w:ascii="Arial" w:cs="Arial" w:eastAsia="Arial" w:hAnsi="Arial"/>
          <w:sz w:val="13"/>
          <w:szCs w:val="13"/>
          <w:color w:val="auto"/>
        </w:rPr>
        <w:t>” or “</w:t>
      </w:r>
      <w:r>
        <w:rPr>
          <w:rFonts w:ascii="Arial" w:cs="Arial" w:eastAsia="Arial" w:hAnsi="Arial"/>
          <w:sz w:val="13"/>
          <w:szCs w:val="13"/>
          <w:i w:val="1"/>
          <w:iCs w:val="1"/>
          <w:color w:val="auto"/>
        </w:rPr>
        <w:t>Series of Securities</w:t>
      </w:r>
      <w:r>
        <w:rPr>
          <w:rFonts w:ascii="Arial" w:cs="Arial" w:eastAsia="Arial" w:hAnsi="Arial"/>
          <w:sz w:val="13"/>
          <w:szCs w:val="13"/>
          <w:color w:val="auto"/>
        </w:rPr>
        <w:t>” means each series of Securities of the Company created pursuant to Sections 2.1 and 2.2 hereof.</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Stated Maturity</w:t>
      </w:r>
      <w:r>
        <w:rPr>
          <w:rFonts w:ascii="Arial" w:cs="Arial" w:eastAsia="Arial" w:hAnsi="Arial"/>
          <w:sz w:val="13"/>
          <w:szCs w:val="13"/>
          <w:color w:val="auto"/>
        </w:rPr>
        <w:t>” when used with respect to any Security, means the date specified in such Security as the fixed date on which the principal of such Security or interest is due and payable.</w:t>
      </w:r>
    </w:p>
    <w:p>
      <w:pPr>
        <w:spacing w:after="0" w:line="86"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Subsidiary</w:t>
      </w:r>
      <w:r>
        <w:rPr>
          <w:rFonts w:ascii="Arial" w:cs="Arial" w:eastAsia="Arial" w:hAnsi="Arial"/>
          <w:sz w:val="13"/>
          <w:szCs w:val="13"/>
          <w:color w:val="auto"/>
        </w:rPr>
        <w:t>”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45" w:name="page46"/>
    <w:bookmarkEnd w:id="45"/>
    <w:p>
      <w:pPr>
        <w:ind w:right="80"/>
        <w:spacing w:after="0" w:line="260" w:lineRule="auto"/>
        <w:rPr>
          <w:sz w:val="20"/>
          <w:szCs w:val="20"/>
          <w:color w:val="auto"/>
        </w:rPr>
      </w:pPr>
      <w:r>
        <w:rPr>
          <w:rFonts w:ascii="Arial" w:cs="Arial" w:eastAsia="Arial" w:hAnsi="Arial"/>
          <w:sz w:val="13"/>
          <w:szCs w:val="13"/>
          <w:color w:val="auto"/>
        </w:rPr>
        <w:t>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60" w:lineRule="exact"/>
        <w:rPr>
          <w:sz w:val="20"/>
          <w:szCs w:val="20"/>
          <w:color w:val="auto"/>
        </w:rPr>
      </w:pPr>
    </w:p>
    <w:p>
      <w:pPr>
        <w:jc w:val="both"/>
        <w:ind w:right="10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Trustee</w:t>
      </w:r>
      <w:r>
        <w:rPr>
          <w:rFonts w:ascii="Arial" w:cs="Arial" w:eastAsia="Arial" w:hAnsi="Arial"/>
          <w:sz w:val="13"/>
          <w:szCs w:val="13"/>
          <w:color w:val="auto"/>
        </w:rPr>
        <w:t>” means the Person named as the “</w:t>
      </w:r>
      <w:r>
        <w:rPr>
          <w:rFonts w:ascii="Arial" w:cs="Arial" w:eastAsia="Arial" w:hAnsi="Arial"/>
          <w:sz w:val="13"/>
          <w:szCs w:val="13"/>
          <w:i w:val="1"/>
          <w:iCs w:val="1"/>
          <w:color w:val="auto"/>
        </w:rPr>
        <w:t>Trustee</w:t>
      </w:r>
      <w:r>
        <w:rPr>
          <w:rFonts w:ascii="Arial" w:cs="Arial" w:eastAsia="Arial" w:hAnsi="Arial"/>
          <w:sz w:val="13"/>
          <w:szCs w:val="13"/>
          <w:color w:val="auto"/>
        </w:rPr>
        <w:t>” in the first paragraph of this instrument until a successor Trustee shall have become such pursuant to the applicable provisions of this Indenture, and thereafter “</w:t>
      </w:r>
      <w:r>
        <w:rPr>
          <w:rFonts w:ascii="Arial" w:cs="Arial" w:eastAsia="Arial" w:hAnsi="Arial"/>
          <w:sz w:val="13"/>
          <w:szCs w:val="13"/>
          <w:i w:val="1"/>
          <w:iCs w:val="1"/>
          <w:color w:val="auto"/>
        </w:rPr>
        <w:t>Trustee</w:t>
      </w:r>
      <w:r>
        <w:rPr>
          <w:rFonts w:ascii="Arial" w:cs="Arial" w:eastAsia="Arial" w:hAnsi="Arial"/>
          <w:sz w:val="13"/>
          <w:szCs w:val="13"/>
          <w:color w:val="auto"/>
        </w:rPr>
        <w:t>” shall mean or include each Person who is then a Trustee hereunder, and if at any time there is more than one such Person, “</w:t>
      </w:r>
      <w:r>
        <w:rPr>
          <w:rFonts w:ascii="Arial" w:cs="Arial" w:eastAsia="Arial" w:hAnsi="Arial"/>
          <w:sz w:val="13"/>
          <w:szCs w:val="13"/>
          <w:i w:val="1"/>
          <w:iCs w:val="1"/>
          <w:color w:val="auto"/>
        </w:rPr>
        <w:t>Trustee</w:t>
      </w:r>
      <w:r>
        <w:rPr>
          <w:rFonts w:ascii="Arial" w:cs="Arial" w:eastAsia="Arial" w:hAnsi="Arial"/>
          <w:sz w:val="13"/>
          <w:szCs w:val="13"/>
          <w:color w:val="auto"/>
        </w:rPr>
        <w:t>” as used with respect to the Securities of any Series shall mean the Trustee with respect to Securities of that Series.</w:t>
      </w:r>
    </w:p>
    <w:p>
      <w:pPr>
        <w:spacing w:after="0" w:line="57" w:lineRule="exact"/>
        <w:rPr>
          <w:sz w:val="20"/>
          <w:szCs w:val="20"/>
          <w:color w:val="auto"/>
        </w:rPr>
      </w:pPr>
    </w:p>
    <w:p>
      <w:pPr>
        <w:ind w:right="22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Unrestricted Securities</w:t>
      </w:r>
      <w:r>
        <w:rPr>
          <w:rFonts w:ascii="Arial" w:cs="Arial" w:eastAsia="Arial" w:hAnsi="Arial"/>
          <w:sz w:val="13"/>
          <w:szCs w:val="13"/>
          <w:color w:val="auto"/>
        </w:rPr>
        <w:t>”, with respect to any Series of Securities, means a Security (i) effectively registered under the Securities Act and disposed of in accordance with a registration statement with respect to such Series or (ii) distributed to the public pursuant to Rule 144 under the Securities Act or any similar provision then in force.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1.2. </w:t>
      </w:r>
      <w:r>
        <w:rPr>
          <w:rFonts w:ascii="Arial" w:cs="Arial" w:eastAsia="Arial" w:hAnsi="Arial"/>
          <w:sz w:val="13"/>
          <w:szCs w:val="13"/>
          <w:u w:val="single" w:color="auto"/>
          <w:color w:val="auto"/>
        </w:rPr>
        <w:t>Other Definitions</w:t>
      </w:r>
      <w:r>
        <w:rPr>
          <w:rFonts w:ascii="Arial" w:cs="Arial" w:eastAsia="Arial" w:hAnsi="Arial"/>
          <w:sz w:val="13"/>
          <w:szCs w:val="13"/>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0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jc w:val="right"/>
              <w:ind w:right="118"/>
              <w:spacing w:after="0"/>
              <w:rPr>
                <w:sz w:val="20"/>
                <w:szCs w:val="20"/>
                <w:color w:val="auto"/>
              </w:rPr>
            </w:pPr>
            <w:r>
              <w:rPr>
                <w:rFonts w:ascii="Arial" w:cs="Arial" w:eastAsia="Arial" w:hAnsi="Arial"/>
                <w:sz w:val="10"/>
                <w:szCs w:val="10"/>
                <w:color w:val="auto"/>
              </w:rPr>
              <w:t>DEFINED IN</w:t>
            </w:r>
          </w:p>
        </w:tc>
      </w:tr>
      <w:tr>
        <w:trPr>
          <w:trHeight w:val="121"/>
        </w:trPr>
        <w:tc>
          <w:tcPr>
            <w:tcW w:w="36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TERM</w:t>
            </w:r>
          </w:p>
        </w:tc>
        <w:tc>
          <w:tcPr>
            <w:tcW w:w="632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color w:val="auto"/>
              </w:rPr>
              <w:t>SECTION</w:t>
            </w:r>
          </w:p>
        </w:tc>
      </w:tr>
      <w:tr>
        <w:trPr>
          <w:trHeight w:val="138"/>
        </w:trPr>
        <w:tc>
          <w:tcPr>
            <w:tcW w:w="3600" w:type="dxa"/>
            <w:vAlign w:val="bottom"/>
          </w:tcPr>
          <w:p>
            <w:pPr>
              <w:spacing w:after="0" w:line="139" w:lineRule="exact"/>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Additional Amounts</w:t>
            </w:r>
            <w:r>
              <w:rPr>
                <w:rFonts w:ascii="Arial" w:cs="Arial" w:eastAsia="Arial" w:hAnsi="Arial"/>
                <w:sz w:val="13"/>
                <w:szCs w:val="13"/>
                <w:color w:val="auto"/>
              </w:rPr>
              <w:t>”</w:t>
            </w: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jc w:val="right"/>
              <w:ind w:right="118"/>
              <w:spacing w:after="0" w:line="139" w:lineRule="exact"/>
              <w:rPr>
                <w:sz w:val="20"/>
                <w:szCs w:val="20"/>
                <w:color w:val="auto"/>
              </w:rPr>
            </w:pPr>
            <w:r>
              <w:rPr>
                <w:rFonts w:ascii="Arial" w:cs="Arial" w:eastAsia="Arial" w:hAnsi="Arial"/>
                <w:sz w:val="13"/>
                <w:szCs w:val="13"/>
                <w:color w:val="auto"/>
              </w:rPr>
              <w:t>4.6(a)</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Bankruptcy Law”</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6.1</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Company Tax Jurisdiction</w:t>
            </w:r>
            <w:r>
              <w:rPr>
                <w:rFonts w:ascii="Arial" w:cs="Arial" w:eastAsia="Arial" w:hAnsi="Arial"/>
                <w:sz w:val="13"/>
                <w:szCs w:val="13"/>
                <w:color w:val="auto"/>
              </w:rPr>
              <w:t>”</w:t>
            </w:r>
          </w:p>
        </w:tc>
        <w:tc>
          <w:tcPr>
            <w:tcW w:w="6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jc w:val="right"/>
              <w:ind w:right="118"/>
              <w:spacing w:after="0"/>
              <w:rPr>
                <w:sz w:val="20"/>
                <w:szCs w:val="20"/>
                <w:color w:val="auto"/>
              </w:rPr>
            </w:pPr>
            <w:r>
              <w:rPr>
                <w:rFonts w:ascii="Arial" w:cs="Arial" w:eastAsia="Arial" w:hAnsi="Arial"/>
                <w:sz w:val="13"/>
                <w:szCs w:val="13"/>
                <w:color w:val="auto"/>
              </w:rPr>
              <w:t>4.6(a)</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covenant defeasance</w:t>
            </w:r>
            <w:r>
              <w:rPr>
                <w:rFonts w:ascii="Arial" w:cs="Arial" w:eastAsia="Arial" w:hAnsi="Arial"/>
                <w:sz w:val="13"/>
                <w:szCs w:val="13"/>
                <w:color w:val="auto"/>
              </w:rPr>
              <w:t>”</w:t>
            </w:r>
          </w:p>
        </w:tc>
        <w:tc>
          <w:tcPr>
            <w:tcW w:w="6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jc w:val="right"/>
              <w:ind w:right="118"/>
              <w:spacing w:after="0"/>
              <w:rPr>
                <w:sz w:val="20"/>
                <w:szCs w:val="20"/>
                <w:color w:val="auto"/>
              </w:rPr>
            </w:pPr>
            <w:r>
              <w:rPr>
                <w:rFonts w:ascii="Arial" w:cs="Arial" w:eastAsia="Arial" w:hAnsi="Arial"/>
                <w:sz w:val="13"/>
                <w:szCs w:val="13"/>
                <w:color w:val="auto"/>
              </w:rPr>
              <w:t>8.1(b)</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Custodian</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6.1</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Event of Default</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6.1</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Judgment Currency</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10.14</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legal defeasance</w:t>
            </w:r>
            <w:r>
              <w:rPr>
                <w:rFonts w:ascii="Arial" w:cs="Arial" w:eastAsia="Arial" w:hAnsi="Arial"/>
                <w:sz w:val="13"/>
                <w:szCs w:val="13"/>
                <w:color w:val="auto"/>
              </w:rPr>
              <w:t>”</w:t>
            </w:r>
          </w:p>
        </w:tc>
        <w:tc>
          <w:tcPr>
            <w:tcW w:w="6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jc w:val="right"/>
              <w:ind w:right="118"/>
              <w:spacing w:after="0"/>
              <w:rPr>
                <w:sz w:val="20"/>
                <w:szCs w:val="20"/>
                <w:color w:val="auto"/>
              </w:rPr>
            </w:pPr>
            <w:r>
              <w:rPr>
                <w:rFonts w:ascii="Arial" w:cs="Arial" w:eastAsia="Arial" w:hAnsi="Arial"/>
                <w:sz w:val="13"/>
                <w:szCs w:val="13"/>
                <w:color w:val="auto"/>
              </w:rPr>
              <w:t>8.1(c)</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Legal Holiday</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10.6</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New York Banking Day</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10.14</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Paying Agent</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2.4</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Process Agent</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10.16</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Registrar</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2.4</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Related Proceeding</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10.16</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Required Currency</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10.14</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Taxes</w:t>
            </w:r>
            <w:r>
              <w:rPr>
                <w:rFonts w:ascii="Arial" w:cs="Arial" w:eastAsia="Arial" w:hAnsi="Arial"/>
                <w:sz w:val="13"/>
                <w:szCs w:val="13"/>
                <w:color w:val="auto"/>
              </w:rPr>
              <w:t>”</w:t>
            </w:r>
          </w:p>
        </w:tc>
        <w:tc>
          <w:tcPr>
            <w:tcW w:w="6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jc w:val="right"/>
              <w:ind w:right="118"/>
              <w:spacing w:after="0"/>
              <w:rPr>
                <w:sz w:val="20"/>
                <w:szCs w:val="20"/>
                <w:color w:val="auto"/>
              </w:rPr>
            </w:pPr>
            <w:r>
              <w:rPr>
                <w:rFonts w:ascii="Arial" w:cs="Arial" w:eastAsia="Arial" w:hAnsi="Arial"/>
                <w:sz w:val="13"/>
                <w:szCs w:val="13"/>
                <w:color w:val="auto"/>
              </w:rPr>
              <w:t>4.6(a)</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Tax Redemption Date</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3.10</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Tax Jurisdiction</w:t>
            </w:r>
            <w:r>
              <w:rPr>
                <w:rFonts w:ascii="Arial" w:cs="Arial" w:eastAsia="Arial" w:hAnsi="Arial"/>
                <w:sz w:val="13"/>
                <w:szCs w:val="13"/>
                <w:color w:val="auto"/>
              </w:rPr>
              <w:t>”</w:t>
            </w:r>
          </w:p>
        </w:tc>
        <w:tc>
          <w:tcPr>
            <w:tcW w:w="6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jc w:val="right"/>
              <w:ind w:right="118"/>
              <w:spacing w:after="0"/>
              <w:rPr>
                <w:sz w:val="20"/>
                <w:szCs w:val="20"/>
                <w:color w:val="auto"/>
              </w:rPr>
            </w:pPr>
            <w:r>
              <w:rPr>
                <w:rFonts w:ascii="Arial" w:cs="Arial" w:eastAsia="Arial" w:hAnsi="Arial"/>
                <w:sz w:val="13"/>
                <w:szCs w:val="13"/>
                <w:color w:val="auto"/>
              </w:rPr>
              <w:t>4.6(a)</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TIA</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7.10</w:t>
            </w:r>
          </w:p>
        </w:tc>
      </w:tr>
      <w:tr>
        <w:trPr>
          <w:trHeight w:val="165"/>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Transfer Agent</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2.4</w:t>
            </w:r>
          </w:p>
        </w:tc>
      </w:tr>
      <w:tr>
        <w:trPr>
          <w:trHeight w:val="295"/>
        </w:trPr>
        <w:tc>
          <w:tcPr>
            <w:tcW w:w="3600" w:type="dxa"/>
            <w:vAlign w:val="bottom"/>
          </w:tcPr>
          <w:p>
            <w:pPr>
              <w:spacing w:after="0"/>
              <w:rPr>
                <w:sz w:val="24"/>
                <w:szCs w:val="24"/>
                <w:color w:val="auto"/>
              </w:rPr>
            </w:pPr>
          </w:p>
        </w:tc>
        <w:tc>
          <w:tcPr>
            <w:tcW w:w="6320" w:type="dxa"/>
            <w:vAlign w:val="bottom"/>
          </w:tcPr>
          <w:p>
            <w:pPr>
              <w:jc w:val="right"/>
              <w:ind w:right="4094"/>
              <w:spacing w:after="0"/>
              <w:rPr>
                <w:sz w:val="20"/>
                <w:szCs w:val="20"/>
                <w:color w:val="auto"/>
              </w:rPr>
            </w:pPr>
            <w:r>
              <w:rPr>
                <w:rFonts w:ascii="Arial" w:cs="Arial" w:eastAsia="Arial" w:hAnsi="Arial"/>
                <w:sz w:val="13"/>
                <w:szCs w:val="13"/>
                <w:color w:val="auto"/>
              </w:rPr>
              <w:t>5</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3600" w:type="dxa"/>
            <w:vAlign w:val="bottom"/>
            <w:tcBorders>
              <w:bottom w:val="single" w:sz="8" w:color="808080"/>
            </w:tcBorders>
          </w:tcPr>
          <w:p>
            <w:pPr>
              <w:spacing w:after="0"/>
              <w:rPr>
                <w:sz w:val="14"/>
                <w:szCs w:val="14"/>
                <w:color w:val="auto"/>
              </w:rPr>
            </w:pPr>
          </w:p>
        </w:tc>
        <w:tc>
          <w:tcPr>
            <w:tcW w:w="63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6" w:name="page47"/>
    <w:bookmarkEnd w:id="46"/>
    <w:p>
      <w:pPr>
        <w:ind w:left="160"/>
        <w:spacing w:after="0"/>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Rules of Construction</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Unless the context otherwise requires:</w:t>
      </w:r>
    </w:p>
    <w:p>
      <w:pPr>
        <w:spacing w:after="0" w:line="86" w:lineRule="exact"/>
        <w:rPr>
          <w:sz w:val="20"/>
          <w:szCs w:val="20"/>
          <w:color w:val="auto"/>
        </w:rPr>
      </w:pPr>
    </w:p>
    <w:p>
      <w:pPr>
        <w:ind w:left="560" w:hanging="168"/>
        <w:spacing w:after="0"/>
        <w:tabs>
          <w:tab w:leader="none" w:pos="5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 term has the meaning assigned to it;</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 accounting term not otherwise defined has the meaning assigned to it in accordance with GAAP;</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or</w:t>
      </w:r>
      <w:r>
        <w:rPr>
          <w:rFonts w:ascii="Arial" w:cs="Arial" w:eastAsia="Arial" w:hAnsi="Arial"/>
          <w:sz w:val="13"/>
          <w:szCs w:val="13"/>
          <w:color w:val="auto"/>
        </w:rPr>
        <w:t>” is not exclusive and “</w:t>
      </w:r>
      <w:r>
        <w:rPr>
          <w:rFonts w:ascii="Arial" w:cs="Arial" w:eastAsia="Arial" w:hAnsi="Arial"/>
          <w:sz w:val="13"/>
          <w:szCs w:val="13"/>
          <w:i w:val="1"/>
          <w:iCs w:val="1"/>
          <w:color w:val="auto"/>
        </w:rPr>
        <w:t>including</w:t>
      </w:r>
      <w:r>
        <w:rPr>
          <w:rFonts w:ascii="Arial" w:cs="Arial" w:eastAsia="Arial" w:hAnsi="Arial"/>
          <w:sz w:val="13"/>
          <w:szCs w:val="13"/>
          <w:color w:val="auto"/>
        </w:rPr>
        <w:t>” means including without limitation;</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words in the singular include the plural, and in the plural include the singular; and</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provisions apply to successive events and transactions.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SECURITIES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2.1. </w:t>
      </w:r>
      <w:r>
        <w:rPr>
          <w:rFonts w:ascii="Arial" w:cs="Arial" w:eastAsia="Arial" w:hAnsi="Arial"/>
          <w:sz w:val="13"/>
          <w:szCs w:val="13"/>
          <w:u w:val="single" w:color="auto"/>
          <w:color w:val="auto"/>
        </w:rPr>
        <w:t>Issuable in Series</w:t>
      </w:r>
      <w:r>
        <w:rPr>
          <w:rFonts w:ascii="Arial" w:cs="Arial" w:eastAsia="Arial" w:hAnsi="Arial"/>
          <w:sz w:val="13"/>
          <w:szCs w:val="13"/>
          <w:color w:val="auto"/>
        </w:rPr>
        <w:t>.</w:t>
      </w:r>
    </w:p>
    <w:p>
      <w:pPr>
        <w:spacing w:after="0" w:line="86" w:lineRule="exact"/>
        <w:rPr>
          <w:sz w:val="20"/>
          <w:szCs w:val="20"/>
          <w:color w:val="auto"/>
        </w:rPr>
      </w:pPr>
    </w:p>
    <w:p>
      <w:pPr>
        <w:ind w:right="340" w:firstLine="325"/>
        <w:spacing w:after="0" w:line="276" w:lineRule="auto"/>
        <w:rPr>
          <w:sz w:val="20"/>
          <w:szCs w:val="20"/>
          <w:color w:val="auto"/>
        </w:rPr>
      </w:pPr>
      <w:r>
        <w:rPr>
          <w:rFonts w:ascii="Arial" w:cs="Arial" w:eastAsia="Arial" w:hAnsi="Arial"/>
          <w:sz w:val="13"/>
          <w:szCs w:val="13"/>
          <w:color w:val="auto"/>
        </w:rPr>
        <w:t>The aggregate principal amount of Securities that may be authenticated and delivered under this Indenture is unlimited. The Securities may be issued in one or more Series. All Securities of a Series shall be identical except as may be set forth in, or pursuant to a Board Resolution, Officer’s Certificate or supplemental indenture establishing the terms of such Series of Securities.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2.2. </w:t>
      </w:r>
      <w:r>
        <w:rPr>
          <w:rFonts w:ascii="Arial" w:cs="Arial" w:eastAsia="Arial" w:hAnsi="Arial"/>
          <w:sz w:val="13"/>
          <w:szCs w:val="13"/>
          <w:u w:val="single" w:color="auto"/>
          <w:color w:val="auto"/>
        </w:rPr>
        <w:t>Establishment of Terms of Series of Securities</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1"/>
          <w:szCs w:val="11"/>
          <w:color w:val="auto"/>
        </w:rPr>
        <w:t>At or prior to the issuance of any Securities within a Series, the following shall be established (as to the Series generally, in the case of Subsection 2.2.1 and either as to such Securities within the Series or as to the</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Series generally in the case of Subsections 2.2.2 through 2.2.28) by or pursuant to a Board Resolution, Officer’s Certificate or supplemental indenture:</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2.2.1. the title of the Series of Securities (which shall distinguish the Securities of that particular Series from the Securities of any other Series);</w:t>
      </w:r>
    </w:p>
    <w:p>
      <w:pPr>
        <w:spacing w:after="0" w:line="86" w:lineRule="exact"/>
        <w:rPr>
          <w:sz w:val="20"/>
          <w:szCs w:val="20"/>
          <w:color w:val="auto"/>
        </w:rPr>
      </w:pPr>
    </w:p>
    <w:p>
      <w:pPr>
        <w:ind w:right="540" w:firstLine="328"/>
        <w:spacing w:after="0" w:line="276" w:lineRule="auto"/>
        <w:rPr>
          <w:sz w:val="20"/>
          <w:szCs w:val="20"/>
          <w:color w:val="auto"/>
        </w:rPr>
      </w:pPr>
      <w:r>
        <w:rPr>
          <w:rFonts w:ascii="Arial" w:cs="Arial" w:eastAsia="Arial" w:hAnsi="Arial"/>
          <w:sz w:val="13"/>
          <w:szCs w:val="13"/>
          <w:color w:val="auto"/>
        </w:rPr>
        <w:t>2.2.2.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2.2.3. the date or dates on which the principal and premium, if any, of the Securities of the Series is payable;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2.2.4. the rate or rates, which may be fixed or variable, at which the Securities of the Series shall bear interest or the manner of calculation of such rate or rates, if</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47" w:name="page48"/>
    <w:bookmarkEnd w:id="47"/>
    <w:p>
      <w:pPr>
        <w:spacing w:after="0"/>
        <w:rPr>
          <w:sz w:val="20"/>
          <w:szCs w:val="20"/>
          <w:color w:val="auto"/>
        </w:rPr>
      </w:pPr>
      <w:r>
        <w:rPr>
          <w:rFonts w:ascii="Arial" w:cs="Arial" w:eastAsia="Arial" w:hAnsi="Arial"/>
          <w:sz w:val="13"/>
          <w:szCs w:val="13"/>
          <w:color w:val="auto"/>
        </w:rPr>
        <w:t>any, including any procedures to vary or reset such rate or rates, and the basis upon which interest will be calculated if other than that of a 360-day year or twelve 30-day months;</w:t>
      </w:r>
    </w:p>
    <w:p>
      <w:pPr>
        <w:spacing w:after="0" w:line="86"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2.2.5. the date or dates from which interest shall accrue, the dates on which such interest will be payable or the manner of determination of such dates, and the record date for the determination of holders to whom interest is payable on any such dates;</w:t>
      </w:r>
    </w:p>
    <w:p>
      <w:pPr>
        <w:spacing w:after="0" w:line="49" w:lineRule="exact"/>
        <w:rPr>
          <w:sz w:val="20"/>
          <w:szCs w:val="20"/>
          <w:color w:val="auto"/>
        </w:rPr>
      </w:pPr>
    </w:p>
    <w:p>
      <w:pPr>
        <w:jc w:val="both"/>
        <w:ind w:right="60" w:firstLine="328"/>
        <w:spacing w:after="0" w:line="264" w:lineRule="auto"/>
        <w:rPr>
          <w:sz w:val="20"/>
          <w:szCs w:val="20"/>
          <w:color w:val="auto"/>
        </w:rPr>
      </w:pPr>
      <w:r>
        <w:rPr>
          <w:rFonts w:ascii="Arial" w:cs="Arial" w:eastAsia="Arial" w:hAnsi="Arial"/>
          <w:sz w:val="13"/>
          <w:szCs w:val="13"/>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with respect to the Securities of such Series and this Indenture may be served, and the method of such payment, if by wire transfer, mail or other means if other than as set forth in this Indenture;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2.2.7. the right, if any, to extend the interest payment periods or defer the payment of interest and the duration of such extension or deferral;</w:t>
      </w:r>
    </w:p>
    <w:p>
      <w:pPr>
        <w:spacing w:after="0" w:line="86" w:lineRule="exact"/>
        <w:rPr>
          <w:sz w:val="20"/>
          <w:szCs w:val="20"/>
          <w:color w:val="auto"/>
        </w:rPr>
      </w:pPr>
    </w:p>
    <w:p>
      <w:pPr>
        <w:jc w:val="both"/>
        <w:ind w:right="100" w:firstLine="328"/>
        <w:spacing w:after="0" w:line="276" w:lineRule="auto"/>
        <w:rPr>
          <w:sz w:val="20"/>
          <w:szCs w:val="20"/>
          <w:color w:val="auto"/>
        </w:rPr>
      </w:pPr>
      <w:r>
        <w:rPr>
          <w:rFonts w:ascii="Arial" w:cs="Arial" w:eastAsia="Arial" w:hAnsi="Arial"/>
          <w:sz w:val="13"/>
          <w:szCs w:val="13"/>
          <w:color w:val="auto"/>
        </w:rPr>
        <w:t>2.2.8. if applicable, the period or periods within which, the price or prices at which and the terms and conditions upon which the Securities of the Series may be redeemed, in whole or in part, at the option of the Company if other than as set forth in this Indenture;</w:t>
      </w:r>
    </w:p>
    <w:p>
      <w:pPr>
        <w:spacing w:after="0" w:line="49" w:lineRule="exact"/>
        <w:rPr>
          <w:sz w:val="20"/>
          <w:szCs w:val="20"/>
          <w:color w:val="auto"/>
        </w:rPr>
      </w:pPr>
    </w:p>
    <w:p>
      <w:pPr>
        <w:jc w:val="both"/>
        <w:ind w:right="80" w:firstLine="328"/>
        <w:spacing w:after="0" w:line="264" w:lineRule="auto"/>
        <w:rPr>
          <w:sz w:val="20"/>
          <w:szCs w:val="20"/>
          <w:color w:val="auto"/>
        </w:rPr>
      </w:pPr>
      <w:r>
        <w:rPr>
          <w:rFonts w:ascii="Arial" w:cs="Arial" w:eastAsia="Arial" w:hAnsi="Arial"/>
          <w:sz w:val="13"/>
          <w:szCs w:val="13"/>
          <w:color w:val="auto"/>
        </w:rPr>
        <w:t>2.2.9. the obligation, if any, of the Company to redeem or purchase, if other than as set forth herein, the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Securities of the Series shall be redeemed, purchased or repaid, in whole or in part, pursuant to such obligation;</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2.2.10. the terms of any repurchase or remarketing rights;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2.2.11. if other than denominations of $2,000 or integral multiples of $1,000 in excess thereof, the denominations in which the Securities of the Series shall be issuable;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2.2.12. the forms of the Securities of the Series including the form of the Trustee’s certificate of authentication for such Series;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2.2.13. any trustees, authenticating agents or paying agents with respect to the Securities of the Series, if different from those set forth in this Indenture;</w:t>
      </w:r>
    </w:p>
    <w:p>
      <w:pPr>
        <w:spacing w:after="0" w:line="86" w:lineRule="exact"/>
        <w:rPr>
          <w:sz w:val="20"/>
          <w:szCs w:val="20"/>
          <w:color w:val="auto"/>
        </w:rPr>
      </w:pPr>
    </w:p>
    <w:p>
      <w:pPr>
        <w:ind w:right="100" w:firstLine="328"/>
        <w:spacing w:after="0" w:line="296" w:lineRule="auto"/>
        <w:rPr>
          <w:sz w:val="20"/>
          <w:szCs w:val="20"/>
          <w:color w:val="auto"/>
        </w:rPr>
      </w:pPr>
      <w:r>
        <w:rPr>
          <w:rFonts w:ascii="Arial" w:cs="Arial" w:eastAsia="Arial" w:hAnsi="Arial"/>
          <w:sz w:val="12"/>
          <w:szCs w:val="12"/>
          <w:color w:val="auto"/>
        </w:rPr>
        <w:t>2.2.14. if the Securities of the Series shall be issued in whole or in part in the form of a Global Security or Securities, the type of Global Security to be issued; the terms and conditions, if different from those contained in this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 referred to in Section 2.14.2;</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2.2.15. any provisions granting special rights to Holders when a specified event occurs;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48" w:name="page49"/>
    <w:bookmarkEnd w:id="48"/>
    <w:p>
      <w:pPr>
        <w:ind w:right="360" w:firstLine="328"/>
        <w:spacing w:after="0" w:line="276" w:lineRule="auto"/>
        <w:rPr>
          <w:sz w:val="20"/>
          <w:szCs w:val="20"/>
          <w:color w:val="auto"/>
        </w:rPr>
      </w:pPr>
      <w:r>
        <w:rPr>
          <w:rFonts w:ascii="Arial" w:cs="Arial" w:eastAsia="Arial" w:hAnsi="Arial"/>
          <w:sz w:val="13"/>
          <w:szCs w:val="13"/>
          <w:color w:val="auto"/>
        </w:rPr>
        <w:t>2.2.16. if the amount of principal of or any premium or interest on Securities of any Series may be determined with reference to an index or pursuant to a formula, the manner in which such amounts will be determined;</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2.2.17. any special tax implications of the Securities, including provisions for original issue discount securities, if offered;</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2.2.18. whether and upon what terms Securities of the Series may be defeased if different from the provisions set forth in this Indenture;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2.2.19. with regard to the Securities of any Series that do not bear interest, the dates for certain required reports to the Trustee;</w:t>
      </w:r>
    </w:p>
    <w:p>
      <w:pPr>
        <w:spacing w:after="0" w:line="86"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2.2.20. whether the Securities of any Series will be issued as Unrestricted Securities or Restricted Securities, and, if issued as Restricted Securities, the rule or regulation promulgated under the Securities Act in reliance on which they will be sold;</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2.2.21. any guarantees on the Securities of the Series;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2.2.22. the currency or currencies in which payment of the principal of, premium, if any, and interest on, the Securities of the Series shall be payable;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2.2.23. if the principal amount payable at the Stated Maturity of Securities of the Series will not be determinable as of any one or more dates prior to such Stated Maturity, the amount which will be deemed to be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such principal amount as of any such date for any purpose, including the portion of the principal amount thereof that will be due and payable upon declaration of acceleration of the maturity thereof pursuant to</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Section 6.2 or upon any maturity other than the Stated Maturity or that will be deemed to be outstanding as of any such date, or, in any such case, the manner in which such deemed principal amount is to be determined;</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2.2.24. the provisions, if any, relating to any security provided for the Securities of the Series;</w:t>
      </w:r>
    </w:p>
    <w:p>
      <w:pPr>
        <w:spacing w:after="0" w:line="86" w:lineRule="exact"/>
        <w:rPr>
          <w:sz w:val="20"/>
          <w:szCs w:val="20"/>
          <w:color w:val="auto"/>
        </w:rPr>
      </w:pPr>
    </w:p>
    <w:p>
      <w:pPr>
        <w:jc w:val="both"/>
        <w:ind w:firstLine="328"/>
        <w:spacing w:after="0" w:line="264" w:lineRule="auto"/>
        <w:rPr>
          <w:sz w:val="20"/>
          <w:szCs w:val="20"/>
          <w:color w:val="auto"/>
        </w:rPr>
      </w:pPr>
      <w:r>
        <w:rPr>
          <w:rFonts w:ascii="Arial" w:cs="Arial" w:eastAsia="Arial" w:hAnsi="Arial"/>
          <w:sz w:val="13"/>
          <w:szCs w:val="13"/>
          <w:color w:val="auto"/>
        </w:rPr>
        <w:t>2.2.25. any additional restrictive covenants or Events of Default that will apply to the Securities of the Series, or any changes to the restrictive covenants set forth in Article IV or the Events of Default set forth in Section 6.01 that will apply to the Securities of the Series, which may consist of establishing different terms or provisions from those set forth in Article IV or Section 6.01 or eliminating any such restrictive covenant or Event of Default with respect to the Securities of the Series;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2.2.26. any Depositaries, interest rate calculation agents, exchange rate calculation agents or other agents with respect to Securities of such Series if other than those appointed herein;</w:t>
      </w:r>
    </w:p>
    <w:p>
      <w:pPr>
        <w:spacing w:after="0" w:line="86"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2.2.27. whether the Securities of the Series will be convertible into or exchangeable for other Securities, common shares or other securities of any kind of the Company or another obligor, and, if so, the terms and conditions upon which such Securities will be so convertible or exchangeable, including the initial conversion or exchange price or rate or</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49" w:name="page50"/>
    <w:bookmarkEnd w:id="49"/>
    <w:p>
      <w:pPr>
        <w:ind w:right="40"/>
        <w:spacing w:after="0" w:line="276" w:lineRule="auto"/>
        <w:rPr>
          <w:sz w:val="20"/>
          <w:szCs w:val="20"/>
          <w:color w:val="auto"/>
        </w:rPr>
      </w:pPr>
      <w:r>
        <w:rPr>
          <w:rFonts w:ascii="Arial" w:cs="Arial" w:eastAsia="Arial" w:hAnsi="Arial"/>
          <w:sz w:val="13"/>
          <w:szCs w:val="13"/>
          <w:color w:val="auto"/>
        </w:rPr>
        <w:t>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 and</w:t>
      </w:r>
    </w:p>
    <w:p>
      <w:pPr>
        <w:spacing w:after="0" w:line="49" w:lineRule="exact"/>
        <w:rPr>
          <w:sz w:val="20"/>
          <w:szCs w:val="20"/>
          <w:color w:val="auto"/>
        </w:rPr>
      </w:pPr>
    </w:p>
    <w:p>
      <w:pPr>
        <w:ind w:right="460" w:firstLine="328"/>
        <w:spacing w:after="0" w:line="276" w:lineRule="auto"/>
        <w:rPr>
          <w:sz w:val="20"/>
          <w:szCs w:val="20"/>
          <w:color w:val="auto"/>
        </w:rPr>
      </w:pPr>
      <w:r>
        <w:rPr>
          <w:rFonts w:ascii="Arial" w:cs="Arial" w:eastAsia="Arial" w:hAnsi="Arial"/>
          <w:sz w:val="13"/>
          <w:szCs w:val="13"/>
          <w:color w:val="auto"/>
        </w:rPr>
        <w:t>2.2.28. any and all additional, eliminated or changed terms that shall apply to the Securities of the Series, including any terms that may be required by or advisable under United States laws or regulations, including the Securities Act and the rules and regulations promulgated thereunder, or advisable in connection with the marketing of Securities of that Series.</w:t>
      </w:r>
    </w:p>
    <w:p>
      <w:pPr>
        <w:spacing w:after="0" w:line="49" w:lineRule="exact"/>
        <w:rPr>
          <w:sz w:val="20"/>
          <w:szCs w:val="20"/>
          <w:color w:val="auto"/>
        </w:rPr>
      </w:pPr>
    </w:p>
    <w:p>
      <w:pPr>
        <w:ind w:right="460" w:firstLine="320"/>
        <w:spacing w:after="0" w:line="276" w:lineRule="auto"/>
        <w:rPr>
          <w:sz w:val="20"/>
          <w:szCs w:val="20"/>
          <w:color w:val="auto"/>
        </w:rPr>
      </w:pPr>
      <w:r>
        <w:rPr>
          <w:rFonts w:ascii="Arial" w:cs="Arial" w:eastAsia="Arial" w:hAnsi="Arial"/>
          <w:sz w:val="13"/>
          <w:szCs w:val="13"/>
          <w:color w:val="auto"/>
        </w:rPr>
        <w:t>All Securities of any one Series need not be issued at the same time and may be issued from time to time, consistent with the terms of this Indenture, if so provided by or pursuant to the Board Resolution, Officer’s Certificate or supplemental indenture referred to above.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2.3. </w:t>
      </w:r>
      <w:r>
        <w:rPr>
          <w:rFonts w:ascii="Arial" w:cs="Arial" w:eastAsia="Arial" w:hAnsi="Arial"/>
          <w:sz w:val="13"/>
          <w:szCs w:val="13"/>
          <w:u w:val="single" w:color="auto"/>
          <w:color w:val="auto"/>
        </w:rPr>
        <w:t>Execution and Authentication</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An Officer of the Company shall sign the Securities for the Company by manual or facsimile signature.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If an Officer whose signature is on a Security no longer holds that office at the time the Security is authenticated, the Security shall nevertheless be valid.</w:t>
      </w:r>
    </w:p>
    <w:p>
      <w:pPr>
        <w:spacing w:after="0" w:line="86" w:lineRule="exact"/>
        <w:rPr>
          <w:sz w:val="20"/>
          <w:szCs w:val="20"/>
          <w:color w:val="auto"/>
        </w:rPr>
      </w:pPr>
    </w:p>
    <w:p>
      <w:pPr>
        <w:ind w:right="220" w:firstLine="320"/>
        <w:spacing w:after="0" w:line="276" w:lineRule="auto"/>
        <w:rPr>
          <w:sz w:val="20"/>
          <w:szCs w:val="20"/>
          <w:color w:val="auto"/>
        </w:rPr>
      </w:pPr>
      <w:r>
        <w:rPr>
          <w:rFonts w:ascii="Arial" w:cs="Arial" w:eastAsia="Arial" w:hAnsi="Arial"/>
          <w:sz w:val="13"/>
          <w:szCs w:val="13"/>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49" w:lineRule="exact"/>
        <w:rPr>
          <w:sz w:val="20"/>
          <w:szCs w:val="20"/>
          <w:color w:val="auto"/>
        </w:rPr>
      </w:pPr>
    </w:p>
    <w:p>
      <w:pPr>
        <w:ind w:right="340" w:firstLine="325"/>
        <w:spacing w:after="0" w:line="371" w:lineRule="auto"/>
        <w:rPr>
          <w:sz w:val="20"/>
          <w:szCs w:val="20"/>
          <w:color w:val="auto"/>
        </w:rPr>
      </w:pPr>
      <w:r>
        <w:rPr>
          <w:rFonts w:ascii="Arial" w:cs="Arial" w:eastAsia="Arial" w:hAnsi="Arial"/>
          <w:sz w:val="11"/>
          <w:szCs w:val="11"/>
          <w:color w:val="auto"/>
        </w:rPr>
        <w:t>The Trustee shall at any time, and from time to time, authenticate Securities for original issue in the principal amount provided in the Board Resolution, Officer’s Certificate or supplemental indenture, upon receipt by the Trustee of a Company Order. Each Security shall be dated the date of its authentication unless otherwise provided by the relevant Board Resolution, Officer’s Certificate or supplemental indenture.</w:t>
      </w:r>
    </w:p>
    <w:p>
      <w:pPr>
        <w:spacing w:after="0" w:line="2"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Notwithstanding the provisions of Section 2.2 and the preceding paragraph, in the case of Securities offered in a Periodic Offering, the Trustee shall authenticate and deliver such Securities from time to time in accordance with a Company Order or such other procedures acceptable to the Trustee as may be specified by or pursuant to a supplemental indenture or the written order of the Company delivered to the Trustee prior to the time of the first authentication of Securities of such Series.</w:t>
      </w:r>
    </w:p>
    <w:p>
      <w:pPr>
        <w:spacing w:after="0" w:line="57" w:lineRule="exact"/>
        <w:rPr>
          <w:sz w:val="20"/>
          <w:szCs w:val="20"/>
          <w:color w:val="auto"/>
        </w:rPr>
      </w:pPr>
    </w:p>
    <w:p>
      <w:pPr>
        <w:ind w:right="360" w:firstLine="325"/>
        <w:spacing w:after="0" w:line="276" w:lineRule="auto"/>
        <w:rPr>
          <w:sz w:val="20"/>
          <w:szCs w:val="20"/>
          <w:color w:val="auto"/>
        </w:rPr>
      </w:pPr>
      <w:r>
        <w:rPr>
          <w:rFonts w:ascii="Arial" w:cs="Arial" w:eastAsia="Arial" w:hAnsi="Arial"/>
          <w:sz w:val="13"/>
          <w:szCs w:val="13"/>
          <w:color w:val="auto"/>
        </w:rPr>
        <w:t>The aggregate principal amount of Securities of any Series outstanding at any time may not exceed any limit upon the maximum principal amount for such Series set forth in the Board Resolution, Officer’s Certificate or supplemental indenture delivered pursuant to Section 2.2.</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Prior to the issuance of Securities of any Series, the Trustee shall have received and (subject to Section 7.2) shall be fully protected in relying on: (a) the Board Resolution,</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0" w:name="page51"/>
    <w:bookmarkEnd w:id="50"/>
    <w:p>
      <w:pPr>
        <w:ind w:left="1"/>
        <w:spacing w:after="0"/>
        <w:rPr>
          <w:sz w:val="20"/>
          <w:szCs w:val="20"/>
          <w:color w:val="auto"/>
        </w:rPr>
      </w:pPr>
      <w:r>
        <w:rPr>
          <w:rFonts w:ascii="Arial" w:cs="Arial" w:eastAsia="Arial" w:hAnsi="Arial"/>
          <w:sz w:val="12"/>
          <w:szCs w:val="12"/>
          <w:color w:val="auto"/>
        </w:rPr>
        <w:t>Officer’s Certificate or supplemental indenture establishing the form of the Securities of that Series or of Securities within that Series and the terms of the Securities of that Series or of Securities within that Series,</w:t>
      </w:r>
    </w:p>
    <w:p>
      <w:pPr>
        <w:spacing w:after="0" w:line="27" w:lineRule="exact"/>
        <w:rPr>
          <w:sz w:val="20"/>
          <w:szCs w:val="20"/>
          <w:color w:val="auto"/>
        </w:rPr>
      </w:pPr>
    </w:p>
    <w:p>
      <w:pPr>
        <w:ind w:left="1" w:right="80" w:hanging="1"/>
        <w:spacing w:after="0" w:line="284" w:lineRule="auto"/>
        <w:tabs>
          <w:tab w:leader="none" w:pos="187" w:val="left"/>
        </w:tabs>
        <w:numPr>
          <w:ilvl w:val="0"/>
          <w:numId w:val="35"/>
        </w:numPr>
        <w:rPr>
          <w:rFonts w:ascii="Arial" w:cs="Arial" w:eastAsia="Arial" w:hAnsi="Arial"/>
          <w:sz w:val="12"/>
          <w:szCs w:val="12"/>
          <w:color w:val="auto"/>
        </w:rPr>
      </w:pPr>
      <w:r>
        <w:rPr>
          <w:rFonts w:ascii="Arial" w:cs="Arial" w:eastAsia="Arial" w:hAnsi="Arial"/>
          <w:sz w:val="12"/>
          <w:szCs w:val="12"/>
          <w:color w:val="auto"/>
        </w:rPr>
        <w:t>an Officer’s Certificate complying with Section 10.4, and (c) an Opinion of Counsel complying with Section 10.4. With respect to Securities of a Series subject to a Periodic Offering, the Trustee conclusively may rely, as to the authorization by the Company of any of such Securities, the forms and terms thereof and the legality, validity, binding effect and enforceability thereof, upon the written order of the Company, Opinion of Counsel, Officer’s Certificate and other documents delivered pursuant to this Section 2.3 at or prior to the time of the first authentication of Securities of such Series unless and until such written order, Opinion of Counsel, Officer’s Certificate or other documents have been superseded or revoked, and written notice thereof is provided to Trustee, or expire by their terms.</w:t>
      </w:r>
    </w:p>
    <w:p>
      <w:pPr>
        <w:spacing w:after="0" w:line="47" w:lineRule="exact"/>
        <w:rPr>
          <w:sz w:val="20"/>
          <w:szCs w:val="20"/>
          <w:color w:val="auto"/>
        </w:rPr>
      </w:pPr>
    </w:p>
    <w:p>
      <w:pPr>
        <w:ind w:left="1" w:right="60" w:firstLine="325"/>
        <w:spacing w:after="0" w:line="320" w:lineRule="auto"/>
        <w:rPr>
          <w:sz w:val="20"/>
          <w:szCs w:val="20"/>
          <w:color w:val="auto"/>
        </w:rPr>
      </w:pPr>
      <w:r>
        <w:rPr>
          <w:rFonts w:ascii="Arial" w:cs="Arial" w:eastAsia="Arial" w:hAnsi="Arial"/>
          <w:sz w:val="12"/>
          <w:szCs w:val="12"/>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committee of Responsible Officers shall determine that such action would expose the Trustee to personal liability.</w:t>
      </w:r>
    </w:p>
    <w:p>
      <w:pPr>
        <w:spacing w:after="0" w:line="25" w:lineRule="exact"/>
        <w:rPr>
          <w:sz w:val="20"/>
          <w:szCs w:val="20"/>
          <w:color w:val="auto"/>
        </w:rPr>
      </w:pPr>
    </w:p>
    <w:p>
      <w:pPr>
        <w:ind w:left="1" w:right="40" w:firstLine="325"/>
        <w:spacing w:after="0" w:line="276" w:lineRule="auto"/>
        <w:rPr>
          <w:sz w:val="20"/>
          <w:szCs w:val="20"/>
          <w:color w:val="auto"/>
        </w:rPr>
      </w:pPr>
      <w:r>
        <w:rPr>
          <w:rFonts w:ascii="Arial" w:cs="Arial" w:eastAsia="Arial" w:hAnsi="Arial"/>
          <w:sz w:val="13"/>
          <w:szCs w:val="13"/>
          <w:color w:val="auto"/>
        </w:rPr>
        <w:t>The Trustee may appoint an authenticating agent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 xml:space="preserve">Section 2.4. </w:t>
      </w:r>
      <w:r>
        <w:rPr>
          <w:rFonts w:ascii="Arial" w:cs="Arial" w:eastAsia="Arial" w:hAnsi="Arial"/>
          <w:sz w:val="13"/>
          <w:szCs w:val="13"/>
          <w:u w:val="single" w:color="auto"/>
          <w:color w:val="auto"/>
        </w:rPr>
        <w:t>Registrar, Paying Agent and Transfer Agent</w:t>
      </w:r>
      <w:r>
        <w:rPr>
          <w:rFonts w:ascii="Arial" w:cs="Arial" w:eastAsia="Arial" w:hAnsi="Arial"/>
          <w:sz w:val="13"/>
          <w:szCs w:val="13"/>
          <w:color w:val="auto"/>
        </w:rPr>
        <w:t>.</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2"/>
          <w:szCs w:val="12"/>
          <w:color w:val="auto"/>
        </w:rPr>
        <w:t>The Company will maintain one or more paying agents (each, a “</w:t>
      </w:r>
      <w:r>
        <w:rPr>
          <w:rFonts w:ascii="Arial" w:cs="Arial" w:eastAsia="Arial" w:hAnsi="Arial"/>
          <w:sz w:val="12"/>
          <w:szCs w:val="12"/>
          <w:i w:val="1"/>
          <w:iCs w:val="1"/>
          <w:color w:val="auto"/>
        </w:rPr>
        <w:t>Paying Agent</w:t>
      </w:r>
      <w:r>
        <w:rPr>
          <w:rFonts w:ascii="Arial" w:cs="Arial" w:eastAsia="Arial" w:hAnsi="Arial"/>
          <w:sz w:val="12"/>
          <w:szCs w:val="12"/>
          <w:color w:val="auto"/>
        </w:rPr>
        <w:t>”) for the Securities in the Borough of Manhattan, City of New York. The initial Paying Agents will be [__________] and thereafter</w:t>
      </w:r>
    </w:p>
    <w:p>
      <w:pPr>
        <w:spacing w:after="0" w:line="27" w:lineRule="exact"/>
        <w:rPr>
          <w:sz w:val="20"/>
          <w:szCs w:val="20"/>
          <w:color w:val="auto"/>
        </w:rPr>
      </w:pPr>
    </w:p>
    <w:p>
      <w:pPr>
        <w:ind w:left="1"/>
        <w:spacing w:after="0" w:line="25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Paying Agent</w:t>
      </w:r>
      <w:r>
        <w:rPr>
          <w:rFonts w:ascii="Arial" w:cs="Arial" w:eastAsia="Arial" w:hAnsi="Arial"/>
          <w:sz w:val="13"/>
          <w:szCs w:val="13"/>
          <w:color w:val="auto"/>
        </w:rPr>
        <w:t>” shall mean or include each Person who is then a Paying Agent hereunder, and if at any time there is more than one such Person, “</w:t>
      </w:r>
      <w:r>
        <w:rPr>
          <w:rFonts w:ascii="Arial" w:cs="Arial" w:eastAsia="Arial" w:hAnsi="Arial"/>
          <w:sz w:val="13"/>
          <w:szCs w:val="13"/>
          <w:i w:val="1"/>
          <w:iCs w:val="1"/>
          <w:color w:val="auto"/>
        </w:rPr>
        <w:t>Paying Agent</w:t>
      </w:r>
      <w:r>
        <w:rPr>
          <w:rFonts w:ascii="Arial" w:cs="Arial" w:eastAsia="Arial" w:hAnsi="Arial"/>
          <w:sz w:val="13"/>
          <w:szCs w:val="13"/>
          <w:color w:val="auto"/>
        </w:rPr>
        <w:t>” as used with respect to the Securities of any Series shall mean the Paying Agent with respect to Securities of that Series. The Company, upon written notice to the Trustee accompanied by an Officer’s Certificate, may appoint one or more paying agents, other than the Trustee, for all or any series of the Securities. If the Company fails to appoint or maintain another entity as paying agent, the Trustee shall act as such. The Company or any of its Subsidiaries, upon notice to the Trustee, may act as paying agent.</w:t>
      </w:r>
    </w:p>
    <w:p>
      <w:pPr>
        <w:spacing w:after="0" w:line="62" w:lineRule="exact"/>
        <w:rPr>
          <w:sz w:val="20"/>
          <w:szCs w:val="20"/>
          <w:color w:val="auto"/>
        </w:rPr>
      </w:pPr>
    </w:p>
    <w:p>
      <w:pPr>
        <w:ind w:left="321"/>
        <w:spacing w:after="0"/>
        <w:rPr>
          <w:sz w:val="20"/>
          <w:szCs w:val="20"/>
          <w:color w:val="auto"/>
        </w:rPr>
      </w:pPr>
      <w:r>
        <w:rPr>
          <w:rFonts w:ascii="Arial" w:cs="Arial" w:eastAsia="Arial" w:hAnsi="Arial"/>
          <w:sz w:val="12"/>
          <w:szCs w:val="12"/>
          <w:color w:val="auto"/>
        </w:rPr>
        <w:t>The Company will maintain one or more registrars (each, a “</w:t>
      </w:r>
      <w:r>
        <w:rPr>
          <w:rFonts w:ascii="Arial" w:cs="Arial" w:eastAsia="Arial" w:hAnsi="Arial"/>
          <w:sz w:val="12"/>
          <w:szCs w:val="12"/>
          <w:i w:val="1"/>
          <w:iCs w:val="1"/>
          <w:color w:val="auto"/>
        </w:rPr>
        <w:t>Registrar</w:t>
      </w:r>
      <w:r>
        <w:rPr>
          <w:rFonts w:ascii="Arial" w:cs="Arial" w:eastAsia="Arial" w:hAnsi="Arial"/>
          <w:sz w:val="12"/>
          <w:szCs w:val="12"/>
          <w:color w:val="auto"/>
        </w:rPr>
        <w:t>”) for the Securities in the Borough of Manhattan, City of New York. The initial Registrar will be [__________] and thereafter “</w:t>
      </w:r>
      <w:r>
        <w:rPr>
          <w:rFonts w:ascii="Arial" w:cs="Arial" w:eastAsia="Arial" w:hAnsi="Arial"/>
          <w:sz w:val="12"/>
          <w:szCs w:val="12"/>
          <w:i w:val="1"/>
          <w:iCs w:val="1"/>
          <w:color w:val="auto"/>
        </w:rPr>
        <w:t>Registrar</w:t>
      </w:r>
      <w:r>
        <w:rPr>
          <w:rFonts w:ascii="Arial" w:cs="Arial" w:eastAsia="Arial" w:hAnsi="Arial"/>
          <w:sz w:val="12"/>
          <w:szCs w:val="12"/>
          <w:color w:val="auto"/>
        </w:rPr>
        <w:t>”</w:t>
      </w:r>
    </w:p>
    <w:p>
      <w:pPr>
        <w:spacing w:after="0" w:line="27" w:lineRule="exact"/>
        <w:rPr>
          <w:sz w:val="20"/>
          <w:szCs w:val="20"/>
          <w:color w:val="auto"/>
        </w:rPr>
      </w:pPr>
    </w:p>
    <w:p>
      <w:pPr>
        <w:ind w:left="1" w:right="100"/>
        <w:spacing w:after="0" w:line="290" w:lineRule="auto"/>
        <w:rPr>
          <w:sz w:val="20"/>
          <w:szCs w:val="20"/>
          <w:color w:val="auto"/>
        </w:rPr>
      </w:pPr>
      <w:r>
        <w:rPr>
          <w:rFonts w:ascii="Arial" w:cs="Arial" w:eastAsia="Arial" w:hAnsi="Arial"/>
          <w:sz w:val="12"/>
          <w:szCs w:val="12"/>
          <w:color w:val="auto"/>
        </w:rPr>
        <w:t>shall mean or include each Person who is then a Registrar hereunder, and if at any time there is more than one such Person, “</w:t>
      </w:r>
      <w:r>
        <w:rPr>
          <w:rFonts w:ascii="Arial" w:cs="Arial" w:eastAsia="Arial" w:hAnsi="Arial"/>
          <w:sz w:val="12"/>
          <w:szCs w:val="12"/>
          <w:i w:val="1"/>
          <w:iCs w:val="1"/>
          <w:color w:val="auto"/>
        </w:rPr>
        <w:t>Registrar</w:t>
      </w:r>
      <w:r>
        <w:rPr>
          <w:rFonts w:ascii="Arial" w:cs="Arial" w:eastAsia="Arial" w:hAnsi="Arial"/>
          <w:sz w:val="12"/>
          <w:szCs w:val="12"/>
          <w:color w:val="auto"/>
        </w:rPr>
        <w:t>” as used with respect to the Securities of any Series shall mean the Registrar with respect to Securities of that Series. The Company, upon written notice to the Trustee accompanied by an Officer’s Certificate, may appoint one or more registrars, other than the Trustee, for all or any series of the Securities. If the Company fails to appoint or maintain another entity as registrar, the Trustee shall act as such. The Company or any of its Subsidiaries, upon notice to the Trustee, may act as registrar.</w:t>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51" w:name="page52"/>
    <w:bookmarkEnd w:id="51"/>
    <w:p>
      <w:pPr>
        <w:ind w:left="320"/>
        <w:spacing w:after="0"/>
        <w:rPr>
          <w:sz w:val="20"/>
          <w:szCs w:val="20"/>
          <w:color w:val="auto"/>
        </w:rPr>
      </w:pPr>
      <w:r>
        <w:rPr>
          <w:rFonts w:ascii="Arial" w:cs="Arial" w:eastAsia="Arial" w:hAnsi="Arial"/>
          <w:sz w:val="12"/>
          <w:szCs w:val="12"/>
          <w:color w:val="auto"/>
        </w:rPr>
        <w:t>The Company will also maintain a transfer agent (each, a “</w:t>
      </w:r>
      <w:r>
        <w:rPr>
          <w:rFonts w:ascii="Arial" w:cs="Arial" w:eastAsia="Arial" w:hAnsi="Arial"/>
          <w:sz w:val="12"/>
          <w:szCs w:val="12"/>
          <w:i w:val="1"/>
          <w:iCs w:val="1"/>
          <w:color w:val="auto"/>
        </w:rPr>
        <w:t>Transfer Agent</w:t>
      </w:r>
      <w:r>
        <w:rPr>
          <w:rFonts w:ascii="Arial" w:cs="Arial" w:eastAsia="Arial" w:hAnsi="Arial"/>
          <w:sz w:val="12"/>
          <w:szCs w:val="12"/>
          <w:color w:val="auto"/>
        </w:rPr>
        <w:t>”) for the Securities in the Borough of Manhattan, City of New York. The initial Transfer Agent will be [__________] and thereafter</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Transfer Agent</w:t>
      </w:r>
      <w:r>
        <w:rPr>
          <w:rFonts w:ascii="Arial" w:cs="Arial" w:eastAsia="Arial" w:hAnsi="Arial"/>
          <w:sz w:val="13"/>
          <w:szCs w:val="13"/>
          <w:color w:val="auto"/>
        </w:rPr>
        <w:t>” shall mean or include each Person who is then a Transfer Agent hereunder, and if at any time there is more than one such Person, “</w:t>
      </w:r>
      <w:r>
        <w:rPr>
          <w:rFonts w:ascii="Arial" w:cs="Arial" w:eastAsia="Arial" w:hAnsi="Arial"/>
          <w:sz w:val="13"/>
          <w:szCs w:val="13"/>
          <w:i w:val="1"/>
          <w:iCs w:val="1"/>
          <w:color w:val="auto"/>
        </w:rPr>
        <w:t>Transfer Agent</w:t>
      </w:r>
      <w:r>
        <w:rPr>
          <w:rFonts w:ascii="Arial" w:cs="Arial" w:eastAsia="Arial" w:hAnsi="Arial"/>
          <w:sz w:val="13"/>
          <w:szCs w:val="13"/>
          <w:color w:val="auto"/>
        </w:rPr>
        <w:t>” as used with respect to the Securities of any Series shall mean the Transfer Agent with respect to Securities of that Series. The Company, upon written notice to the Trustee accompanied by an Officer’s Certificate, may appoint one or more transfer agents, other than the Trustee, for all or any series of the Securities. If the Company fails to appoint or maintain another entity as transfer agent, the Trustee shall act as such. The Company or any of its Subsidiaries, upon notice to the Trustee, may act as transfer agent.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Company may change any Paying Agent, Registrar or Transfer Agent for its Securities without prior notice to the Holders.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2.5. </w:t>
      </w:r>
      <w:r>
        <w:rPr>
          <w:rFonts w:ascii="Arial" w:cs="Arial" w:eastAsia="Arial" w:hAnsi="Arial"/>
          <w:sz w:val="13"/>
          <w:szCs w:val="13"/>
          <w:u w:val="single" w:color="auto"/>
          <w:color w:val="auto"/>
        </w:rPr>
        <w:t>Paying Agent to Hold Money in Trust</w:t>
      </w:r>
      <w:r>
        <w:rPr>
          <w:rFonts w:ascii="Arial" w:cs="Arial" w:eastAsia="Arial" w:hAnsi="Arial"/>
          <w:sz w:val="13"/>
          <w:szCs w:val="13"/>
          <w:color w:val="auto"/>
        </w:rPr>
        <w:t>.</w:t>
      </w:r>
    </w:p>
    <w:p>
      <w:pPr>
        <w:spacing w:after="0" w:line="86" w:lineRule="exact"/>
        <w:rPr>
          <w:sz w:val="20"/>
          <w:szCs w:val="20"/>
          <w:color w:val="auto"/>
        </w:rPr>
      </w:pPr>
    </w:p>
    <w:p>
      <w:pPr>
        <w:ind w:firstLine="325"/>
        <w:spacing w:after="0" w:line="285" w:lineRule="auto"/>
        <w:rPr>
          <w:sz w:val="20"/>
          <w:szCs w:val="20"/>
          <w:color w:val="auto"/>
        </w:rPr>
      </w:pPr>
      <w:r>
        <w:rPr>
          <w:rFonts w:ascii="Arial" w:cs="Arial" w:eastAsia="Arial" w:hAnsi="Arial"/>
          <w:sz w:val="12"/>
          <w:szCs w:val="12"/>
          <w:color w:val="auto"/>
        </w:rPr>
        <w:t>The Company shall require each Paying Agent appointed by it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2.6. </w:t>
      </w:r>
      <w:r>
        <w:rPr>
          <w:rFonts w:ascii="Arial" w:cs="Arial" w:eastAsia="Arial" w:hAnsi="Arial"/>
          <w:sz w:val="13"/>
          <w:szCs w:val="13"/>
          <w:u w:val="single" w:color="auto"/>
          <w:color w:val="auto"/>
        </w:rPr>
        <w:t>Securityholder Lists</w:t>
      </w:r>
      <w:r>
        <w:rPr>
          <w:rFonts w:ascii="Arial" w:cs="Arial" w:eastAsia="Arial" w:hAnsi="Arial"/>
          <w:sz w:val="13"/>
          <w:szCs w:val="13"/>
          <w:color w:val="auto"/>
        </w:rPr>
        <w:t>.</w:t>
      </w:r>
    </w:p>
    <w:p>
      <w:pPr>
        <w:spacing w:after="0" w:line="86" w:lineRule="exact"/>
        <w:rPr>
          <w:sz w:val="20"/>
          <w:szCs w:val="20"/>
          <w:color w:val="auto"/>
        </w:rPr>
      </w:pPr>
    </w:p>
    <w:p>
      <w:pPr>
        <w:ind w:right="100" w:firstLine="325"/>
        <w:spacing w:after="0" w:line="264" w:lineRule="auto"/>
        <w:rPr>
          <w:sz w:val="20"/>
          <w:szCs w:val="20"/>
          <w:color w:val="auto"/>
        </w:rPr>
      </w:pPr>
      <w:r>
        <w:rPr>
          <w:rFonts w:ascii="Arial" w:cs="Arial" w:eastAsia="Arial" w:hAnsi="Arial"/>
          <w:sz w:val="13"/>
          <w:szCs w:val="13"/>
          <w:color w:val="auto"/>
        </w:rPr>
        <w:t>The Trustee shall preserve in as current a form as is reasonably practicable the most recent list available to it of the names and addresses of Securityholders of each Series of Securities.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2.7. </w:t>
      </w:r>
      <w:r>
        <w:rPr>
          <w:rFonts w:ascii="Arial" w:cs="Arial" w:eastAsia="Arial" w:hAnsi="Arial"/>
          <w:sz w:val="13"/>
          <w:szCs w:val="13"/>
          <w:u w:val="single" w:color="auto"/>
          <w:color w:val="auto"/>
        </w:rPr>
        <w:t>Transfer and Exchange</w:t>
      </w:r>
      <w:r>
        <w:rPr>
          <w:rFonts w:ascii="Arial" w:cs="Arial" w:eastAsia="Arial" w:hAnsi="Arial"/>
          <w:sz w:val="13"/>
          <w:szCs w:val="13"/>
          <w:color w:val="auto"/>
        </w:rPr>
        <w:t>.</w:t>
      </w:r>
    </w:p>
    <w:p>
      <w:pPr>
        <w:spacing w:after="0" w:line="86" w:lineRule="exact"/>
        <w:rPr>
          <w:sz w:val="20"/>
          <w:szCs w:val="20"/>
          <w:color w:val="auto"/>
        </w:rPr>
      </w:pPr>
    </w:p>
    <w:p>
      <w:pPr>
        <w:ind w:right="100" w:firstLine="325"/>
        <w:spacing w:after="0" w:line="260" w:lineRule="auto"/>
        <w:rPr>
          <w:sz w:val="20"/>
          <w:szCs w:val="20"/>
          <w:color w:val="auto"/>
        </w:rPr>
      </w:pPr>
      <w:r>
        <w:rPr>
          <w:rFonts w:ascii="Arial" w:cs="Arial" w:eastAsia="Arial" w:hAnsi="Arial"/>
          <w:sz w:val="13"/>
          <w:szCs w:val="13"/>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the requirements for such transactions set forth in this Indenture are met. To permit registrations of transfers and exchanges, the Trustee shall authenticate Securities at the Registrar’s request upon the Trustee’s receipt of a Company Order from the Company. No service charge shall be made for any registration of transfer or exchange (except as otherwise expressly permitted herein), but the Company may require payment of a sum sufficient to cover any transfer tax or similar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2" w:name="page53"/>
    <w:bookmarkEnd w:id="52"/>
    <w:p>
      <w:pPr>
        <w:spacing w:after="0"/>
        <w:rPr>
          <w:sz w:val="20"/>
          <w:szCs w:val="20"/>
          <w:color w:val="auto"/>
        </w:rPr>
      </w:pPr>
      <w:r>
        <w:rPr>
          <w:rFonts w:ascii="Arial" w:cs="Arial" w:eastAsia="Arial" w:hAnsi="Arial"/>
          <w:sz w:val="13"/>
          <w:szCs w:val="13"/>
          <w:color w:val="auto"/>
        </w:rPr>
        <w:t>governmental charge payable in connection therewith (other than any such transfer tax or similar governmental charge payable upon exchanges pursuant to Sections 2.11, 3.6 or 9.6).</w:t>
      </w:r>
    </w:p>
    <w:p>
      <w:pPr>
        <w:spacing w:after="0" w:line="86" w:lineRule="exact"/>
        <w:rPr>
          <w:sz w:val="20"/>
          <w:szCs w:val="20"/>
          <w:color w:val="auto"/>
        </w:rPr>
      </w:pPr>
    </w:p>
    <w:p>
      <w:pPr>
        <w:ind w:firstLine="328"/>
        <w:spacing w:after="0" w:line="296" w:lineRule="auto"/>
        <w:rPr>
          <w:sz w:val="20"/>
          <w:szCs w:val="20"/>
          <w:color w:val="auto"/>
        </w:rPr>
      </w:pPr>
      <w:r>
        <w:rPr>
          <w:rFonts w:ascii="Arial" w:cs="Arial" w:eastAsia="Arial" w:hAnsi="Arial"/>
          <w:sz w:val="12"/>
          <w:szCs w:val="12"/>
          <w:color w:val="auto"/>
        </w:rPr>
        <w:t>Neither the Company nor the Registrar shall be required (a) to issue, register the transfer of, or exchange Securities of any Series for the period beginning at the opening of business fifteen days immediately preceding the delivery of a notice of redemption of Securities of that Series selected for redemption and ending at the close of business on the day of such delivery, or (b) to register the transfer of or exchange Securities of any Series selected, called or being called for redemption as a whole or the portion being redeemed of any such Securities selected, called or being called for redemption in part.</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2.8. </w:t>
      </w:r>
      <w:r>
        <w:rPr>
          <w:rFonts w:ascii="Arial" w:cs="Arial" w:eastAsia="Arial" w:hAnsi="Arial"/>
          <w:sz w:val="13"/>
          <w:szCs w:val="13"/>
          <w:u w:val="single" w:color="auto"/>
          <w:color w:val="auto"/>
        </w:rPr>
        <w:t>Mutilated, Destroyed, Lost and Stolen Securities</w:t>
      </w:r>
      <w:r>
        <w:rPr>
          <w:rFonts w:ascii="Arial" w:cs="Arial" w:eastAsia="Arial" w:hAnsi="Arial"/>
          <w:sz w:val="13"/>
          <w:szCs w:val="13"/>
          <w:color w:val="auto"/>
        </w:rPr>
        <w:t>.</w:t>
      </w:r>
    </w:p>
    <w:p>
      <w:pPr>
        <w:spacing w:after="0" w:line="86" w:lineRule="exact"/>
        <w:rPr>
          <w:sz w:val="20"/>
          <w:szCs w:val="20"/>
          <w:color w:val="auto"/>
        </w:rPr>
      </w:pPr>
    </w:p>
    <w:p>
      <w:pPr>
        <w:ind w:right="360" w:firstLine="328"/>
        <w:spacing w:after="0" w:line="276" w:lineRule="auto"/>
        <w:rPr>
          <w:sz w:val="20"/>
          <w:szCs w:val="20"/>
          <w:color w:val="auto"/>
        </w:rPr>
      </w:pPr>
      <w:r>
        <w:rPr>
          <w:rFonts w:ascii="Arial" w:cs="Arial" w:eastAsia="Arial" w:hAnsi="Arial"/>
          <w:sz w:val="13"/>
          <w:szCs w:val="13"/>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49" w:lineRule="exact"/>
        <w:rPr>
          <w:sz w:val="20"/>
          <w:szCs w:val="20"/>
          <w:color w:val="auto"/>
        </w:rPr>
      </w:pPr>
    </w:p>
    <w:p>
      <w:pPr>
        <w:ind w:right="40" w:firstLine="328"/>
        <w:spacing w:after="0" w:line="260" w:lineRule="auto"/>
        <w:rPr>
          <w:sz w:val="20"/>
          <w:szCs w:val="20"/>
          <w:color w:val="auto"/>
        </w:rPr>
      </w:pPr>
      <w:r>
        <w:rPr>
          <w:rFonts w:ascii="Arial" w:cs="Arial" w:eastAsia="Arial" w:hAnsi="Arial"/>
          <w:sz w:val="13"/>
          <w:szCs w:val="13"/>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protected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 case any such mutilated, destroyed, lost or stolen Security has become or is about to become due and payable, the Company in its discretion may, instead of issuing a new Security, pay such Security.</w:t>
      </w:r>
    </w:p>
    <w:p>
      <w:pPr>
        <w:spacing w:after="0" w:line="98"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Upon the issuance of any new Security under this Section 2.8, the Company may require the payment of a sum sufficient to cover any tax or other governmental charge that may be imposed in relation thereto and any other expenses (including the fees and expenses of the Trustee) connected therewith.</w:t>
      </w:r>
    </w:p>
    <w:p>
      <w:pPr>
        <w:spacing w:after="0" w:line="49" w:lineRule="exact"/>
        <w:rPr>
          <w:sz w:val="20"/>
          <w:szCs w:val="20"/>
          <w:color w:val="auto"/>
        </w:rPr>
      </w:pPr>
    </w:p>
    <w:p>
      <w:pPr>
        <w:ind w:right="20" w:firstLine="328"/>
        <w:spacing w:after="0" w:line="264" w:lineRule="auto"/>
        <w:rPr>
          <w:sz w:val="20"/>
          <w:szCs w:val="20"/>
          <w:color w:val="auto"/>
        </w:rPr>
      </w:pPr>
      <w:r>
        <w:rPr>
          <w:rFonts w:ascii="Arial" w:cs="Arial" w:eastAsia="Arial" w:hAnsi="Arial"/>
          <w:sz w:val="13"/>
          <w:szCs w:val="13"/>
          <w:color w:val="auto"/>
        </w:rPr>
        <w:t>Every new Security of any Series issued pursuant to this Section 2.8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57"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The provisions of this Section 2.8 are exclusive and shall preclude (to the extent lawful) all other rights and remedies with respect to the replacement or payment of mutilated, destroyed, lost or stolen Securities.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53" w:name="page54"/>
    <w:bookmarkEnd w:id="53"/>
    <w:p>
      <w:pPr>
        <w:ind w:left="160"/>
        <w:spacing w:after="0"/>
        <w:rPr>
          <w:sz w:val="20"/>
          <w:szCs w:val="20"/>
          <w:color w:val="auto"/>
        </w:rPr>
      </w:pPr>
      <w:r>
        <w:rPr>
          <w:rFonts w:ascii="Arial" w:cs="Arial" w:eastAsia="Arial" w:hAnsi="Arial"/>
          <w:sz w:val="13"/>
          <w:szCs w:val="13"/>
          <w:color w:val="auto"/>
        </w:rPr>
        <w:t xml:space="preserve">Section 2.9. </w:t>
      </w:r>
      <w:r>
        <w:rPr>
          <w:rFonts w:ascii="Arial" w:cs="Arial" w:eastAsia="Arial" w:hAnsi="Arial"/>
          <w:sz w:val="13"/>
          <w:szCs w:val="13"/>
          <w:u w:val="single" w:color="auto"/>
          <w:color w:val="auto"/>
        </w:rPr>
        <w:t>Outstanding Securities</w:t>
      </w:r>
      <w:r>
        <w:rPr>
          <w:rFonts w:ascii="Arial" w:cs="Arial" w:eastAsia="Arial" w:hAnsi="Arial"/>
          <w:sz w:val="13"/>
          <w:szCs w:val="13"/>
          <w:color w:val="auto"/>
        </w:rPr>
        <w:t>.</w:t>
      </w:r>
    </w:p>
    <w:p>
      <w:pPr>
        <w:spacing w:after="0" w:line="86" w:lineRule="exact"/>
        <w:rPr>
          <w:sz w:val="20"/>
          <w:szCs w:val="20"/>
          <w:color w:val="auto"/>
        </w:rPr>
      </w:pPr>
    </w:p>
    <w:p>
      <w:pPr>
        <w:ind w:right="320" w:firstLine="325"/>
        <w:spacing w:after="0" w:line="276" w:lineRule="auto"/>
        <w:rPr>
          <w:sz w:val="20"/>
          <w:szCs w:val="20"/>
          <w:color w:val="auto"/>
        </w:rPr>
      </w:pPr>
      <w:r>
        <w:rPr>
          <w:rFonts w:ascii="Arial" w:cs="Arial" w:eastAsia="Arial" w:hAnsi="Arial"/>
          <w:sz w:val="13"/>
          <w:szCs w:val="13"/>
          <w:color w:val="auto"/>
        </w:rPr>
        <w:t>The Securities outstanding at any time are all the Securities authenticated by the Trustee except for those canceled by it, those delivered to it for cancellation, those reductions in the interest on a Security, if applicable, effected by the Trustee in accordance with the provisions hereof and those described in this Section 2.9 as not outstanding.</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If a Security is replaced pursuant to Section 2.8, it ceases to be outstanding until the Trustee receives proof satisfactory to it that the replaced Security is held by a protected purchaser.</w:t>
      </w:r>
    </w:p>
    <w:p>
      <w:pPr>
        <w:spacing w:after="0" w:line="86"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49" w:lineRule="exact"/>
        <w:rPr>
          <w:sz w:val="20"/>
          <w:szCs w:val="20"/>
          <w:color w:val="auto"/>
        </w:rPr>
      </w:pPr>
    </w:p>
    <w:p>
      <w:pPr>
        <w:ind w:right="40" w:firstLine="325"/>
        <w:spacing w:after="0" w:line="276" w:lineRule="auto"/>
        <w:rPr>
          <w:sz w:val="20"/>
          <w:szCs w:val="20"/>
          <w:color w:val="auto"/>
        </w:rPr>
      </w:pPr>
      <w:r>
        <w:rPr>
          <w:rFonts w:ascii="Arial" w:cs="Arial" w:eastAsia="Arial" w:hAnsi="Arial"/>
          <w:sz w:val="13"/>
          <w:szCs w:val="13"/>
          <w:color w:val="auto"/>
        </w:rPr>
        <w:t>The Company may purchase or otherwise acquire the Securities, whether by open market purchases, negotiated transactions or otherwise. A Security does not cease to be outstanding because the Company or an Affiliate of the Company holds the Security.</w:t>
      </w:r>
    </w:p>
    <w:p>
      <w:pPr>
        <w:spacing w:after="0" w:line="49" w:lineRule="exact"/>
        <w:rPr>
          <w:sz w:val="20"/>
          <w:szCs w:val="20"/>
          <w:color w:val="auto"/>
        </w:rPr>
      </w:pPr>
    </w:p>
    <w:p>
      <w:pPr>
        <w:ind w:right="20" w:firstLine="328"/>
        <w:spacing w:after="0" w:line="264" w:lineRule="auto"/>
        <w:rPr>
          <w:sz w:val="20"/>
          <w:szCs w:val="20"/>
          <w:color w:val="auto"/>
        </w:rPr>
      </w:pPr>
      <w:r>
        <w:rPr>
          <w:rFonts w:ascii="Arial" w:cs="Arial" w:eastAsia="Arial" w:hAnsi="Arial"/>
          <w:sz w:val="13"/>
          <w:szCs w:val="13"/>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2.10. </w:t>
      </w:r>
      <w:r>
        <w:rPr>
          <w:rFonts w:ascii="Arial" w:cs="Arial" w:eastAsia="Arial" w:hAnsi="Arial"/>
          <w:sz w:val="13"/>
          <w:szCs w:val="13"/>
          <w:u w:val="single" w:color="auto"/>
          <w:color w:val="auto"/>
        </w:rPr>
        <w:t>Treasury Securities</w:t>
      </w:r>
      <w:r>
        <w:rPr>
          <w:rFonts w:ascii="Arial" w:cs="Arial" w:eastAsia="Arial" w:hAnsi="Arial"/>
          <w:sz w:val="13"/>
          <w:szCs w:val="13"/>
          <w:color w:val="auto"/>
        </w:rPr>
        <w:t>.</w:t>
      </w:r>
    </w:p>
    <w:p>
      <w:pPr>
        <w:spacing w:after="0" w:line="86" w:lineRule="exact"/>
        <w:rPr>
          <w:sz w:val="20"/>
          <w:szCs w:val="20"/>
          <w:color w:val="auto"/>
        </w:rPr>
      </w:pPr>
    </w:p>
    <w:p>
      <w:pPr>
        <w:ind w:right="120" w:firstLine="328"/>
        <w:spacing w:after="0" w:line="264" w:lineRule="auto"/>
        <w:rPr>
          <w:sz w:val="20"/>
          <w:szCs w:val="20"/>
          <w:color w:val="auto"/>
        </w:rPr>
      </w:pPr>
      <w:r>
        <w:rPr>
          <w:rFonts w:ascii="Arial" w:cs="Arial" w:eastAsia="Arial" w:hAnsi="Arial"/>
          <w:sz w:val="13"/>
          <w:szCs w:val="13"/>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2.11. </w:t>
      </w:r>
      <w:r>
        <w:rPr>
          <w:rFonts w:ascii="Arial" w:cs="Arial" w:eastAsia="Arial" w:hAnsi="Arial"/>
          <w:sz w:val="13"/>
          <w:szCs w:val="13"/>
          <w:u w:val="single" w:color="auto"/>
          <w:color w:val="auto"/>
        </w:rPr>
        <w:t>Temporary Securities</w:t>
      </w:r>
      <w:r>
        <w:rPr>
          <w:rFonts w:ascii="Arial" w:cs="Arial" w:eastAsia="Arial" w:hAnsi="Arial"/>
          <w:sz w:val="13"/>
          <w:szCs w:val="13"/>
          <w:color w:val="auto"/>
        </w:rPr>
        <w:t>.</w:t>
      </w:r>
    </w:p>
    <w:p>
      <w:pPr>
        <w:spacing w:after="0" w:line="86" w:lineRule="exact"/>
        <w:rPr>
          <w:sz w:val="20"/>
          <w:szCs w:val="20"/>
          <w:color w:val="auto"/>
        </w:rPr>
      </w:pPr>
    </w:p>
    <w:p>
      <w:pPr>
        <w:jc w:val="both"/>
        <w:ind w:firstLine="328"/>
        <w:spacing w:after="0" w:line="334" w:lineRule="auto"/>
        <w:rPr>
          <w:sz w:val="20"/>
          <w:szCs w:val="20"/>
          <w:color w:val="auto"/>
        </w:rPr>
      </w:pPr>
      <w:r>
        <w:rPr>
          <w:rFonts w:ascii="Arial" w:cs="Arial" w:eastAsia="Arial" w:hAnsi="Arial"/>
          <w:sz w:val="11"/>
          <w:szCs w:val="11"/>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54" w:name="page55"/>
    <w:bookmarkEnd w:id="54"/>
    <w:p>
      <w:pPr>
        <w:ind w:left="160"/>
        <w:spacing w:after="0"/>
        <w:rPr>
          <w:sz w:val="20"/>
          <w:szCs w:val="20"/>
          <w:color w:val="auto"/>
        </w:rPr>
      </w:pPr>
      <w:r>
        <w:rPr>
          <w:rFonts w:ascii="Arial" w:cs="Arial" w:eastAsia="Arial" w:hAnsi="Arial"/>
          <w:sz w:val="13"/>
          <w:szCs w:val="13"/>
          <w:color w:val="auto"/>
        </w:rPr>
        <w:t xml:space="preserve">Section 2.12. </w:t>
      </w:r>
      <w:r>
        <w:rPr>
          <w:rFonts w:ascii="Arial" w:cs="Arial" w:eastAsia="Arial" w:hAnsi="Arial"/>
          <w:sz w:val="13"/>
          <w:szCs w:val="13"/>
          <w:u w:val="single" w:color="auto"/>
          <w:color w:val="auto"/>
        </w:rPr>
        <w:t>Cancellation</w:t>
      </w:r>
      <w:r>
        <w:rPr>
          <w:rFonts w:ascii="Arial" w:cs="Arial" w:eastAsia="Arial" w:hAnsi="Arial"/>
          <w:sz w:val="13"/>
          <w:szCs w:val="13"/>
          <w:color w:val="auto"/>
        </w:rPr>
        <w:t>.</w:t>
      </w:r>
    </w:p>
    <w:p>
      <w:pPr>
        <w:spacing w:after="0" w:line="86" w:lineRule="exact"/>
        <w:rPr>
          <w:sz w:val="20"/>
          <w:szCs w:val="20"/>
          <w:color w:val="auto"/>
        </w:rPr>
      </w:pPr>
    </w:p>
    <w:p>
      <w:pPr>
        <w:ind w:right="120" w:firstLine="325"/>
        <w:spacing w:after="0" w:line="260" w:lineRule="auto"/>
        <w:rPr>
          <w:sz w:val="20"/>
          <w:szCs w:val="20"/>
          <w:color w:val="auto"/>
        </w:rPr>
      </w:pPr>
      <w:r>
        <w:rPr>
          <w:rFonts w:ascii="Arial" w:cs="Arial" w:eastAsia="Arial" w:hAnsi="Arial"/>
          <w:sz w:val="13"/>
          <w:szCs w:val="13"/>
          <w:color w:val="auto"/>
        </w:rPr>
        <w:t>The Company at any time may deliver Securities to the Trustee for cancellation. The Agents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deliver a certificate of such destruction to the Company unless the Company otherwise directs. The Company may not issue new Securities to replace Securities that it has paid or delivered to the Trustee for cancellation.</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2.13. </w:t>
      </w:r>
      <w:r>
        <w:rPr>
          <w:rFonts w:ascii="Arial" w:cs="Arial" w:eastAsia="Arial" w:hAnsi="Arial"/>
          <w:sz w:val="13"/>
          <w:szCs w:val="13"/>
          <w:u w:val="single" w:color="auto"/>
          <w:color w:val="auto"/>
        </w:rPr>
        <w:t>Defaulted Interest</w:t>
      </w:r>
      <w:r>
        <w:rPr>
          <w:rFonts w:ascii="Arial" w:cs="Arial" w:eastAsia="Arial" w:hAnsi="Arial"/>
          <w:sz w:val="13"/>
          <w:szCs w:val="13"/>
          <w:color w:val="auto"/>
        </w:rPr>
        <w:t>.</w:t>
      </w:r>
    </w:p>
    <w:p>
      <w:pPr>
        <w:spacing w:after="0" w:line="86" w:lineRule="exact"/>
        <w:rPr>
          <w:sz w:val="20"/>
          <w:szCs w:val="20"/>
          <w:color w:val="auto"/>
        </w:rPr>
      </w:pPr>
    </w:p>
    <w:p>
      <w:pPr>
        <w:jc w:val="both"/>
        <w:ind w:right="120" w:firstLine="328"/>
        <w:spacing w:after="0" w:line="296" w:lineRule="auto"/>
        <w:rPr>
          <w:sz w:val="20"/>
          <w:szCs w:val="20"/>
          <w:color w:val="auto"/>
        </w:rPr>
      </w:pPr>
      <w:r>
        <w:rPr>
          <w:rFonts w:ascii="Arial" w:cs="Arial" w:eastAsia="Arial" w:hAnsi="Arial"/>
          <w:sz w:val="12"/>
          <w:szCs w:val="12"/>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deliver to the Trustee and to each Securityholder of the Series a notice that states the record date, the payment date and the amount of interest to be paid. The Company may pay defaulted interest in any other lawful manner.</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2.14. </w:t>
      </w:r>
      <w:r>
        <w:rPr>
          <w:rFonts w:ascii="Arial" w:cs="Arial" w:eastAsia="Arial" w:hAnsi="Arial"/>
          <w:sz w:val="13"/>
          <w:szCs w:val="13"/>
          <w:u w:val="single" w:color="auto"/>
          <w:color w:val="auto"/>
        </w:rPr>
        <w:t>Global Securities</w:t>
      </w:r>
      <w:r>
        <w:rPr>
          <w:rFonts w:ascii="Arial" w:cs="Arial" w:eastAsia="Arial" w:hAnsi="Arial"/>
          <w:sz w:val="13"/>
          <w:szCs w:val="13"/>
          <w:color w:val="auto"/>
        </w:rPr>
        <w:t>.</w:t>
      </w:r>
    </w:p>
    <w:p>
      <w:pPr>
        <w:spacing w:after="0" w:line="86" w:lineRule="exact"/>
        <w:rPr>
          <w:sz w:val="20"/>
          <w:szCs w:val="20"/>
          <w:color w:val="auto"/>
        </w:rPr>
      </w:pPr>
    </w:p>
    <w:p>
      <w:pPr>
        <w:ind w:right="20" w:firstLine="328"/>
        <w:spacing w:after="0" w:line="257" w:lineRule="auto"/>
        <w:rPr>
          <w:sz w:val="20"/>
          <w:szCs w:val="20"/>
          <w:color w:val="auto"/>
        </w:rPr>
      </w:pPr>
      <w:r>
        <w:rPr>
          <w:rFonts w:ascii="Arial" w:cs="Arial" w:eastAsia="Arial" w:hAnsi="Arial"/>
          <w:sz w:val="13"/>
          <w:szCs w:val="13"/>
          <w:color w:val="auto"/>
        </w:rPr>
        <w:t xml:space="preserve">2.14.1. </w:t>
      </w:r>
      <w:r>
        <w:rPr>
          <w:rFonts w:ascii="Arial" w:cs="Arial" w:eastAsia="Arial" w:hAnsi="Arial"/>
          <w:sz w:val="13"/>
          <w:szCs w:val="13"/>
          <w:u w:val="single" w:color="auto"/>
          <w:color w:val="auto"/>
        </w:rPr>
        <w:t>Transfer and Exchange</w:t>
      </w:r>
      <w:r>
        <w:rPr>
          <w:rFonts w:ascii="Arial" w:cs="Arial" w:eastAsia="Arial" w:hAnsi="Arial"/>
          <w:sz w:val="13"/>
          <w:szCs w:val="13"/>
          <w:color w:val="auto"/>
        </w:rPr>
        <w:t>. Notwithstanding any provisions to the contrary contained in Section 2.7 of this Indenture and in addition thereto, any Global Security shall be exchangeable pursuant to Section 2.7 of this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62" w:lineRule="exact"/>
        <w:rPr>
          <w:sz w:val="20"/>
          <w:szCs w:val="20"/>
          <w:color w:val="auto"/>
        </w:rPr>
      </w:pPr>
    </w:p>
    <w:p>
      <w:pPr>
        <w:ind w:firstLine="328"/>
        <w:spacing w:after="0" w:line="320" w:lineRule="auto"/>
        <w:rPr>
          <w:sz w:val="20"/>
          <w:szCs w:val="20"/>
          <w:color w:val="auto"/>
        </w:rPr>
      </w:pPr>
      <w:r>
        <w:rPr>
          <w:rFonts w:ascii="Arial" w:cs="Arial" w:eastAsia="Arial" w:hAnsi="Arial"/>
          <w:sz w:val="12"/>
          <w:szCs w:val="12"/>
          <w:color w:val="auto"/>
        </w:rPr>
        <w:t>Except as provided in this Section 2.14.1,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25" w:lineRule="exact"/>
        <w:rPr>
          <w:sz w:val="20"/>
          <w:szCs w:val="20"/>
          <w:color w:val="auto"/>
        </w:rPr>
      </w:pPr>
    </w:p>
    <w:p>
      <w:pPr>
        <w:ind w:right="60" w:firstLine="328"/>
        <w:spacing w:after="0" w:line="264" w:lineRule="auto"/>
        <w:rPr>
          <w:sz w:val="20"/>
          <w:szCs w:val="20"/>
          <w:color w:val="auto"/>
        </w:rPr>
      </w:pPr>
      <w:r>
        <w:rPr>
          <w:rFonts w:ascii="Arial" w:cs="Arial" w:eastAsia="Arial" w:hAnsi="Arial"/>
          <w:sz w:val="13"/>
          <w:szCs w:val="13"/>
          <w:color w:val="auto"/>
        </w:rPr>
        <w:t>Neither the Trustee nor any Agent shall have any obligation or duty to monitor, determine or inquire as to compliance with any tax or securities laws with respect to any restrictions on transfer imposed under this Indenture or under applicable law (including any transfers between or among Depositary participants, members or beneficial owners in any Global Security) other than to require delivery of such certificates and other documentation or evidence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5" w:name="page56"/>
    <w:bookmarkEnd w:id="55"/>
    <w:p>
      <w:pPr>
        <w:spacing w:after="0"/>
        <w:rPr>
          <w:sz w:val="20"/>
          <w:szCs w:val="20"/>
          <w:color w:val="auto"/>
        </w:rPr>
      </w:pPr>
      <w:r>
        <w:rPr>
          <w:rFonts w:ascii="Arial" w:cs="Arial" w:eastAsia="Arial" w:hAnsi="Arial"/>
          <w:sz w:val="11"/>
          <w:szCs w:val="11"/>
          <w:color w:val="auto"/>
        </w:rPr>
        <w:t>as are expressly required by, and to do so if and when expressly required by, the terms of this Indenture, and to examine the same to determine substantial compliance as to form with the express requirements hereof.</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2.14.2. </w:t>
      </w:r>
      <w:r>
        <w:rPr>
          <w:rFonts w:ascii="Arial" w:cs="Arial" w:eastAsia="Arial" w:hAnsi="Arial"/>
          <w:sz w:val="13"/>
          <w:szCs w:val="13"/>
          <w:u w:val="single" w:color="auto"/>
          <w:color w:val="auto"/>
        </w:rPr>
        <w:t>Legend</w:t>
      </w:r>
      <w:r>
        <w:rPr>
          <w:rFonts w:ascii="Arial" w:cs="Arial" w:eastAsia="Arial" w:hAnsi="Arial"/>
          <w:sz w:val="13"/>
          <w:szCs w:val="13"/>
          <w:color w:val="auto"/>
        </w:rPr>
        <w:t>. Any Global Security issued hereunder shall bear a legend in substantially the following form:</w:t>
      </w:r>
    </w:p>
    <w:p>
      <w:pPr>
        <w:spacing w:after="0" w:line="86" w:lineRule="exact"/>
        <w:rPr>
          <w:sz w:val="20"/>
          <w:szCs w:val="20"/>
          <w:color w:val="auto"/>
        </w:rPr>
      </w:pPr>
    </w:p>
    <w:p>
      <w:pPr>
        <w:ind w:firstLine="328"/>
        <w:spacing w:after="0" w:line="258" w:lineRule="auto"/>
        <w:rPr>
          <w:sz w:val="20"/>
          <w:szCs w:val="20"/>
          <w:color w:val="auto"/>
        </w:rPr>
      </w:pPr>
      <w:r>
        <w:rPr>
          <w:rFonts w:ascii="Arial" w:cs="Arial" w:eastAsia="Arial" w:hAnsi="Arial"/>
          <w:sz w:val="13"/>
          <w:szCs w:val="13"/>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61" w:lineRule="exact"/>
        <w:rPr>
          <w:sz w:val="20"/>
          <w:szCs w:val="20"/>
          <w:color w:val="auto"/>
        </w:rPr>
      </w:pPr>
    </w:p>
    <w:p>
      <w:pPr>
        <w:ind w:right="120" w:firstLine="328"/>
        <w:spacing w:after="0" w:line="276" w:lineRule="auto"/>
        <w:rPr>
          <w:sz w:val="20"/>
          <w:szCs w:val="20"/>
          <w:color w:val="auto"/>
        </w:rPr>
      </w:pPr>
      <w:r>
        <w:rPr>
          <w:rFonts w:ascii="Arial" w:cs="Arial" w:eastAsia="Arial" w:hAnsi="Arial"/>
          <w:sz w:val="13"/>
          <w:szCs w:val="13"/>
          <w:color w:val="auto"/>
        </w:rPr>
        <w:t xml:space="preserve">2.14.3. </w:t>
      </w:r>
      <w:r>
        <w:rPr>
          <w:rFonts w:ascii="Arial" w:cs="Arial" w:eastAsia="Arial" w:hAnsi="Arial"/>
          <w:sz w:val="13"/>
          <w:szCs w:val="13"/>
          <w:u w:val="single" w:color="auto"/>
          <w:color w:val="auto"/>
        </w:rPr>
        <w:t>Acts of Holders</w:t>
      </w:r>
      <w:r>
        <w:rPr>
          <w:rFonts w:ascii="Arial" w:cs="Arial" w:eastAsia="Arial" w:hAnsi="Arial"/>
          <w:sz w:val="13"/>
          <w:szCs w:val="13"/>
          <w:color w:val="auto"/>
        </w:rPr>
        <w:t>. The Depositary, as a Holder, may appoint agents and otherwise authorize participants to give or take any request, demand, authorization, direction, notice, consent, waiver or other action which a Holder is entitled to give or take under this Indenture.</w:t>
      </w:r>
    </w:p>
    <w:p>
      <w:pPr>
        <w:spacing w:after="0" w:line="49"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2.14.4. </w:t>
      </w:r>
      <w:r>
        <w:rPr>
          <w:rFonts w:ascii="Arial" w:cs="Arial" w:eastAsia="Arial" w:hAnsi="Arial"/>
          <w:sz w:val="13"/>
          <w:szCs w:val="13"/>
          <w:u w:val="single" w:color="auto"/>
          <w:color w:val="auto"/>
        </w:rPr>
        <w:t>Payments</w:t>
      </w:r>
      <w:r>
        <w:rPr>
          <w:rFonts w:ascii="Arial" w:cs="Arial" w:eastAsia="Arial" w:hAnsi="Arial"/>
          <w:sz w:val="13"/>
          <w:szCs w:val="13"/>
          <w:color w:val="auto"/>
        </w:rPr>
        <w:t>. Notwithstanding the other provisions of this Indenture, unless otherwise specified as contemplated by Section 2.2, payment of the principal of and interest, if any, on any Global Security shall be made to the Holder thereof, which in the case of a Depositary therefore will be made in accordance with its applicable procedures.</w:t>
      </w:r>
    </w:p>
    <w:p>
      <w:pPr>
        <w:spacing w:after="0" w:line="49" w:lineRule="exact"/>
        <w:rPr>
          <w:sz w:val="20"/>
          <w:szCs w:val="20"/>
          <w:color w:val="auto"/>
        </w:rPr>
      </w:pPr>
    </w:p>
    <w:p>
      <w:pPr>
        <w:ind w:right="200" w:firstLine="328"/>
        <w:spacing w:after="0" w:line="276" w:lineRule="auto"/>
        <w:rPr>
          <w:sz w:val="20"/>
          <w:szCs w:val="20"/>
          <w:color w:val="auto"/>
        </w:rPr>
      </w:pPr>
      <w:r>
        <w:rPr>
          <w:rFonts w:ascii="Arial" w:cs="Arial" w:eastAsia="Arial" w:hAnsi="Arial"/>
          <w:sz w:val="13"/>
          <w:szCs w:val="13"/>
          <w:color w:val="auto"/>
        </w:rPr>
        <w:t xml:space="preserve">2.14.5. </w:t>
      </w:r>
      <w:r>
        <w:rPr>
          <w:rFonts w:ascii="Arial" w:cs="Arial" w:eastAsia="Arial" w:hAnsi="Arial"/>
          <w:sz w:val="13"/>
          <w:szCs w:val="13"/>
          <w:u w:val="single" w:color="auto"/>
          <w:color w:val="auto"/>
        </w:rPr>
        <w:t>Holders</w:t>
      </w:r>
      <w:r>
        <w:rPr>
          <w:rFonts w:ascii="Arial" w:cs="Arial" w:eastAsia="Arial" w:hAnsi="Arial"/>
          <w:sz w:val="13"/>
          <w:szCs w:val="13"/>
          <w:color w:val="auto"/>
        </w:rPr>
        <w:t>. The Company, the Trustee and each Agent shall treat the Person in whose name any Security is registered in the register maintained by the Registrar as the Holder for all purposes including for purposes of obtaining any consents, declarations, waivers or directions permitted or required to be given by the Holders pursuant to this Indenture.</w:t>
      </w:r>
    </w:p>
    <w:p>
      <w:pPr>
        <w:spacing w:after="0" w:line="49" w:lineRule="exact"/>
        <w:rPr>
          <w:sz w:val="20"/>
          <w:szCs w:val="20"/>
          <w:color w:val="auto"/>
        </w:rPr>
      </w:pPr>
    </w:p>
    <w:p>
      <w:pPr>
        <w:ind w:right="40" w:firstLine="328"/>
        <w:spacing w:after="0" w:line="282" w:lineRule="auto"/>
        <w:rPr>
          <w:sz w:val="20"/>
          <w:szCs w:val="20"/>
          <w:color w:val="auto"/>
        </w:rPr>
      </w:pPr>
      <w:r>
        <w:rPr>
          <w:rFonts w:ascii="Arial" w:cs="Arial" w:eastAsia="Arial" w:hAnsi="Arial"/>
          <w:sz w:val="12"/>
          <w:szCs w:val="12"/>
          <w:color w:val="auto"/>
        </w:rPr>
        <w:t>2.14.6. None of the Trustee or any Agent shall have any responsibility or obligation to any beneficial owner of an interest in a Global Security, a member of, or a participant in, the Depositary or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redemption) or the payment of any amount or delivery of any Securities (or other security or property) under or with respect to such Securities. All notices and communications to be given to the Holders and all payments to be made to Holders with respect to the Securities shall be given or made only to or upon the order of the registered Holders (which shall be the Depositary or its nominee in the case of a Global Security). The rights of beneficial owners in any Global Security shall be exercised only through the Depositary subject to the applicable rules and procedures of the Depositary. The Trustee and each Agent may rely and shall be fully protected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56" w:name="page57"/>
    <w:bookmarkEnd w:id="56"/>
    <w:p>
      <w:pPr>
        <w:spacing w:after="0"/>
        <w:rPr>
          <w:sz w:val="20"/>
          <w:szCs w:val="20"/>
          <w:color w:val="auto"/>
        </w:rPr>
      </w:pPr>
      <w:r>
        <w:rPr>
          <w:rFonts w:ascii="Arial" w:cs="Arial" w:eastAsia="Arial" w:hAnsi="Arial"/>
          <w:sz w:val="13"/>
          <w:szCs w:val="13"/>
          <w:color w:val="auto"/>
        </w:rPr>
        <w:t>in relying upon information furnished by the Depositary with respect to its members, participants and any beneficial owners.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2.15. </w:t>
      </w:r>
      <w:r>
        <w:rPr>
          <w:rFonts w:ascii="Arial" w:cs="Arial" w:eastAsia="Arial" w:hAnsi="Arial"/>
          <w:sz w:val="13"/>
          <w:szCs w:val="13"/>
          <w:u w:val="single" w:color="auto"/>
          <w:color w:val="auto"/>
        </w:rPr>
        <w:t>CUSIP Numbers</w:t>
      </w:r>
      <w:r>
        <w:rPr>
          <w:rFonts w:ascii="Arial" w:cs="Arial" w:eastAsia="Arial" w:hAnsi="Arial"/>
          <w:sz w:val="13"/>
          <w:szCs w:val="13"/>
          <w:color w:val="auto"/>
        </w:rPr>
        <w:t>.</w:t>
      </w:r>
    </w:p>
    <w:p>
      <w:pPr>
        <w:spacing w:after="0" w:line="86" w:lineRule="exact"/>
        <w:rPr>
          <w:sz w:val="20"/>
          <w:szCs w:val="20"/>
          <w:color w:val="auto"/>
        </w:rPr>
      </w:pPr>
    </w:p>
    <w:p>
      <w:pPr>
        <w:ind w:firstLine="325"/>
        <w:spacing w:after="0" w:line="334" w:lineRule="auto"/>
        <w:rPr>
          <w:sz w:val="20"/>
          <w:szCs w:val="20"/>
          <w:color w:val="auto"/>
        </w:rPr>
      </w:pPr>
      <w:r>
        <w:rPr>
          <w:rFonts w:ascii="Arial" w:cs="Arial" w:eastAsia="Arial" w:hAnsi="Arial"/>
          <w:sz w:val="11"/>
          <w:szCs w:val="11"/>
          <w:color w:val="auto"/>
        </w:rPr>
        <w:t xml:space="preserve">The Company in issuing the Securities may use “CUSIP,” “ISIN” and or “Common Code” numbers (if then generally in use), and, if so, the Trustee shall use “CUSIP,” “ISIN” and or “Common Code” numbers in notices of redemption as a convenience to Holders;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REDEMPTION</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3.1. </w:t>
      </w:r>
      <w:r>
        <w:rPr>
          <w:rFonts w:ascii="Arial" w:cs="Arial" w:eastAsia="Arial" w:hAnsi="Arial"/>
          <w:sz w:val="13"/>
          <w:szCs w:val="13"/>
          <w:u w:val="single" w:color="auto"/>
          <w:color w:val="auto"/>
        </w:rPr>
        <w:t>Notice to Trustee; No Liability for Calculations</w:t>
      </w:r>
      <w:r>
        <w:rPr>
          <w:rFonts w:ascii="Arial" w:cs="Arial" w:eastAsia="Arial" w:hAnsi="Arial"/>
          <w:sz w:val="13"/>
          <w:szCs w:val="13"/>
          <w:color w:val="auto"/>
        </w:rPr>
        <w:t>.</w:t>
      </w:r>
    </w:p>
    <w:p>
      <w:pPr>
        <w:spacing w:after="0" w:line="86" w:lineRule="exact"/>
        <w:rPr>
          <w:sz w:val="20"/>
          <w:szCs w:val="20"/>
          <w:color w:val="auto"/>
        </w:rPr>
      </w:pPr>
    </w:p>
    <w:p>
      <w:pPr>
        <w:ind w:right="20" w:firstLine="325"/>
        <w:spacing w:after="0" w:line="285" w:lineRule="auto"/>
        <w:rPr>
          <w:sz w:val="20"/>
          <w:szCs w:val="20"/>
          <w:color w:val="auto"/>
        </w:rPr>
      </w:pPr>
      <w:r>
        <w:rPr>
          <w:rFonts w:ascii="Arial" w:cs="Arial" w:eastAsia="Arial" w:hAnsi="Arial"/>
          <w:sz w:val="12"/>
          <w:szCs w:val="12"/>
          <w:color w:val="auto"/>
        </w:rPr>
        <w:t>The Company may, with respect to any Series of Securities, reserve the right to redeem and pay such Series of Securities or may covenant to redeem and pay such Series of Securities or any part thereof prior to the Stated Maturity thereof at such time and on such terms as provided for in Sections 3.9 and 3.10 hereof or, as applicable, in the Board Resolution, Officer’s Certificate or supplemental indenture relating to such Series.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at least 40 days before a redemption date (or such shorter notice as may be acceptable to the Trustee). The Trustee shall have no liability with respect to or obligation to calculate the redemption price of any Securities to be redeemed pursuant to this Indenture.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3.2. </w:t>
      </w:r>
      <w:r>
        <w:rPr>
          <w:rFonts w:ascii="Arial" w:cs="Arial" w:eastAsia="Arial" w:hAnsi="Arial"/>
          <w:sz w:val="13"/>
          <w:szCs w:val="13"/>
          <w:u w:val="single" w:color="auto"/>
          <w:color w:val="auto"/>
        </w:rPr>
        <w:t>Selection of Securities to be Redeemed</w:t>
      </w:r>
      <w:r>
        <w:rPr>
          <w:rFonts w:ascii="Arial" w:cs="Arial" w:eastAsia="Arial" w:hAnsi="Arial"/>
          <w:sz w:val="13"/>
          <w:szCs w:val="13"/>
          <w:color w:val="auto"/>
        </w:rPr>
        <w:t>.</w:t>
      </w:r>
    </w:p>
    <w:p>
      <w:pPr>
        <w:spacing w:after="0" w:line="86" w:lineRule="exact"/>
        <w:rPr>
          <w:sz w:val="20"/>
          <w:szCs w:val="20"/>
          <w:color w:val="auto"/>
        </w:rPr>
      </w:pPr>
    </w:p>
    <w:p>
      <w:pPr>
        <w:ind w:right="60" w:firstLine="328"/>
        <w:spacing w:after="0" w:line="334" w:lineRule="auto"/>
        <w:rPr>
          <w:sz w:val="20"/>
          <w:szCs w:val="20"/>
          <w:color w:val="auto"/>
        </w:rPr>
      </w:pPr>
      <w:r>
        <w:rPr>
          <w:rFonts w:ascii="Arial" w:cs="Arial" w:eastAsia="Arial" w:hAnsi="Arial"/>
          <w:sz w:val="11"/>
          <w:szCs w:val="11"/>
          <w:color w:val="auto"/>
        </w:rPr>
        <w:t xml:space="preserve">Unless otherwise indicated for a particular Series by a Board Resolution, Officer’s Certificate or a supplemental indenture, if less than all of the Securities of a Series are to be redeemed at any time, the Trustee will select the Securities of a Series to be redeemed on a </w:t>
      </w:r>
      <w:r>
        <w:rPr>
          <w:rFonts w:ascii="Arial" w:cs="Arial" w:eastAsia="Arial" w:hAnsi="Arial"/>
          <w:sz w:val="11"/>
          <w:szCs w:val="11"/>
          <w:i w:val="1"/>
          <w:iCs w:val="1"/>
          <w:color w:val="auto"/>
        </w:rPr>
        <w:t>pro rata</w:t>
      </w:r>
      <w:r>
        <w:rPr>
          <w:rFonts w:ascii="Arial" w:cs="Arial" w:eastAsia="Arial" w:hAnsi="Arial"/>
          <w:sz w:val="11"/>
          <w:szCs w:val="11"/>
          <w:color w:val="auto"/>
        </w:rPr>
        <w:t xml:space="preserve"> basis (or, in the case of Securities issued in global form based on a method that most nearly approximates a </w:t>
      </w:r>
      <w:r>
        <w:rPr>
          <w:rFonts w:ascii="Arial" w:cs="Arial" w:eastAsia="Arial" w:hAnsi="Arial"/>
          <w:sz w:val="11"/>
          <w:szCs w:val="11"/>
          <w:i w:val="1"/>
          <w:iCs w:val="1"/>
          <w:color w:val="auto"/>
        </w:rPr>
        <w:t>pro rata</w:t>
      </w:r>
      <w:r>
        <w:rPr>
          <w:rFonts w:ascii="Arial" w:cs="Arial" w:eastAsia="Arial" w:hAnsi="Arial"/>
          <w:sz w:val="11"/>
          <w:szCs w:val="11"/>
          <w:color w:val="auto"/>
        </w:rPr>
        <w:t xml:space="preserve"> selection as the Trustee deems fair and appropriate) unless otherwise required by law or applicable stock exchange or Depositary requirements. The Trustee will not be liable for selections made by it as contemplated in this section.</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No Securities of a Series in principal amount of $2,000 or less can be redeemed in part.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Notices of purchase or redemption will be given to each Holder pursuant to Section 3.3 and Section 10.1.</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57" w:name="page58"/>
    <w:bookmarkEnd w:id="57"/>
    <w:p>
      <w:pPr>
        <w:ind w:left="160"/>
        <w:spacing w:after="0"/>
        <w:rPr>
          <w:sz w:val="20"/>
          <w:szCs w:val="20"/>
          <w:color w:val="auto"/>
        </w:rPr>
      </w:pPr>
      <w:r>
        <w:rPr>
          <w:rFonts w:ascii="Arial" w:cs="Arial" w:eastAsia="Arial" w:hAnsi="Arial"/>
          <w:sz w:val="13"/>
          <w:szCs w:val="13"/>
          <w:color w:val="auto"/>
        </w:rPr>
        <w:t xml:space="preserve">Section 3.3. </w:t>
      </w:r>
      <w:r>
        <w:rPr>
          <w:rFonts w:ascii="Arial" w:cs="Arial" w:eastAsia="Arial" w:hAnsi="Arial"/>
          <w:sz w:val="13"/>
          <w:szCs w:val="13"/>
          <w:u w:val="single" w:color="auto"/>
          <w:color w:val="auto"/>
        </w:rPr>
        <w:t>Notice of Redemption</w:t>
      </w:r>
      <w:r>
        <w:rPr>
          <w:rFonts w:ascii="Arial" w:cs="Arial" w:eastAsia="Arial" w:hAnsi="Arial"/>
          <w:sz w:val="13"/>
          <w:szCs w:val="13"/>
          <w:color w:val="auto"/>
        </w:rPr>
        <w:t>.</w:t>
      </w:r>
    </w:p>
    <w:p>
      <w:pPr>
        <w:spacing w:after="0" w:line="86" w:lineRule="exact"/>
        <w:rPr>
          <w:sz w:val="20"/>
          <w:szCs w:val="20"/>
          <w:color w:val="auto"/>
        </w:rPr>
      </w:pPr>
    </w:p>
    <w:p>
      <w:pPr>
        <w:jc w:val="both"/>
        <w:ind w:right="140" w:firstLine="328"/>
        <w:spacing w:after="0" w:line="264" w:lineRule="auto"/>
        <w:rPr>
          <w:sz w:val="20"/>
          <w:szCs w:val="20"/>
          <w:color w:val="auto"/>
        </w:rPr>
      </w:pPr>
      <w:r>
        <w:rPr>
          <w:rFonts w:ascii="Arial" w:cs="Arial" w:eastAsia="Arial" w:hAnsi="Arial"/>
          <w:sz w:val="13"/>
          <w:szCs w:val="13"/>
          <w:color w:val="auto"/>
        </w:rPr>
        <w:t>Unless otherwise indicated for a particular Series by Board Resolution, Officer’s Certificate or supplemental indenture, at least 30 days but not more than 60 days before a redemption date, the Company will deliver a notice of redemption to each Holder whose Securities are to be redeemed in accordance with Section 10.1, except that redemption notices may be given more than 60 days prior to a redemption date if the notice is issued in connection with a defeasance of the Securities or a satisfaction and discharge of this Indenture pursuant to Article VIII hereof.</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notice shall identify the Securities to be redeemed and corresponding CUSIP, ISIN or Common Code numbers, as applicable, and will state:</w:t>
      </w:r>
    </w:p>
    <w:p>
      <w:pPr>
        <w:spacing w:after="0" w:line="86" w:lineRule="exact"/>
        <w:rPr>
          <w:sz w:val="20"/>
          <w:szCs w:val="20"/>
          <w:color w:val="auto"/>
        </w:rPr>
      </w:pPr>
    </w:p>
    <w:p>
      <w:pPr>
        <w:ind w:left="560" w:hanging="168"/>
        <w:spacing w:after="0"/>
        <w:tabs>
          <w:tab w:leader="none" w:pos="5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redemption date;</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redemption price and the amount of accrued interest, if any, and Additional Amounts, if any, to be paid;</w:t>
      </w:r>
    </w:p>
    <w:p>
      <w:pPr>
        <w:spacing w:after="0" w:line="86" w:lineRule="exact"/>
        <w:rPr>
          <w:rFonts w:ascii="Arial" w:cs="Arial" w:eastAsia="Arial" w:hAnsi="Arial"/>
          <w:sz w:val="13"/>
          <w:szCs w:val="13"/>
          <w:color w:val="auto"/>
        </w:rPr>
      </w:pPr>
    </w:p>
    <w:p>
      <w:pPr>
        <w:ind w:left="220" w:right="40" w:firstLine="172"/>
        <w:spacing w:after="0" w:line="276" w:lineRule="auto"/>
        <w:tabs>
          <w:tab w:leader="none" w:pos="562" w:val="left"/>
        </w:tabs>
        <w:numPr>
          <w:ilvl w:val="0"/>
          <w:numId w:val="36"/>
        </w:numPr>
        <w:rPr>
          <w:rFonts w:ascii="Arial" w:cs="Arial" w:eastAsia="Arial" w:hAnsi="Arial"/>
          <w:sz w:val="13"/>
          <w:szCs w:val="13"/>
          <w:color w:val="auto"/>
        </w:rPr>
      </w:pPr>
      <w:r>
        <w:rPr>
          <w:rFonts w:ascii="Arial" w:cs="Arial" w:eastAsia="Arial" w:hAnsi="Arial"/>
          <w:sz w:val="13"/>
          <w:szCs w:val="13"/>
          <w:color w:val="auto"/>
        </w:rPr>
        <w:t>if any Global Security is being redeemed in part, the portion of the principal amount of such Global Security to be redeemed and that, after the redemption date upon surrender of such Global Security, the principal amount thereof will be decreased by the portion thereof redeemed pursuant thereto;</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if any Certificated Security is being redeemed in part, the portion of the principal amount of such Security to be redeemed, and that, after the redemption date, upon surrender of such Security, a new</w:t>
      </w:r>
    </w:p>
    <w:p>
      <w:pPr>
        <w:spacing w:after="0" w:line="26"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Certificated Security or Certificated Securities in principal amount equal to the unredeemed portion thereof will be issued in the name of the Holder thereof upon cancellation of the original Certificated Security;</w:t>
      </w:r>
    </w:p>
    <w:p>
      <w:pPr>
        <w:spacing w:after="0" w:line="90" w:lineRule="exact"/>
        <w:rPr>
          <w:rFonts w:ascii="Arial" w:cs="Arial" w:eastAsia="Arial" w:hAnsi="Arial"/>
          <w:sz w:val="12"/>
          <w:szCs w:val="12"/>
          <w:color w:val="auto"/>
        </w:rPr>
      </w:pPr>
    </w:p>
    <w:p>
      <w:pPr>
        <w:ind w:left="560" w:hanging="168"/>
        <w:spacing w:after="0"/>
        <w:tabs>
          <w:tab w:leader="none" w:pos="5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name and address of the Paying Agent(s) to which the Securities are to be surrendered for redemption;</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that Securities called for redemption must be surrendered to the relevant Paying Agent to collect the redemption price, plus accrued and unpaid interest, if any, and Additional Amounts, if any;</w:t>
      </w:r>
    </w:p>
    <w:p>
      <w:pPr>
        <w:spacing w:after="0" w:line="97" w:lineRule="exact"/>
        <w:rPr>
          <w:rFonts w:ascii="Arial" w:cs="Arial" w:eastAsia="Arial" w:hAnsi="Arial"/>
          <w:sz w:val="12"/>
          <w:szCs w:val="12"/>
          <w:color w:val="auto"/>
        </w:rPr>
      </w:pPr>
    </w:p>
    <w:p>
      <w:pPr>
        <w:ind w:left="580" w:hanging="188"/>
        <w:spacing w:after="0"/>
        <w:tabs>
          <w:tab w:leader="none" w:pos="5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that, unless the Company defaults in making such redemption payment, interest and Additional Amounts, if any, on Securities called for redemption cease to accrue on and after the redemption date;</w:t>
      </w:r>
    </w:p>
    <w:p>
      <w:pPr>
        <w:spacing w:after="0" w:line="97" w:lineRule="exact"/>
        <w:rPr>
          <w:rFonts w:ascii="Arial" w:cs="Arial" w:eastAsia="Arial" w:hAnsi="Arial"/>
          <w:sz w:val="12"/>
          <w:szCs w:val="12"/>
          <w:color w:val="auto"/>
        </w:rPr>
      </w:pPr>
    </w:p>
    <w:p>
      <w:pPr>
        <w:ind w:left="580" w:hanging="188"/>
        <w:spacing w:after="0"/>
        <w:tabs>
          <w:tab w:leader="none" w:pos="5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that Securities of the Series called for redemption must be surrendered to the Paying Agent to collect the redemption price;</w:t>
      </w:r>
    </w:p>
    <w:p>
      <w:pPr>
        <w:spacing w:after="0" w:line="86" w:lineRule="exact"/>
        <w:rPr>
          <w:rFonts w:ascii="Arial" w:cs="Arial" w:eastAsia="Arial" w:hAnsi="Arial"/>
          <w:sz w:val="13"/>
          <w:szCs w:val="13"/>
          <w:color w:val="auto"/>
        </w:rPr>
      </w:pPr>
    </w:p>
    <w:p>
      <w:pPr>
        <w:ind w:left="540" w:hanging="148"/>
        <w:spacing w:after="0"/>
        <w:tabs>
          <w:tab w:leader="none" w:pos="5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paragraph of the Securities and/or Section of this Indenture pursuant to which the Securities called for redemption are being redeemed; and</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80"/>
          </w:cols>
          <w:pgMar w:left="220" w:top="720" w:right="399" w:bottom="1440" w:gutter="0" w:footer="0" w:header="0"/>
        </w:sectPr>
      </w:pPr>
    </w:p>
    <w:bookmarkStart w:id="58" w:name="page59"/>
    <w:bookmarkEnd w:id="58"/>
    <w:p>
      <w:pPr>
        <w:ind w:left="400"/>
        <w:spacing w:after="0"/>
        <w:rPr>
          <w:sz w:val="20"/>
          <w:szCs w:val="20"/>
          <w:color w:val="auto"/>
        </w:rPr>
      </w:pPr>
      <w:r>
        <w:rPr>
          <w:rFonts w:ascii="Arial" w:cs="Arial" w:eastAsia="Arial" w:hAnsi="Arial"/>
          <w:sz w:val="13"/>
          <w:szCs w:val="13"/>
          <w:color w:val="auto"/>
        </w:rPr>
        <w:t>(j) that no representation is made as to the correctness or accuracy of the CUSIP, ISIN or Common Code numbers, if any, listed in such notice or printed on the Securities.</w:t>
      </w:r>
    </w:p>
    <w:p>
      <w:pPr>
        <w:spacing w:after="0" w:line="86" w:lineRule="exact"/>
        <w:rPr>
          <w:sz w:val="20"/>
          <w:szCs w:val="20"/>
          <w:color w:val="auto"/>
        </w:rPr>
      </w:pPr>
    </w:p>
    <w:p>
      <w:pPr>
        <w:ind w:right="200" w:firstLine="320"/>
        <w:spacing w:after="0" w:line="320" w:lineRule="auto"/>
        <w:rPr>
          <w:sz w:val="20"/>
          <w:szCs w:val="20"/>
          <w:color w:val="auto"/>
        </w:rPr>
      </w:pPr>
      <w:r>
        <w:rPr>
          <w:rFonts w:ascii="Arial" w:cs="Arial" w:eastAsia="Arial" w:hAnsi="Arial"/>
          <w:sz w:val="12"/>
          <w:szCs w:val="12"/>
          <w:color w:val="auto"/>
        </w:rPr>
        <w:t xml:space="preserve">At the Company’s written request, the Trustee shall give the notice of redemption in the Company’s name and at its expense;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Company has delivered to the Trustee, at least 40 days prior to the redemption date, an Officer’s Certificate requesting that the Trustee give such notice and setting forth the information to be stated in such notice as provided in the preceding paragraph.</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3.4. </w:t>
      </w:r>
      <w:r>
        <w:rPr>
          <w:rFonts w:ascii="Arial" w:cs="Arial" w:eastAsia="Arial" w:hAnsi="Arial"/>
          <w:sz w:val="13"/>
          <w:szCs w:val="13"/>
          <w:u w:val="single" w:color="auto"/>
          <w:color w:val="auto"/>
        </w:rPr>
        <w:t>Effect of Notice of Redemption</w:t>
      </w:r>
      <w:r>
        <w:rPr>
          <w:rFonts w:ascii="Arial" w:cs="Arial" w:eastAsia="Arial" w:hAnsi="Arial"/>
          <w:sz w:val="13"/>
          <w:szCs w:val="13"/>
          <w:color w:val="auto"/>
        </w:rPr>
        <w:t>.</w:t>
      </w:r>
    </w:p>
    <w:p>
      <w:pPr>
        <w:spacing w:after="0" w:line="86"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Once notice of redemption is mailed or published as provided in Section 3.3, Securities of a Series called for redemption become due and payable on the redemption date and at the redemption price. Unless otherwise indicated for a particular Series by Board Resolution, Officer’s Certificate or supplemental indenture, a notice of redemption may not be conditional. Upon surrender to the Paying Agent, such Securities shall be paid at the redemption price plus accrued interest to the redemption date.</w:t>
      </w:r>
    </w:p>
    <w:p>
      <w:pPr>
        <w:spacing w:after="0" w:line="57" w:lineRule="exact"/>
        <w:rPr>
          <w:sz w:val="20"/>
          <w:szCs w:val="20"/>
          <w:color w:val="auto"/>
        </w:rPr>
      </w:pPr>
    </w:p>
    <w:p>
      <w:pPr>
        <w:ind w:right="80" w:firstLine="328"/>
        <w:spacing w:after="0" w:line="276" w:lineRule="auto"/>
        <w:rPr>
          <w:sz w:val="20"/>
          <w:szCs w:val="20"/>
          <w:color w:val="auto"/>
        </w:rPr>
      </w:pPr>
      <w:r>
        <w:rPr>
          <w:rFonts w:ascii="Arial" w:cs="Arial" w:eastAsia="Arial" w:hAnsi="Arial"/>
          <w:sz w:val="13"/>
          <w:szCs w:val="13"/>
          <w:color w:val="auto"/>
        </w:rPr>
        <w:t>On or after any purchase or redemption date, unless the Company defaults in payment of the purchase or redemption price, interest shall cease to accrue on Securities or portions thereof tendered for purchase or called for redemption.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3.5. </w:t>
      </w:r>
      <w:r>
        <w:rPr>
          <w:rFonts w:ascii="Arial" w:cs="Arial" w:eastAsia="Arial" w:hAnsi="Arial"/>
          <w:sz w:val="13"/>
          <w:szCs w:val="13"/>
          <w:u w:val="single" w:color="auto"/>
          <w:color w:val="auto"/>
        </w:rPr>
        <w:t>Deposit of Redemption Price</w:t>
      </w:r>
      <w:r>
        <w:rPr>
          <w:rFonts w:ascii="Arial" w:cs="Arial" w:eastAsia="Arial" w:hAnsi="Arial"/>
          <w:sz w:val="13"/>
          <w:szCs w:val="13"/>
          <w:color w:val="auto"/>
        </w:rPr>
        <w:t>.</w:t>
      </w:r>
    </w:p>
    <w:p>
      <w:pPr>
        <w:spacing w:after="0" w:line="86" w:lineRule="exact"/>
        <w:rPr>
          <w:sz w:val="20"/>
          <w:szCs w:val="20"/>
          <w:color w:val="auto"/>
        </w:rPr>
      </w:pPr>
    </w:p>
    <w:p>
      <w:pPr>
        <w:ind w:right="340" w:firstLine="328"/>
        <w:spacing w:after="0" w:line="276" w:lineRule="auto"/>
        <w:rPr>
          <w:sz w:val="20"/>
          <w:szCs w:val="20"/>
          <w:color w:val="auto"/>
        </w:rPr>
      </w:pPr>
      <w:r>
        <w:rPr>
          <w:rFonts w:ascii="Arial" w:cs="Arial" w:eastAsia="Arial" w:hAnsi="Arial"/>
          <w:sz w:val="13"/>
          <w:szCs w:val="13"/>
          <w:color w:val="auto"/>
        </w:rPr>
        <w:t>On or before 10:00 a.m., New York City time, on the redemption date, the Company shall deposit with the Paying Agent money in immediately available funds sufficient to pay the redemption price of and accrued interest, if any, on all Securities to be redeemed on that date.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3.6. </w:t>
      </w:r>
      <w:r>
        <w:rPr>
          <w:rFonts w:ascii="Arial" w:cs="Arial" w:eastAsia="Arial" w:hAnsi="Arial"/>
          <w:sz w:val="13"/>
          <w:szCs w:val="13"/>
          <w:u w:val="single" w:color="auto"/>
          <w:color w:val="auto"/>
        </w:rPr>
        <w:t>Securities Redeemed in Part</w:t>
      </w:r>
      <w:r>
        <w:rPr>
          <w:rFonts w:ascii="Arial" w:cs="Arial" w:eastAsia="Arial" w:hAnsi="Arial"/>
          <w:sz w:val="13"/>
          <w:szCs w:val="13"/>
          <w:color w:val="auto"/>
        </w:rPr>
        <w:t>.</w:t>
      </w:r>
    </w:p>
    <w:p>
      <w:pPr>
        <w:spacing w:after="0" w:line="86" w:lineRule="exact"/>
        <w:rPr>
          <w:sz w:val="20"/>
          <w:szCs w:val="20"/>
          <w:color w:val="auto"/>
        </w:rPr>
      </w:pPr>
    </w:p>
    <w:p>
      <w:pPr>
        <w:ind w:right="120" w:firstLine="328"/>
        <w:spacing w:after="0" w:line="276" w:lineRule="auto"/>
        <w:rPr>
          <w:sz w:val="20"/>
          <w:szCs w:val="20"/>
          <w:color w:val="auto"/>
        </w:rPr>
      </w:pPr>
      <w:r>
        <w:rPr>
          <w:rFonts w:ascii="Arial" w:cs="Arial" w:eastAsia="Arial" w:hAnsi="Arial"/>
          <w:sz w:val="13"/>
          <w:szCs w:val="13"/>
          <w:color w:val="auto"/>
        </w:rPr>
        <w:t>Upon surrender of a Certificated Security that is redeemed in part, the Trustee shall authenticate for the Holder a new Certificated Security of the same Series and the same maturity equal in principal amount to the unredeemed portion of the Security surrendered.</w:t>
      </w:r>
    </w:p>
    <w:p>
      <w:pPr>
        <w:spacing w:after="0" w:line="49" w:lineRule="exact"/>
        <w:rPr>
          <w:sz w:val="20"/>
          <w:szCs w:val="20"/>
          <w:color w:val="auto"/>
        </w:rPr>
      </w:pPr>
    </w:p>
    <w:p>
      <w:pPr>
        <w:ind w:right="140" w:firstLine="328"/>
        <w:spacing w:after="0" w:line="276" w:lineRule="auto"/>
        <w:rPr>
          <w:sz w:val="20"/>
          <w:szCs w:val="20"/>
          <w:color w:val="auto"/>
        </w:rPr>
      </w:pPr>
      <w:r>
        <w:rPr>
          <w:rFonts w:ascii="Arial" w:cs="Arial" w:eastAsia="Arial" w:hAnsi="Arial"/>
          <w:sz w:val="13"/>
          <w:szCs w:val="13"/>
          <w:color w:val="auto"/>
        </w:rPr>
        <w:t>In relation to Certificated Securities, a new Security in principal amount equal to the unpurchased or unredeemed portion of any Security purchased or redeemed in part will be issued in the name of the Holder thereof upon cancellation of the original Certificated Security.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3.7. </w:t>
      </w:r>
      <w:r>
        <w:rPr>
          <w:rFonts w:ascii="Arial" w:cs="Arial" w:eastAsia="Arial" w:hAnsi="Arial"/>
          <w:sz w:val="13"/>
          <w:szCs w:val="13"/>
          <w:u w:val="single" w:color="auto"/>
          <w:color w:val="auto"/>
        </w:rPr>
        <w:t>Sinking Fund</w:t>
      </w:r>
      <w:r>
        <w:rPr>
          <w:rFonts w:ascii="Arial" w:cs="Arial" w:eastAsia="Arial" w:hAnsi="Arial"/>
          <w:sz w:val="13"/>
          <w:szCs w:val="13"/>
          <w:color w:val="auto"/>
        </w:rPr>
        <w:t>.</w:t>
      </w:r>
    </w:p>
    <w:p>
      <w:pPr>
        <w:spacing w:after="0" w:line="86"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Unless otherwise indicated for a particular Series by Board Resolution, Officer’s Certificate or supplemental indenture, the provisions of Sections 3.7, 3.8 and 3.9 shall be applicable to any sinking fund for the retirement of Securities of a Series.</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minimum amount of any sinking fund payment provided for by the terms of Securities of any series is referred to as a “mandatory sinking fund payment,” and any payment</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59" w:name="page60"/>
    <w:bookmarkEnd w:id="59"/>
    <w:p>
      <w:pPr>
        <w:jc w:val="both"/>
        <w:ind w:right="120"/>
        <w:spacing w:after="0" w:line="264" w:lineRule="auto"/>
        <w:rPr>
          <w:sz w:val="20"/>
          <w:szCs w:val="20"/>
          <w:color w:val="auto"/>
        </w:rPr>
      </w:pPr>
      <w:r>
        <w:rPr>
          <w:rFonts w:ascii="Arial" w:cs="Arial" w:eastAsia="Arial" w:hAnsi="Arial"/>
          <w:sz w:val="13"/>
          <w:szCs w:val="13"/>
          <w:color w:val="auto"/>
        </w:rPr>
        <w:t>in excess of such minimum amount provided for by the terms of Securities of any series is referred to as an “optional sinking fund payment.” If provided for by the terms of Securities of any Series, the cash amount of any sinking fund payment may be subject to reduction as provided in Section 3.8. Each sinking fund payment shall be applied to the redemption of Securities of any Series as provided for by the terms of Securities of such Series.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3.8. </w:t>
      </w:r>
      <w:r>
        <w:rPr>
          <w:rFonts w:ascii="Arial" w:cs="Arial" w:eastAsia="Arial" w:hAnsi="Arial"/>
          <w:sz w:val="13"/>
          <w:szCs w:val="13"/>
          <w:u w:val="single" w:color="auto"/>
          <w:color w:val="auto"/>
        </w:rPr>
        <w:t>Satisfaction of Sinking Fund Payments with Securities</w:t>
      </w:r>
      <w:r>
        <w:rPr>
          <w:rFonts w:ascii="Arial" w:cs="Arial" w:eastAsia="Arial" w:hAnsi="Arial"/>
          <w:sz w:val="13"/>
          <w:szCs w:val="13"/>
          <w:color w:val="auto"/>
        </w:rPr>
        <w:t>.</w:t>
      </w:r>
    </w:p>
    <w:p>
      <w:pPr>
        <w:spacing w:after="0" w:line="86" w:lineRule="exact"/>
        <w:rPr>
          <w:sz w:val="20"/>
          <w:szCs w:val="20"/>
          <w:color w:val="auto"/>
        </w:rPr>
      </w:pPr>
    </w:p>
    <w:p>
      <w:pPr>
        <w:ind w:right="40" w:firstLine="325"/>
        <w:spacing w:after="0" w:line="258" w:lineRule="auto"/>
        <w:rPr>
          <w:sz w:val="20"/>
          <w:szCs w:val="20"/>
          <w:color w:val="auto"/>
        </w:rPr>
      </w:pPr>
      <w:r>
        <w:rPr>
          <w:rFonts w:ascii="Arial" w:cs="Arial" w:eastAsia="Arial" w:hAnsi="Arial"/>
          <w:sz w:val="13"/>
          <w:szCs w:val="13"/>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3.9. </w:t>
      </w:r>
      <w:r>
        <w:rPr>
          <w:rFonts w:ascii="Arial" w:cs="Arial" w:eastAsia="Arial" w:hAnsi="Arial"/>
          <w:sz w:val="13"/>
          <w:szCs w:val="13"/>
          <w:u w:val="single" w:color="auto"/>
          <w:color w:val="auto"/>
        </w:rPr>
        <w:t>Redemption of Securities for Sinking Fund</w:t>
      </w:r>
      <w:r>
        <w:rPr>
          <w:rFonts w:ascii="Arial" w:cs="Arial" w:eastAsia="Arial" w:hAnsi="Arial"/>
          <w:sz w:val="13"/>
          <w:szCs w:val="13"/>
          <w:color w:val="auto"/>
        </w:rPr>
        <w:t>.</w:t>
      </w:r>
    </w:p>
    <w:p>
      <w:pPr>
        <w:spacing w:after="0" w:line="86" w:lineRule="exact"/>
        <w:rPr>
          <w:sz w:val="20"/>
          <w:szCs w:val="20"/>
          <w:color w:val="auto"/>
        </w:rPr>
      </w:pPr>
    </w:p>
    <w:p>
      <w:pPr>
        <w:ind w:right="20" w:firstLine="328"/>
        <w:spacing w:after="0" w:line="316" w:lineRule="auto"/>
        <w:rPr>
          <w:sz w:val="20"/>
          <w:szCs w:val="20"/>
          <w:color w:val="auto"/>
        </w:rPr>
      </w:pPr>
      <w:r>
        <w:rPr>
          <w:rFonts w:ascii="Arial" w:cs="Arial" w:eastAsia="Arial" w:hAnsi="Arial"/>
          <w:sz w:val="11"/>
          <w:szCs w:val="11"/>
          <w:color w:val="auto"/>
        </w:rPr>
        <w:t>Not less than 30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payment of cash in the currency in which the Securities of such Series are denominated (except as provided pursuant to Section 2.2), the portion thereof, if any, that is to be satisfied by delivering and crediting Securities of that Series pursuant to Section 3.8 and the basis for such credit. Together with such Officer’s Certificate, the Company will deliver to the Trustee any Securities to be so delivered. Not less than 30 days before each such sinking fund payment date the Trustee shall select the Securities to be redeemed upon such sinking fund payment date in the manner specified in Section 3.3 and cause notice of the redemption thereof to be given in the name of and at the expense of the Company in the manner provided in Section 3.3.</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3.10. </w:t>
      </w:r>
      <w:r>
        <w:rPr>
          <w:rFonts w:ascii="Arial" w:cs="Arial" w:eastAsia="Arial" w:hAnsi="Arial"/>
          <w:sz w:val="13"/>
          <w:szCs w:val="13"/>
          <w:u w:val="single" w:color="auto"/>
          <w:color w:val="auto"/>
        </w:rPr>
        <w:t>Redemption Upon Changes in Tax Law</w:t>
      </w:r>
      <w:r>
        <w:rPr>
          <w:rFonts w:ascii="Arial" w:cs="Arial" w:eastAsia="Arial" w:hAnsi="Arial"/>
          <w:sz w:val="13"/>
          <w:szCs w:val="13"/>
          <w:color w:val="auto"/>
        </w:rPr>
        <w:t>.</w:t>
      </w:r>
    </w:p>
    <w:p>
      <w:pPr>
        <w:spacing w:after="0" w:line="86" w:lineRule="exact"/>
        <w:rPr>
          <w:sz w:val="20"/>
          <w:szCs w:val="20"/>
          <w:color w:val="auto"/>
        </w:rPr>
      </w:pPr>
    </w:p>
    <w:p>
      <w:pPr>
        <w:ind w:firstLine="325"/>
        <w:spacing w:after="0" w:line="258" w:lineRule="auto"/>
        <w:rPr>
          <w:sz w:val="20"/>
          <w:szCs w:val="20"/>
          <w:color w:val="auto"/>
        </w:rPr>
      </w:pPr>
      <w:r>
        <w:rPr>
          <w:rFonts w:ascii="Arial" w:cs="Arial" w:eastAsia="Arial" w:hAnsi="Arial"/>
          <w:sz w:val="13"/>
          <w:szCs w:val="13"/>
          <w:color w:val="auto"/>
        </w:rPr>
        <w:t>The Company may redeem the Securities, in whole but not in part, at its discretion at any time upon giving notice to the Holders of such of the Securities in accordance with Section 3.3 (which notice will be irrevocable), at a redemption price equal to 100% of the aggregate principal amount thereof, together with accrued and unpaid interest, if any, to the date fixed by the Company for redemption (a “</w:t>
      </w:r>
      <w:r>
        <w:rPr>
          <w:rFonts w:ascii="Arial" w:cs="Arial" w:eastAsia="Arial" w:hAnsi="Arial"/>
          <w:sz w:val="13"/>
          <w:szCs w:val="13"/>
          <w:i w:val="1"/>
          <w:iCs w:val="1"/>
          <w:color w:val="auto"/>
        </w:rPr>
        <w:t>Tax Redemption</w:t>
      </w:r>
      <w:r>
        <w:rPr>
          <w:rFonts w:ascii="Arial" w:cs="Arial" w:eastAsia="Arial" w:hAnsi="Arial"/>
          <w:sz w:val="13"/>
          <w:szCs w:val="13"/>
          <w:color w:val="auto"/>
        </w:rPr>
        <w:t xml:space="preserve"> </w:t>
      </w:r>
      <w:r>
        <w:rPr>
          <w:rFonts w:ascii="Arial" w:cs="Arial" w:eastAsia="Arial" w:hAnsi="Arial"/>
          <w:sz w:val="13"/>
          <w:szCs w:val="13"/>
          <w:i w:val="1"/>
          <w:iCs w:val="1"/>
          <w:color w:val="auto"/>
        </w:rPr>
        <w:t>Date</w:t>
      </w:r>
      <w:r>
        <w:rPr>
          <w:rFonts w:ascii="Arial" w:cs="Arial" w:eastAsia="Arial" w:hAnsi="Arial"/>
          <w:sz w:val="13"/>
          <w:szCs w:val="13"/>
          <w:color w:val="auto"/>
        </w:rPr>
        <w:t>”) and all Additional Amounts (if any) then due and which will become due on the Tax Redemption Date as a result of the redemption or otherwise (subject to the right of Holders of such Securities on the relevant</w:t>
      </w:r>
      <w:r>
        <w:rPr>
          <w:rFonts w:ascii="Arial" w:cs="Arial" w:eastAsia="Arial" w:hAnsi="Arial"/>
          <w:sz w:val="13"/>
          <w:szCs w:val="13"/>
          <w:i w:val="1"/>
          <w:iCs w:val="1"/>
          <w:color w:val="auto"/>
        </w:rPr>
        <w:t xml:space="preserve"> </w:t>
      </w:r>
      <w:r>
        <w:rPr>
          <w:rFonts w:ascii="Arial" w:cs="Arial" w:eastAsia="Arial" w:hAnsi="Arial"/>
          <w:sz w:val="13"/>
          <w:szCs w:val="13"/>
          <w:color w:val="auto"/>
        </w:rPr>
        <w:t>record date to receive interest due on the relevant interest payment date and Additional Amounts (if any) in respect thereof), if on the next date on which any amount would be payable with respect to such Securities, the Company is or would be required to pay Additional Amounts, and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60" w:name="page61"/>
    <w:bookmarkEnd w:id="60"/>
    <w:p>
      <w:pPr>
        <w:spacing w:after="0"/>
        <w:rPr>
          <w:sz w:val="20"/>
          <w:szCs w:val="20"/>
          <w:color w:val="auto"/>
        </w:rPr>
      </w:pPr>
      <w:r>
        <w:rPr>
          <w:rFonts w:ascii="Arial" w:cs="Arial" w:eastAsia="Arial" w:hAnsi="Arial"/>
          <w:sz w:val="13"/>
          <w:szCs w:val="13"/>
          <w:color w:val="auto"/>
        </w:rPr>
        <w:t>Company cannot avoid any such payment obligation by taking reasonable measures available, and the requirement arises as a result of:</w:t>
      </w:r>
    </w:p>
    <w:p>
      <w:pPr>
        <w:spacing w:after="0" w:line="86" w:lineRule="exact"/>
        <w:rPr>
          <w:sz w:val="20"/>
          <w:szCs w:val="20"/>
          <w:color w:val="auto"/>
        </w:rPr>
      </w:pPr>
    </w:p>
    <w:p>
      <w:pPr>
        <w:ind w:left="220" w:firstLine="172"/>
        <w:spacing w:after="0" w:line="276" w:lineRule="auto"/>
        <w:tabs>
          <w:tab w:leader="none" w:pos="562" w:val="left"/>
        </w:tabs>
        <w:numPr>
          <w:ilvl w:val="0"/>
          <w:numId w:val="37"/>
        </w:numPr>
        <w:rPr>
          <w:rFonts w:ascii="Arial" w:cs="Arial" w:eastAsia="Arial" w:hAnsi="Arial"/>
          <w:sz w:val="13"/>
          <w:szCs w:val="13"/>
          <w:color w:val="auto"/>
        </w:rPr>
      </w:pPr>
      <w:r>
        <w:rPr>
          <w:rFonts w:ascii="Arial" w:cs="Arial" w:eastAsia="Arial" w:hAnsi="Arial"/>
          <w:sz w:val="13"/>
          <w:szCs w:val="13"/>
          <w:color w:val="auto"/>
        </w:rPr>
        <w:t>any amendment to, or change in, the laws (or any regulations or rulings promulgated thereunder) of a relevant Tax Jurisdiction which change or amendment becomes effective on or after the Issue Date (or, if the applicable Tax Jurisdiction became a Tax Jurisdiction on a date after the Issue Date, such later date), or</w:t>
      </w:r>
    </w:p>
    <w:p>
      <w:pPr>
        <w:spacing w:after="0" w:line="49" w:lineRule="exact"/>
        <w:rPr>
          <w:rFonts w:ascii="Arial" w:cs="Arial" w:eastAsia="Arial" w:hAnsi="Arial"/>
          <w:sz w:val="13"/>
          <w:szCs w:val="13"/>
          <w:color w:val="auto"/>
        </w:rPr>
      </w:pPr>
    </w:p>
    <w:p>
      <w:pPr>
        <w:ind w:left="220" w:firstLine="172"/>
        <w:spacing w:after="0" w:line="264" w:lineRule="auto"/>
        <w:tabs>
          <w:tab w:leader="none" w:pos="569" w:val="left"/>
        </w:tabs>
        <w:numPr>
          <w:ilvl w:val="0"/>
          <w:numId w:val="37"/>
        </w:numPr>
        <w:rPr>
          <w:rFonts w:ascii="Arial" w:cs="Arial" w:eastAsia="Arial" w:hAnsi="Arial"/>
          <w:sz w:val="13"/>
          <w:szCs w:val="13"/>
          <w:color w:val="auto"/>
        </w:rPr>
      </w:pPr>
      <w:r>
        <w:rPr>
          <w:rFonts w:ascii="Arial" w:cs="Arial" w:eastAsia="Arial" w:hAnsi="Arial"/>
          <w:sz w:val="13"/>
          <w:szCs w:val="13"/>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Tax Jurisdiction became a Tax Jurisdiction on a date after the Issue Date, such later date).</w:t>
      </w:r>
    </w:p>
    <w:p>
      <w:pPr>
        <w:spacing w:after="0" w:line="57" w:lineRule="exact"/>
        <w:rPr>
          <w:sz w:val="20"/>
          <w:szCs w:val="20"/>
          <w:color w:val="auto"/>
        </w:rPr>
      </w:pPr>
    </w:p>
    <w:p>
      <w:pPr>
        <w:ind w:firstLine="325"/>
        <w:spacing w:after="0" w:line="285" w:lineRule="auto"/>
        <w:rPr>
          <w:sz w:val="20"/>
          <w:szCs w:val="20"/>
          <w:color w:val="auto"/>
        </w:rPr>
      </w:pPr>
      <w:r>
        <w:rPr>
          <w:rFonts w:ascii="Arial" w:cs="Arial" w:eastAsia="Arial" w:hAnsi="Arial"/>
          <w:sz w:val="12"/>
          <w:szCs w:val="12"/>
          <w:color w:val="auto"/>
        </w:rPr>
        <w:t>The Company, as applicable, will not give any such notice of redemption earlier than 90 days prior to the earliest date on which the Company would be obligated to make such payment or withholding if a payment with respect to the applicable Securities was then due, and the obligation to pay Additional Amounts must be in effect at the time such notice is given. Prior to the publication or, where relevant, mailing of any notice of redemption of the Securities pursuant to the foregoing, the Company will deliver to the Trustee an opinion of independent tax counsel to the effect that there has been such amendment or change which would entitle the Company to redeem such Securities hereunder. In addition, before the Company publishes or mails notice of redemption of such Securities as described above, it will deliver to the Trustee an Officer’s Certificate to the effect that it cannot avoid its obligation to pay Additional Amounts by taking reasonable measures available to the Company.</w:t>
      </w:r>
    </w:p>
    <w:p>
      <w:pPr>
        <w:spacing w:after="0" w:line="46" w:lineRule="exact"/>
        <w:rPr>
          <w:sz w:val="20"/>
          <w:szCs w:val="20"/>
          <w:color w:val="auto"/>
        </w:rPr>
      </w:pPr>
    </w:p>
    <w:p>
      <w:pPr>
        <w:ind w:right="60" w:firstLine="325"/>
        <w:spacing w:after="0" w:line="276" w:lineRule="auto"/>
        <w:rPr>
          <w:sz w:val="20"/>
          <w:szCs w:val="20"/>
          <w:color w:val="auto"/>
        </w:rPr>
      </w:pPr>
      <w:r>
        <w:rPr>
          <w:rFonts w:ascii="Arial" w:cs="Arial" w:eastAsia="Arial" w:hAnsi="Arial"/>
          <w:sz w:val="13"/>
          <w:szCs w:val="13"/>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Securities.</w:t>
      </w:r>
    </w:p>
    <w:p>
      <w:pPr>
        <w:spacing w:after="0" w:line="49" w:lineRule="exact"/>
        <w:rPr>
          <w:sz w:val="20"/>
          <w:szCs w:val="20"/>
          <w:color w:val="auto"/>
        </w:rPr>
      </w:pPr>
    </w:p>
    <w:p>
      <w:pPr>
        <w:ind w:right="200" w:firstLine="325"/>
        <w:spacing w:after="0" w:line="276" w:lineRule="auto"/>
        <w:rPr>
          <w:sz w:val="20"/>
          <w:szCs w:val="20"/>
          <w:color w:val="auto"/>
        </w:rPr>
      </w:pPr>
      <w:r>
        <w:rPr>
          <w:rFonts w:ascii="Arial" w:cs="Arial" w:eastAsia="Arial" w:hAnsi="Arial"/>
          <w:sz w:val="13"/>
          <w:szCs w:val="13"/>
          <w:color w:val="auto"/>
        </w:rPr>
        <w:t xml:space="preserve">The foregoing will apply </w:t>
      </w:r>
      <w:r>
        <w:rPr>
          <w:rFonts w:ascii="Arial" w:cs="Arial" w:eastAsia="Arial" w:hAnsi="Arial"/>
          <w:sz w:val="13"/>
          <w:szCs w:val="13"/>
          <w:i w:val="1"/>
          <w:iCs w:val="1"/>
          <w:color w:val="auto"/>
        </w:rPr>
        <w:t>mutatis mutandis</w:t>
      </w:r>
      <w:r>
        <w:rPr>
          <w:rFonts w:ascii="Arial" w:cs="Arial" w:eastAsia="Arial" w:hAnsi="Arial"/>
          <w:sz w:val="13"/>
          <w:szCs w:val="13"/>
          <w:color w:val="auto"/>
        </w:rPr>
        <w:t xml:space="preserve"> to any jurisdiction in which any successor Person to the Company is incorporated or organized, or any jurisdiction from or through which payment is made by or on behalf of such Person on the Securities and any political subdivision thereof or therein.</w:t>
      </w:r>
    </w:p>
    <w:p>
      <w:pPr>
        <w:spacing w:after="0" w:line="207"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ARTICLE IV.</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COVENANTS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4.1. </w:t>
      </w:r>
      <w:r>
        <w:rPr>
          <w:rFonts w:ascii="Arial" w:cs="Arial" w:eastAsia="Arial" w:hAnsi="Arial"/>
          <w:sz w:val="13"/>
          <w:szCs w:val="13"/>
          <w:u w:val="single" w:color="auto"/>
          <w:color w:val="auto"/>
        </w:rPr>
        <w:t>Payment of Principal, Premium and Interest</w:t>
      </w:r>
      <w:r>
        <w:rPr>
          <w:rFonts w:ascii="Arial" w:cs="Arial" w:eastAsia="Arial" w:hAnsi="Arial"/>
          <w:sz w:val="13"/>
          <w:szCs w:val="13"/>
          <w:color w:val="auto"/>
        </w:rPr>
        <w:t>.</w:t>
      </w:r>
    </w:p>
    <w:p>
      <w:pPr>
        <w:spacing w:after="0" w:line="86" w:lineRule="exact"/>
        <w:rPr>
          <w:sz w:val="20"/>
          <w:szCs w:val="20"/>
          <w:color w:val="auto"/>
        </w:rPr>
      </w:pPr>
    </w:p>
    <w:p>
      <w:pPr>
        <w:ind w:right="100" w:firstLine="325"/>
        <w:spacing w:after="0" w:line="264" w:lineRule="auto"/>
        <w:rPr>
          <w:sz w:val="20"/>
          <w:szCs w:val="20"/>
          <w:color w:val="auto"/>
        </w:rPr>
      </w:pPr>
      <w:r>
        <w:rPr>
          <w:rFonts w:ascii="Arial" w:cs="Arial" w:eastAsia="Arial" w:hAnsi="Arial"/>
          <w:sz w:val="13"/>
          <w:szCs w:val="13"/>
          <w:color w:val="auto"/>
        </w:rPr>
        <w:t>The Company covenants and agrees for the benefit of the Holders of each Series of Securities that it will duly and punctually pay the principal of, premium, if any, and interest, on the Securities of that Series in accordance with the terms of such Securities and this Indenture. Unless otherwise provided by Board Resolution, Officer’s Certificate or supplemental indenture for a particular Series, on or before 10:00 a.m., New York City time, on the applicable payment date, the Company shall deposit with the Paying Agent money sufficient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61" w:name="page62"/>
    <w:bookmarkEnd w:id="61"/>
    <w:p>
      <w:pPr>
        <w:spacing w:after="0"/>
        <w:rPr>
          <w:sz w:val="20"/>
          <w:szCs w:val="20"/>
          <w:color w:val="auto"/>
        </w:rPr>
      </w:pPr>
      <w:r>
        <w:rPr>
          <w:rFonts w:ascii="Arial" w:cs="Arial" w:eastAsia="Arial" w:hAnsi="Arial"/>
          <w:sz w:val="13"/>
          <w:szCs w:val="13"/>
          <w:color w:val="auto"/>
        </w:rPr>
        <w:t>to pay the principal of, premium, if any, and interest on the Securities of each such Series in accordance with the terms of such Securities and this Indenture.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4.2. </w:t>
      </w:r>
      <w:r>
        <w:rPr>
          <w:rFonts w:ascii="Arial" w:cs="Arial" w:eastAsia="Arial" w:hAnsi="Arial"/>
          <w:sz w:val="13"/>
          <w:szCs w:val="13"/>
          <w:u w:val="single" w:color="auto"/>
          <w:color w:val="auto"/>
        </w:rPr>
        <w:t>Compliance Certificate</w:t>
      </w:r>
      <w:r>
        <w:rPr>
          <w:rFonts w:ascii="Arial" w:cs="Arial" w:eastAsia="Arial" w:hAnsi="Arial"/>
          <w:sz w:val="13"/>
          <w:szCs w:val="13"/>
          <w:color w:val="auto"/>
        </w:rPr>
        <w:t>.</w:t>
      </w:r>
    </w:p>
    <w:p>
      <w:pPr>
        <w:spacing w:after="0" w:line="86" w:lineRule="exact"/>
        <w:rPr>
          <w:sz w:val="20"/>
          <w:szCs w:val="20"/>
          <w:color w:val="auto"/>
        </w:rPr>
      </w:pPr>
    </w:p>
    <w:p>
      <w:pPr>
        <w:ind w:firstLine="325"/>
        <w:spacing w:after="0" w:line="257" w:lineRule="auto"/>
        <w:rPr>
          <w:sz w:val="20"/>
          <w:szCs w:val="20"/>
          <w:color w:val="auto"/>
        </w:rPr>
      </w:pPr>
      <w:r>
        <w:rPr>
          <w:rFonts w:ascii="Arial" w:cs="Arial" w:eastAsia="Arial" w:hAnsi="Arial"/>
          <w:sz w:val="13"/>
          <w:szCs w:val="13"/>
          <w:color w:val="auto"/>
        </w:rPr>
        <w:t>The Company shall deliver to the Trustee, within 120 days after the end of its fiscal year (which as of the date of this Indenture is December 31, or if the fiscal year with respect to the Company is changed so that it ends on a date other than December 31, such other fiscal year end date as the Company shall notify to the Trustee in writing) of the Company,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each such Officer signing such certificate, that to his/her knowledge the Company is not in default in the performance or observance of any of the terms, provisions and conditions hereof (or, if a Default or Event of Default shall have occurred, describing all such Defaults or Events of Default of which he may have knowledge). Such Officer’s Certificate need not include a reference to any non-compliance that has been fully cured prior to the date as of which such certificate speaks.</w:t>
      </w:r>
    </w:p>
    <w:p>
      <w:pPr>
        <w:spacing w:after="0" w:line="62" w:lineRule="exact"/>
        <w:rPr>
          <w:sz w:val="20"/>
          <w:szCs w:val="20"/>
          <w:color w:val="auto"/>
        </w:rPr>
      </w:pPr>
    </w:p>
    <w:p>
      <w:pPr>
        <w:ind w:right="20" w:firstLine="325"/>
        <w:spacing w:after="0" w:line="276" w:lineRule="auto"/>
        <w:rPr>
          <w:sz w:val="20"/>
          <w:szCs w:val="20"/>
          <w:color w:val="auto"/>
        </w:rPr>
      </w:pPr>
      <w:r>
        <w:rPr>
          <w:rFonts w:ascii="Arial" w:cs="Arial" w:eastAsia="Arial" w:hAnsi="Arial"/>
          <w:sz w:val="13"/>
          <w:szCs w:val="13"/>
          <w:color w:val="auto"/>
        </w:rPr>
        <w:t>The Company will, so long as any of the Securities are outstanding, deliver to the Trustee, within 30 days upon becoming aware of any Default or Event of Default, an Officer’s Certificate specifying such Default or Event of Default and what action the Company is taking or proposes to take with respect thereto.</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4.3. </w:t>
      </w:r>
      <w:r>
        <w:rPr>
          <w:rFonts w:ascii="Arial" w:cs="Arial" w:eastAsia="Arial" w:hAnsi="Arial"/>
          <w:sz w:val="13"/>
          <w:szCs w:val="13"/>
          <w:u w:val="single" w:color="auto"/>
          <w:color w:val="auto"/>
        </w:rPr>
        <w:t>Stay, Extension and Usury Laws</w:t>
      </w:r>
      <w:r>
        <w:rPr>
          <w:rFonts w:ascii="Arial" w:cs="Arial" w:eastAsia="Arial" w:hAnsi="Arial"/>
          <w:sz w:val="13"/>
          <w:szCs w:val="13"/>
          <w:color w:val="auto"/>
        </w:rPr>
        <w:t>.</w:t>
      </w:r>
    </w:p>
    <w:p>
      <w:pPr>
        <w:spacing w:after="0" w:line="86" w:lineRule="exact"/>
        <w:rPr>
          <w:sz w:val="20"/>
          <w:szCs w:val="20"/>
          <w:color w:val="auto"/>
        </w:rPr>
      </w:pPr>
    </w:p>
    <w:p>
      <w:pPr>
        <w:ind w:right="80" w:firstLine="325"/>
        <w:spacing w:after="0" w:line="260" w:lineRule="auto"/>
        <w:rPr>
          <w:sz w:val="20"/>
          <w:szCs w:val="20"/>
          <w:color w:val="auto"/>
        </w:rPr>
      </w:pPr>
      <w:r>
        <w:rPr>
          <w:rFonts w:ascii="Arial" w:cs="Arial" w:eastAsia="Arial" w:hAnsi="Arial"/>
          <w:sz w:val="13"/>
          <w:szCs w:val="13"/>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4.4. </w:t>
      </w:r>
      <w:r>
        <w:rPr>
          <w:rFonts w:ascii="Arial" w:cs="Arial" w:eastAsia="Arial" w:hAnsi="Arial"/>
          <w:sz w:val="13"/>
          <w:szCs w:val="13"/>
          <w:u w:val="single" w:color="auto"/>
          <w:color w:val="auto"/>
        </w:rPr>
        <w:t>Corporate Existence</w:t>
      </w:r>
      <w:r>
        <w:rPr>
          <w:rFonts w:ascii="Arial" w:cs="Arial" w:eastAsia="Arial" w:hAnsi="Arial"/>
          <w:sz w:val="13"/>
          <w:szCs w:val="13"/>
          <w:color w:val="auto"/>
        </w:rPr>
        <w:t>.</w:t>
      </w:r>
    </w:p>
    <w:p>
      <w:pPr>
        <w:spacing w:after="0" w:line="86" w:lineRule="exact"/>
        <w:rPr>
          <w:sz w:val="20"/>
          <w:szCs w:val="20"/>
          <w:color w:val="auto"/>
        </w:rPr>
      </w:pPr>
    </w:p>
    <w:p>
      <w:pPr>
        <w:ind w:right="60" w:firstLine="328"/>
        <w:spacing w:after="0" w:line="264" w:lineRule="auto"/>
        <w:rPr>
          <w:sz w:val="20"/>
          <w:szCs w:val="20"/>
          <w:color w:val="auto"/>
        </w:rPr>
      </w:pPr>
      <w:r>
        <w:rPr>
          <w:rFonts w:ascii="Arial" w:cs="Arial" w:eastAsia="Arial" w:hAnsi="Arial"/>
          <w:sz w:val="13"/>
          <w:szCs w:val="13"/>
          <w:color w:val="auto"/>
        </w:rPr>
        <w:t xml:space="preserve">Subject to Article V, the Company will do or cause to be done all things necessary to preserve and keep in full force and effect its corporate existence and rights (charter and statutory);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Company shall not be required to preserve any such right if its Board of Directors shall determine that the preservation thereof is no longer desirable in the conduct of its business and its Subsidiaries taken as a whole and that the loss thereof is not adverse in any material respect to the Holders of the Securities.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4.5. </w:t>
      </w:r>
      <w:r>
        <w:rPr>
          <w:rFonts w:ascii="Arial" w:cs="Arial" w:eastAsia="Arial" w:hAnsi="Arial"/>
          <w:sz w:val="13"/>
          <w:szCs w:val="13"/>
          <w:u w:val="single" w:color="auto"/>
          <w:color w:val="auto"/>
        </w:rPr>
        <w:t>Limitation on Liens</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Company will not, and will not permit any of its respective Subsidiaries to, incur, issue, assume or guarantee any notes, bonds, debentures or other similar evidences of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62" w:name="page63"/>
    <w:bookmarkEnd w:id="62"/>
    <w:p>
      <w:pPr>
        <w:ind w:left="1" w:right="120"/>
        <w:spacing w:after="0" w:line="301" w:lineRule="auto"/>
        <w:rPr>
          <w:sz w:val="20"/>
          <w:szCs w:val="20"/>
          <w:color w:val="auto"/>
        </w:rPr>
      </w:pPr>
      <w:r>
        <w:rPr>
          <w:rFonts w:ascii="Arial" w:cs="Arial" w:eastAsia="Arial" w:hAnsi="Arial"/>
          <w:sz w:val="11"/>
          <w:szCs w:val="11"/>
          <w:color w:val="auto"/>
        </w:rPr>
        <w:t>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Securities (together with, if the Company shall so determine, any of its other indebtedness or the indebtedness of any such Restricted Subsidiary then existing or thereafter created ranking on a parity with the Securities)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w:t>
      </w:r>
    </w:p>
    <w:p>
      <w:pPr>
        <w:spacing w:after="0" w:line="2" w:lineRule="exact"/>
        <w:rPr>
          <w:sz w:val="20"/>
          <w:szCs w:val="20"/>
          <w:color w:val="auto"/>
        </w:rPr>
      </w:pPr>
    </w:p>
    <w:p>
      <w:pPr>
        <w:ind w:left="181" w:hanging="181"/>
        <w:spacing w:after="0"/>
        <w:tabs>
          <w:tab w:leader="none" w:pos="181" w:val="left"/>
        </w:tabs>
        <w:numPr>
          <w:ilvl w:val="0"/>
          <w:numId w:val="38"/>
        </w:numPr>
        <w:rPr>
          <w:rFonts w:ascii="Arial" w:cs="Arial" w:eastAsia="Arial" w:hAnsi="Arial"/>
          <w:sz w:val="12"/>
          <w:szCs w:val="12"/>
          <w:color w:val="auto"/>
        </w:rPr>
      </w:pPr>
      <w:r>
        <w:rPr>
          <w:rFonts w:ascii="Arial" w:cs="Arial" w:eastAsia="Arial" w:hAnsi="Arial"/>
          <w:sz w:val="12"/>
          <w:szCs w:val="12"/>
          <w:color w:val="auto"/>
        </w:rPr>
        <w:t xml:space="preserve">through (10) below) would not exceed 20% of Consolidated Net Worth as shown on the Company’s most recent consolidated quarterly financial statements;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these provisions shall not apply</w:t>
      </w:r>
    </w:p>
    <w:p>
      <w:pPr>
        <w:spacing w:after="0" w:line="19"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3"/>
          <w:szCs w:val="13"/>
          <w:color w:val="auto"/>
        </w:rPr>
        <w:t>to:</w:t>
      </w:r>
    </w:p>
    <w:p>
      <w:pPr>
        <w:spacing w:after="0" w:line="78" w:lineRule="exact"/>
        <w:rPr>
          <w:rFonts w:ascii="Arial" w:cs="Arial" w:eastAsia="Arial" w:hAnsi="Arial"/>
          <w:sz w:val="12"/>
          <w:szCs w:val="12"/>
          <w:color w:val="auto"/>
        </w:rPr>
      </w:pPr>
    </w:p>
    <w:p>
      <w:pPr>
        <w:ind w:left="561" w:hanging="168"/>
        <w:spacing w:after="0"/>
        <w:tabs>
          <w:tab w:leader="none" w:pos="561" w:val="left"/>
        </w:tabs>
        <w:numPr>
          <w:ilvl w:val="1"/>
          <w:numId w:val="38"/>
        </w:numPr>
        <w:rPr>
          <w:rFonts w:ascii="Arial" w:cs="Arial" w:eastAsia="Arial" w:hAnsi="Arial"/>
          <w:sz w:val="13"/>
          <w:szCs w:val="13"/>
          <w:color w:val="auto"/>
        </w:rPr>
      </w:pPr>
      <w:r>
        <w:rPr>
          <w:rFonts w:ascii="Arial" w:cs="Arial" w:eastAsia="Arial" w:hAnsi="Arial"/>
          <w:sz w:val="13"/>
          <w:szCs w:val="13"/>
          <w:color w:val="auto"/>
        </w:rPr>
        <w:t>Mortgages existing on the date of original issuance of the Securities;</w:t>
      </w:r>
    </w:p>
    <w:p>
      <w:pPr>
        <w:spacing w:after="0" w:line="86" w:lineRule="exact"/>
        <w:rPr>
          <w:rFonts w:ascii="Arial" w:cs="Arial" w:eastAsia="Arial" w:hAnsi="Arial"/>
          <w:sz w:val="13"/>
          <w:szCs w:val="13"/>
          <w:color w:val="auto"/>
        </w:rPr>
      </w:pPr>
    </w:p>
    <w:p>
      <w:pPr>
        <w:ind w:left="221" w:right="100" w:firstLine="172"/>
        <w:spacing w:after="0" w:line="276" w:lineRule="auto"/>
        <w:tabs>
          <w:tab w:leader="none" w:pos="571" w:val="left"/>
        </w:tabs>
        <w:numPr>
          <w:ilvl w:val="1"/>
          <w:numId w:val="38"/>
        </w:numPr>
        <w:rPr>
          <w:rFonts w:ascii="Arial" w:cs="Arial" w:eastAsia="Arial" w:hAnsi="Arial"/>
          <w:sz w:val="13"/>
          <w:szCs w:val="13"/>
          <w:color w:val="auto"/>
        </w:rPr>
      </w:pPr>
      <w:r>
        <w:rPr>
          <w:rFonts w:ascii="Arial" w:cs="Arial" w:eastAsia="Arial" w:hAnsi="Arial"/>
          <w:sz w:val="13"/>
          <w:szCs w:val="13"/>
          <w:color w:val="auto"/>
        </w:rPr>
        <w:t>Mortgages on property or assets of, or on any shares of stock, ownership interests in or indebtedness of, any Person existing at the time such Person becomes a Subsidiary (including a Restricted Subsidiary) of the Company;</w:t>
      </w:r>
    </w:p>
    <w:p>
      <w:pPr>
        <w:spacing w:after="0" w:line="49" w:lineRule="exact"/>
        <w:rPr>
          <w:rFonts w:ascii="Arial" w:cs="Arial" w:eastAsia="Arial" w:hAnsi="Arial"/>
          <w:sz w:val="13"/>
          <w:szCs w:val="13"/>
          <w:color w:val="auto"/>
        </w:rPr>
      </w:pPr>
    </w:p>
    <w:p>
      <w:pPr>
        <w:jc w:val="both"/>
        <w:ind w:left="221" w:firstLine="172"/>
        <w:spacing w:after="0" w:line="260" w:lineRule="auto"/>
        <w:tabs>
          <w:tab w:leader="none" w:pos="563" w:val="left"/>
        </w:tabs>
        <w:numPr>
          <w:ilvl w:val="1"/>
          <w:numId w:val="38"/>
        </w:numPr>
        <w:rPr>
          <w:rFonts w:ascii="Arial" w:cs="Arial" w:eastAsia="Arial" w:hAnsi="Arial"/>
          <w:sz w:val="13"/>
          <w:szCs w:val="13"/>
          <w:color w:val="auto"/>
        </w:rPr>
      </w:pPr>
      <w:r>
        <w:rPr>
          <w:rFonts w:ascii="Arial" w:cs="Arial" w:eastAsia="Arial" w:hAnsi="Arial"/>
          <w:sz w:val="13"/>
          <w:szCs w:val="13"/>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59" w:lineRule="exact"/>
        <w:rPr>
          <w:rFonts w:ascii="Arial" w:cs="Arial" w:eastAsia="Arial" w:hAnsi="Arial"/>
          <w:sz w:val="13"/>
          <w:szCs w:val="13"/>
          <w:color w:val="auto"/>
        </w:rPr>
      </w:pPr>
    </w:p>
    <w:p>
      <w:pPr>
        <w:ind w:left="581" w:hanging="188"/>
        <w:spacing w:after="0"/>
        <w:tabs>
          <w:tab w:leader="none" w:pos="581" w:val="left"/>
        </w:tabs>
        <w:numPr>
          <w:ilvl w:val="1"/>
          <w:numId w:val="38"/>
        </w:numPr>
        <w:rPr>
          <w:rFonts w:ascii="Arial" w:cs="Arial" w:eastAsia="Arial" w:hAnsi="Arial"/>
          <w:sz w:val="13"/>
          <w:szCs w:val="13"/>
          <w:color w:val="auto"/>
        </w:rPr>
      </w:pPr>
      <w:r>
        <w:rPr>
          <w:rFonts w:ascii="Arial" w:cs="Arial" w:eastAsia="Arial" w:hAnsi="Arial"/>
          <w:sz w:val="13"/>
          <w:szCs w:val="13"/>
          <w:color w:val="auto"/>
        </w:rPr>
        <w:t>Mortgages in favor of the Company or any of its Subsidiaries;</w:t>
      </w:r>
    </w:p>
    <w:p>
      <w:pPr>
        <w:spacing w:after="0" w:line="86" w:lineRule="exact"/>
        <w:rPr>
          <w:rFonts w:ascii="Arial" w:cs="Arial" w:eastAsia="Arial" w:hAnsi="Arial"/>
          <w:sz w:val="13"/>
          <w:szCs w:val="13"/>
          <w:color w:val="auto"/>
        </w:rPr>
      </w:pPr>
    </w:p>
    <w:p>
      <w:pPr>
        <w:ind w:left="221" w:right="60" w:firstLine="172"/>
        <w:spacing w:after="0" w:line="264" w:lineRule="auto"/>
        <w:tabs>
          <w:tab w:leader="none" w:pos="563" w:val="left"/>
        </w:tabs>
        <w:numPr>
          <w:ilvl w:val="1"/>
          <w:numId w:val="38"/>
        </w:numPr>
        <w:rPr>
          <w:rFonts w:ascii="Arial" w:cs="Arial" w:eastAsia="Arial" w:hAnsi="Arial"/>
          <w:sz w:val="13"/>
          <w:szCs w:val="13"/>
          <w:color w:val="auto"/>
        </w:rPr>
      </w:pPr>
      <w:r>
        <w:rPr>
          <w:rFonts w:ascii="Arial" w:cs="Arial" w:eastAsia="Arial" w:hAnsi="Arial"/>
          <w:sz w:val="13"/>
          <w:szCs w:val="13"/>
          <w:color w:val="auto"/>
        </w:rPr>
        <w:t>the Mortgage of any of the Company’s property or assets or any property or assets of any of its Restricted Subsidiaries in favor of the United States of America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57" w:lineRule="exact"/>
        <w:rPr>
          <w:rFonts w:ascii="Arial" w:cs="Arial" w:eastAsia="Arial" w:hAnsi="Arial"/>
          <w:sz w:val="13"/>
          <w:szCs w:val="13"/>
          <w:color w:val="auto"/>
        </w:rPr>
      </w:pPr>
    </w:p>
    <w:p>
      <w:pPr>
        <w:ind w:left="561" w:hanging="168"/>
        <w:spacing w:after="0"/>
        <w:tabs>
          <w:tab w:leader="none" w:pos="561" w:val="left"/>
        </w:tabs>
        <w:numPr>
          <w:ilvl w:val="1"/>
          <w:numId w:val="38"/>
        </w:numPr>
        <w:rPr>
          <w:rFonts w:ascii="Arial" w:cs="Arial" w:eastAsia="Arial" w:hAnsi="Arial"/>
          <w:sz w:val="13"/>
          <w:szCs w:val="13"/>
          <w:color w:val="auto"/>
        </w:rPr>
      </w:pPr>
      <w:r>
        <w:rPr>
          <w:rFonts w:ascii="Arial" w:cs="Arial" w:eastAsia="Arial" w:hAnsi="Arial"/>
          <w:sz w:val="13"/>
          <w:szCs w:val="13"/>
          <w:color w:val="auto"/>
        </w:rPr>
        <w:t>the Mortgage of any property or assets to secure indebtedness of the pollution control, industrial revenue or other revenue bond type;</w:t>
      </w:r>
    </w:p>
    <w:p>
      <w:pPr>
        <w:spacing w:after="0" w:line="86" w:lineRule="exact"/>
        <w:rPr>
          <w:rFonts w:ascii="Arial" w:cs="Arial" w:eastAsia="Arial" w:hAnsi="Arial"/>
          <w:sz w:val="13"/>
          <w:szCs w:val="13"/>
          <w:color w:val="auto"/>
        </w:rPr>
      </w:pPr>
    </w:p>
    <w:p>
      <w:pPr>
        <w:ind w:left="221" w:firstLine="172"/>
        <w:spacing w:after="0" w:line="264" w:lineRule="auto"/>
        <w:tabs>
          <w:tab w:leader="none" w:pos="571" w:val="left"/>
        </w:tabs>
        <w:numPr>
          <w:ilvl w:val="1"/>
          <w:numId w:val="38"/>
        </w:numPr>
        <w:rPr>
          <w:rFonts w:ascii="Arial" w:cs="Arial" w:eastAsia="Arial" w:hAnsi="Arial"/>
          <w:sz w:val="13"/>
          <w:szCs w:val="13"/>
          <w:color w:val="auto"/>
        </w:rPr>
      </w:pPr>
      <w:r>
        <w:rPr>
          <w:rFonts w:ascii="Arial" w:cs="Arial" w:eastAsia="Arial" w:hAnsi="Arial"/>
          <w:sz w:val="13"/>
          <w:szCs w:val="13"/>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63" w:name="page64"/>
    <w:bookmarkEnd w:id="63"/>
    <w:p>
      <w:pPr>
        <w:ind w:left="60" w:right="500" w:firstLine="172"/>
        <w:spacing w:after="0" w:line="276" w:lineRule="auto"/>
        <w:tabs>
          <w:tab w:leader="none" w:pos="409" w:val="left"/>
        </w:tabs>
        <w:numPr>
          <w:ilvl w:val="0"/>
          <w:numId w:val="39"/>
        </w:numPr>
        <w:rPr>
          <w:rFonts w:ascii="Arial" w:cs="Arial" w:eastAsia="Arial" w:hAnsi="Arial"/>
          <w:sz w:val="13"/>
          <w:szCs w:val="13"/>
          <w:color w:val="auto"/>
        </w:rPr>
      </w:pPr>
      <w:r>
        <w:rPr>
          <w:rFonts w:ascii="Arial" w:cs="Arial" w:eastAsia="Arial" w:hAnsi="Arial"/>
          <w:sz w:val="13"/>
          <w:szCs w:val="13"/>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49" w:lineRule="exact"/>
        <w:rPr>
          <w:rFonts w:ascii="Arial" w:cs="Arial" w:eastAsia="Arial" w:hAnsi="Arial"/>
          <w:sz w:val="13"/>
          <w:szCs w:val="13"/>
          <w:color w:val="auto"/>
        </w:rPr>
      </w:pPr>
    </w:p>
    <w:p>
      <w:pPr>
        <w:ind w:left="380" w:hanging="148"/>
        <w:spacing w:after="0"/>
        <w:tabs>
          <w:tab w:leader="none" w:pos="3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Mortgages created in connection with the acquisition of property or assets, or a project financed with, Non-recourse Debt; and</w:t>
      </w:r>
    </w:p>
    <w:p>
      <w:pPr>
        <w:spacing w:after="0" w:line="86" w:lineRule="exact"/>
        <w:rPr>
          <w:rFonts w:ascii="Arial" w:cs="Arial" w:eastAsia="Arial" w:hAnsi="Arial"/>
          <w:sz w:val="13"/>
          <w:szCs w:val="13"/>
          <w:color w:val="auto"/>
        </w:rPr>
      </w:pPr>
    </w:p>
    <w:p>
      <w:pPr>
        <w:ind w:left="60" w:right="160" w:firstLine="172"/>
        <w:spacing w:after="0" w:line="371" w:lineRule="auto"/>
        <w:tabs>
          <w:tab w:leader="none" w:pos="380" w:val="left"/>
        </w:tabs>
        <w:numPr>
          <w:ilvl w:val="0"/>
          <w:numId w:val="39"/>
        </w:numPr>
        <w:rPr>
          <w:rFonts w:ascii="Arial" w:cs="Arial" w:eastAsia="Arial" w:hAnsi="Arial"/>
          <w:sz w:val="11"/>
          <w:szCs w:val="11"/>
          <w:color w:val="auto"/>
        </w:rPr>
      </w:pPr>
      <w:r>
        <w:rPr>
          <w:rFonts w:ascii="Arial" w:cs="Arial" w:eastAsia="Arial" w:hAnsi="Arial"/>
          <w:sz w:val="11"/>
          <w:szCs w:val="11"/>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4.6. </w:t>
      </w:r>
      <w:r>
        <w:rPr>
          <w:rFonts w:ascii="Arial" w:cs="Arial" w:eastAsia="Arial" w:hAnsi="Arial"/>
          <w:sz w:val="13"/>
          <w:szCs w:val="13"/>
          <w:u w:val="single" w:color="auto"/>
          <w:color w:val="auto"/>
        </w:rPr>
        <w:t>Additional Amounts</w:t>
      </w:r>
      <w:r>
        <w:rPr>
          <w:rFonts w:ascii="Arial" w:cs="Arial" w:eastAsia="Arial" w:hAnsi="Arial"/>
          <w:sz w:val="13"/>
          <w:szCs w:val="13"/>
          <w:color w:val="auto"/>
        </w:rPr>
        <w:t>.</w:t>
      </w:r>
    </w:p>
    <w:p>
      <w:pPr>
        <w:spacing w:after="0" w:line="86" w:lineRule="exact"/>
        <w:rPr>
          <w:sz w:val="20"/>
          <w:szCs w:val="20"/>
          <w:color w:val="auto"/>
        </w:rPr>
      </w:pPr>
    </w:p>
    <w:p>
      <w:pPr>
        <w:ind w:left="60" w:right="40" w:firstLine="172"/>
        <w:spacing w:after="0" w:line="279" w:lineRule="auto"/>
        <w:tabs>
          <w:tab w:leader="none" w:pos="402" w:val="left"/>
        </w:tabs>
        <w:numPr>
          <w:ilvl w:val="0"/>
          <w:numId w:val="40"/>
        </w:numPr>
        <w:rPr>
          <w:rFonts w:ascii="Arial" w:cs="Arial" w:eastAsia="Arial" w:hAnsi="Arial"/>
          <w:sz w:val="12"/>
          <w:szCs w:val="12"/>
          <w:color w:val="auto"/>
        </w:rPr>
      </w:pPr>
      <w:r>
        <w:rPr>
          <w:rFonts w:ascii="Arial" w:cs="Arial" w:eastAsia="Arial" w:hAnsi="Arial"/>
          <w:sz w:val="12"/>
          <w:szCs w:val="12"/>
          <w:color w:val="auto"/>
        </w:rPr>
        <w:t>All payments made by the Company under or with respect to the Securities will be made free and clear of and without withholding or deduction for, or on account of, any present or future tax, duty, levy, assessment or other governmental charge, including any related interest, penalties or additions to tax (“</w:t>
      </w:r>
      <w:r>
        <w:rPr>
          <w:rFonts w:ascii="Arial" w:cs="Arial" w:eastAsia="Arial" w:hAnsi="Arial"/>
          <w:sz w:val="12"/>
          <w:szCs w:val="12"/>
          <w:i w:val="1"/>
          <w:iCs w:val="1"/>
          <w:color w:val="auto"/>
        </w:rPr>
        <w:t>Taxes</w:t>
      </w:r>
      <w:r>
        <w:rPr>
          <w:rFonts w:ascii="Arial" w:cs="Arial" w:eastAsia="Arial" w:hAnsi="Arial"/>
          <w:sz w:val="12"/>
          <w:szCs w:val="12"/>
          <w:color w:val="auto"/>
        </w:rPr>
        <w:t>”) unless the withholding or deduction of such Taxes is then required by law or by interpretation or administration of law. If any deduction or withholding for, or on account of, any Taxes imposed or levied by or on behalf of (1) any jurisdiction in which the Company is then incorporated or organized or any political subdivision thereof or therein (each, a “</w:t>
      </w:r>
      <w:r>
        <w:rPr>
          <w:rFonts w:ascii="Arial" w:cs="Arial" w:eastAsia="Arial" w:hAnsi="Arial"/>
          <w:sz w:val="12"/>
          <w:szCs w:val="12"/>
          <w:i w:val="1"/>
          <w:iCs w:val="1"/>
          <w:color w:val="auto"/>
        </w:rPr>
        <w:t>Company Tax Jurisdiction</w:t>
      </w:r>
      <w:r>
        <w:rPr>
          <w:rFonts w:ascii="Arial" w:cs="Arial" w:eastAsia="Arial" w:hAnsi="Arial"/>
          <w:sz w:val="12"/>
          <w:szCs w:val="12"/>
          <w:color w:val="auto"/>
        </w:rPr>
        <w:t>”) or (2) any jurisdiction from or through which payment is made by or on behalf of the Company (including the jurisdiction of any Paying Agent for the applicable Securities) or any political subdivision thereof or therein (each, together with each Company Tax Jurisdiction, a “</w:t>
      </w:r>
      <w:r>
        <w:rPr>
          <w:rFonts w:ascii="Arial" w:cs="Arial" w:eastAsia="Arial" w:hAnsi="Arial"/>
          <w:sz w:val="12"/>
          <w:szCs w:val="12"/>
          <w:i w:val="1"/>
          <w:iCs w:val="1"/>
          <w:color w:val="auto"/>
        </w:rPr>
        <w:t>Tax Jurisdiction</w:t>
      </w:r>
      <w:r>
        <w:rPr>
          <w:rFonts w:ascii="Arial" w:cs="Arial" w:eastAsia="Arial" w:hAnsi="Arial"/>
          <w:sz w:val="12"/>
          <w:szCs w:val="12"/>
          <w:color w:val="auto"/>
        </w:rPr>
        <w:t>”) will at any time be required to be made from any payments made by the Company under or with respect to the Securities, including payments of principal, redemption price, interest or premium, the Company will pay such additional amounts (the “</w:t>
      </w:r>
      <w:r>
        <w:rPr>
          <w:rFonts w:ascii="Arial" w:cs="Arial" w:eastAsia="Arial" w:hAnsi="Arial"/>
          <w:sz w:val="12"/>
          <w:szCs w:val="12"/>
          <w:i w:val="1"/>
          <w:iCs w:val="1"/>
          <w:color w:val="auto"/>
        </w:rPr>
        <w:t>Additional</w:t>
      </w:r>
      <w:r>
        <w:rPr>
          <w:rFonts w:ascii="Arial" w:cs="Arial" w:eastAsia="Arial" w:hAnsi="Arial"/>
          <w:sz w:val="12"/>
          <w:szCs w:val="12"/>
          <w:color w:val="auto"/>
        </w:rPr>
        <w:t xml:space="preserve"> </w:t>
      </w:r>
      <w:r>
        <w:rPr>
          <w:rFonts w:ascii="Arial" w:cs="Arial" w:eastAsia="Arial" w:hAnsi="Arial"/>
          <w:sz w:val="12"/>
          <w:szCs w:val="12"/>
          <w:i w:val="1"/>
          <w:iCs w:val="1"/>
          <w:color w:val="auto"/>
        </w:rPr>
        <w:t>Amounts</w:t>
      </w:r>
      <w:r>
        <w:rPr>
          <w:rFonts w:ascii="Arial" w:cs="Arial" w:eastAsia="Arial" w:hAnsi="Arial"/>
          <w:sz w:val="12"/>
          <w:szCs w:val="12"/>
          <w:color w:val="auto"/>
        </w:rPr>
        <w:t>”) as may be necessary in order that the net amounts received with respect to such payments by each holder of the applicable Securities after such withholding, deduction or imposition (including any such</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withholding, deduction or imposition from such Additional Amounts) will equal the respective amounts that would have been received with respect to such payments in the absence of such withholding or deduction;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 Additional Amounts will be payable with respect to:</w:t>
      </w:r>
    </w:p>
    <w:p>
      <w:pPr>
        <w:spacing w:after="0" w:line="50" w:lineRule="exact"/>
        <w:rPr>
          <w:rFonts w:ascii="Arial" w:cs="Arial" w:eastAsia="Arial" w:hAnsi="Arial"/>
          <w:sz w:val="12"/>
          <w:szCs w:val="12"/>
          <w:color w:val="auto"/>
        </w:rPr>
      </w:pPr>
    </w:p>
    <w:p>
      <w:pPr>
        <w:jc w:val="both"/>
        <w:ind w:left="300" w:firstLine="161"/>
        <w:spacing w:after="0" w:line="260" w:lineRule="auto"/>
        <w:tabs>
          <w:tab w:leader="none" w:pos="649" w:val="left"/>
        </w:tabs>
        <w:numPr>
          <w:ilvl w:val="1"/>
          <w:numId w:val="40"/>
        </w:numPr>
        <w:rPr>
          <w:rFonts w:ascii="Arial" w:cs="Arial" w:eastAsia="Arial" w:hAnsi="Arial"/>
          <w:sz w:val="13"/>
          <w:szCs w:val="13"/>
          <w:color w:val="auto"/>
        </w:rPr>
      </w:pPr>
      <w:r>
        <w:rPr>
          <w:rFonts w:ascii="Arial" w:cs="Arial" w:eastAsia="Arial" w:hAnsi="Arial"/>
          <w:sz w:val="13"/>
          <w:szCs w:val="13"/>
          <w:color w:val="auto"/>
        </w:rPr>
        <w:t>any Taxes, to the extent such Taxes would not have been imposed but for the existence of any actual or deemed present or former connection between the Holder or the beneficial owner of such Securities and the relevant Tax Jurisdiction (including being or having been a national, resident or citizen of, being or having been engaged in a trade or business in, being or having been physically present in, or having or having had a permanent establishment in, such jurisdiction for Tax purposes), other than the holding of such Security, the enforcement of rights under such Security or the receipt of any payments with respect to such Security;</w:t>
      </w:r>
    </w:p>
    <w:p>
      <w:pPr>
        <w:spacing w:after="0" w:line="119"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64" w:name="page65"/>
    <w:bookmarkEnd w:id="64"/>
    <w:p>
      <w:pPr>
        <w:ind w:left="240" w:right="100" w:firstLine="161"/>
        <w:spacing w:after="0" w:line="371" w:lineRule="auto"/>
        <w:tabs>
          <w:tab w:leader="none" w:pos="589" w:val="left"/>
        </w:tabs>
        <w:numPr>
          <w:ilvl w:val="1"/>
          <w:numId w:val="41"/>
        </w:numPr>
        <w:rPr>
          <w:rFonts w:ascii="Arial" w:cs="Arial" w:eastAsia="Arial" w:hAnsi="Arial"/>
          <w:sz w:val="11"/>
          <w:szCs w:val="11"/>
          <w:color w:val="auto"/>
        </w:rPr>
      </w:pPr>
      <w:r>
        <w:rPr>
          <w:rFonts w:ascii="Arial" w:cs="Arial" w:eastAsia="Arial" w:hAnsi="Arial"/>
          <w:sz w:val="11"/>
          <w:szCs w:val="11"/>
          <w:color w:val="auto"/>
        </w:rPr>
        <w:t>any Taxes, to the extent such Taxes were imposed as a result of the presentation of such Security for payment (where presentation is required) more than 30 days after the relevant payment is first made available for payment to the holder (except to the extent that the holder would have been entitled to Additional Amounts had the applicable Security been presented on the last day of such 30 day period);</w:t>
      </w:r>
    </w:p>
    <w:p>
      <w:pPr>
        <w:spacing w:after="0" w:line="2" w:lineRule="exact"/>
        <w:rPr>
          <w:rFonts w:ascii="Arial" w:cs="Arial" w:eastAsia="Arial" w:hAnsi="Arial"/>
          <w:sz w:val="11"/>
          <w:szCs w:val="11"/>
          <w:color w:val="auto"/>
        </w:rPr>
      </w:pPr>
    </w:p>
    <w:p>
      <w:pPr>
        <w:ind w:left="580" w:hanging="179"/>
        <w:spacing w:after="0"/>
        <w:tabs>
          <w:tab w:leader="none" w:pos="580" w:val="left"/>
        </w:tabs>
        <w:numPr>
          <w:ilvl w:val="1"/>
          <w:numId w:val="41"/>
        </w:numPr>
        <w:rPr>
          <w:rFonts w:ascii="Arial" w:cs="Arial" w:eastAsia="Arial" w:hAnsi="Arial"/>
          <w:sz w:val="13"/>
          <w:szCs w:val="13"/>
          <w:color w:val="auto"/>
        </w:rPr>
      </w:pPr>
      <w:r>
        <w:rPr>
          <w:rFonts w:ascii="Arial" w:cs="Arial" w:eastAsia="Arial" w:hAnsi="Arial"/>
          <w:sz w:val="13"/>
          <w:szCs w:val="13"/>
          <w:color w:val="auto"/>
        </w:rPr>
        <w:t>any estate, inheritance, gift, sales, transfer, personal property or similar Taxes;</w:t>
      </w:r>
    </w:p>
    <w:p>
      <w:pPr>
        <w:spacing w:after="0" w:line="86" w:lineRule="exact"/>
        <w:rPr>
          <w:rFonts w:ascii="Arial" w:cs="Arial" w:eastAsia="Arial" w:hAnsi="Arial"/>
          <w:sz w:val="13"/>
          <w:szCs w:val="13"/>
          <w:color w:val="auto"/>
        </w:rPr>
      </w:pPr>
    </w:p>
    <w:p>
      <w:pPr>
        <w:ind w:left="240" w:firstLine="161"/>
        <w:spacing w:after="0" w:line="276" w:lineRule="auto"/>
        <w:tabs>
          <w:tab w:leader="none" w:pos="589" w:val="left"/>
        </w:tabs>
        <w:numPr>
          <w:ilvl w:val="1"/>
          <w:numId w:val="41"/>
        </w:numPr>
        <w:rPr>
          <w:rFonts w:ascii="Arial" w:cs="Arial" w:eastAsia="Arial" w:hAnsi="Arial"/>
          <w:sz w:val="13"/>
          <w:szCs w:val="13"/>
          <w:color w:val="auto"/>
        </w:rPr>
      </w:pPr>
      <w:r>
        <w:rPr>
          <w:rFonts w:ascii="Arial" w:cs="Arial" w:eastAsia="Arial" w:hAnsi="Arial"/>
          <w:sz w:val="13"/>
          <w:szCs w:val="13"/>
          <w:color w:val="auto"/>
        </w:rPr>
        <w:t>any Tax imposed on or with respect to any payment by the Company to the Holder if such Holder is a fiduciary, partnership, limited liability company or other Person other than the sole beneficial owner of such payment to the extent that Taxes would not have been imposed on such payment had such Holder been the sole beneficial owner of such Security;</w:t>
      </w:r>
    </w:p>
    <w:p>
      <w:pPr>
        <w:spacing w:after="0" w:line="49" w:lineRule="exact"/>
        <w:rPr>
          <w:rFonts w:ascii="Arial" w:cs="Arial" w:eastAsia="Arial" w:hAnsi="Arial"/>
          <w:sz w:val="13"/>
          <w:szCs w:val="13"/>
          <w:color w:val="auto"/>
        </w:rPr>
      </w:pPr>
    </w:p>
    <w:p>
      <w:pPr>
        <w:ind w:left="240" w:right="120" w:firstLine="161"/>
        <w:spacing w:after="0" w:line="276" w:lineRule="auto"/>
        <w:tabs>
          <w:tab w:leader="none" w:pos="589" w:val="left"/>
        </w:tabs>
        <w:numPr>
          <w:ilvl w:val="1"/>
          <w:numId w:val="41"/>
        </w:numPr>
        <w:rPr>
          <w:rFonts w:ascii="Arial" w:cs="Arial" w:eastAsia="Arial" w:hAnsi="Arial"/>
          <w:sz w:val="13"/>
          <w:szCs w:val="13"/>
          <w:color w:val="auto"/>
        </w:rPr>
      </w:pPr>
      <w:r>
        <w:rPr>
          <w:rFonts w:ascii="Arial" w:cs="Arial" w:eastAsia="Arial" w:hAnsi="Arial"/>
          <w:sz w:val="13"/>
          <w:szCs w:val="13"/>
          <w:color w:val="auto"/>
        </w:rPr>
        <w:t>with respect to any Taxes imposed by the United States, any such Taxes imposed by reason of the failure of such Holder to fulfill the statement requirements of Sections 871(h) or 881(c) of the Internal Revenue Code of 1986, as amended;</w:t>
      </w:r>
    </w:p>
    <w:p>
      <w:pPr>
        <w:spacing w:after="0" w:line="49" w:lineRule="exact"/>
        <w:rPr>
          <w:rFonts w:ascii="Arial" w:cs="Arial" w:eastAsia="Arial" w:hAnsi="Arial"/>
          <w:sz w:val="13"/>
          <w:szCs w:val="13"/>
          <w:color w:val="auto"/>
        </w:rPr>
      </w:pPr>
    </w:p>
    <w:p>
      <w:pPr>
        <w:ind w:left="240" w:right="280" w:firstLine="161"/>
        <w:spacing w:after="0" w:line="276" w:lineRule="auto"/>
        <w:tabs>
          <w:tab w:leader="none" w:pos="589" w:val="left"/>
        </w:tabs>
        <w:numPr>
          <w:ilvl w:val="1"/>
          <w:numId w:val="41"/>
        </w:numPr>
        <w:rPr>
          <w:rFonts w:ascii="Arial" w:cs="Arial" w:eastAsia="Arial" w:hAnsi="Arial"/>
          <w:sz w:val="13"/>
          <w:szCs w:val="13"/>
          <w:color w:val="auto"/>
        </w:rPr>
      </w:pPr>
      <w:r>
        <w:rPr>
          <w:rFonts w:ascii="Arial" w:cs="Arial" w:eastAsia="Arial" w:hAnsi="Arial"/>
          <w:sz w:val="13"/>
          <w:szCs w:val="13"/>
          <w:color w:val="auto"/>
        </w:rPr>
        <w:t>Taxes imposed on or with respect to a payment made to a Holder or beneficial owner of such Security who would have been able to avoid such withholding or deduction by presenting such Security (where presentation is required) to another Paying Agent;</w:t>
      </w:r>
    </w:p>
    <w:p>
      <w:pPr>
        <w:spacing w:after="0" w:line="49" w:lineRule="exact"/>
        <w:rPr>
          <w:rFonts w:ascii="Arial" w:cs="Arial" w:eastAsia="Arial" w:hAnsi="Arial"/>
          <w:sz w:val="13"/>
          <w:szCs w:val="13"/>
          <w:color w:val="auto"/>
        </w:rPr>
      </w:pPr>
    </w:p>
    <w:p>
      <w:pPr>
        <w:ind w:left="580" w:hanging="179"/>
        <w:spacing w:after="0"/>
        <w:tabs>
          <w:tab w:leader="none" w:pos="580" w:val="left"/>
        </w:tabs>
        <w:numPr>
          <w:ilvl w:val="1"/>
          <w:numId w:val="41"/>
        </w:numPr>
        <w:rPr>
          <w:rFonts w:ascii="Arial" w:cs="Arial" w:eastAsia="Arial" w:hAnsi="Arial"/>
          <w:sz w:val="13"/>
          <w:szCs w:val="13"/>
          <w:color w:val="auto"/>
        </w:rPr>
      </w:pPr>
      <w:r>
        <w:rPr>
          <w:rFonts w:ascii="Arial" w:cs="Arial" w:eastAsia="Arial" w:hAnsi="Arial"/>
          <w:sz w:val="13"/>
          <w:szCs w:val="13"/>
          <w:color w:val="auto"/>
        </w:rPr>
        <w:t>any Taxes payable other than by deduction or withholding from payments under, or with respect to, such Securities or the Guarantee;</w:t>
      </w:r>
    </w:p>
    <w:p>
      <w:pPr>
        <w:spacing w:after="0" w:line="86" w:lineRule="exact"/>
        <w:rPr>
          <w:rFonts w:ascii="Arial" w:cs="Arial" w:eastAsia="Arial" w:hAnsi="Arial"/>
          <w:sz w:val="13"/>
          <w:szCs w:val="13"/>
          <w:color w:val="auto"/>
        </w:rPr>
      </w:pPr>
    </w:p>
    <w:p>
      <w:pPr>
        <w:jc w:val="both"/>
        <w:ind w:left="240" w:right="100" w:firstLine="161"/>
        <w:spacing w:after="0" w:line="289" w:lineRule="auto"/>
        <w:tabs>
          <w:tab w:leader="none" w:pos="589" w:val="left"/>
        </w:tabs>
        <w:numPr>
          <w:ilvl w:val="1"/>
          <w:numId w:val="41"/>
        </w:numPr>
        <w:rPr>
          <w:rFonts w:ascii="Arial" w:cs="Arial" w:eastAsia="Arial" w:hAnsi="Arial"/>
          <w:sz w:val="12"/>
          <w:szCs w:val="12"/>
          <w:color w:val="auto"/>
        </w:rPr>
      </w:pPr>
      <w:r>
        <w:rPr>
          <w:rFonts w:ascii="Arial" w:cs="Arial" w:eastAsia="Arial" w:hAnsi="Arial"/>
          <w:sz w:val="12"/>
          <w:szCs w:val="12"/>
          <w:color w:val="auto"/>
        </w:rPr>
        <w:t>any Taxes to the extent such Taxes are imposed or withheld by reason of the failure of the Holder or beneficial owner of such Security, to comply with any written request of the Company addressed to the Holder or beneficial owner to satisfy any certification, identification, information or other reporting requirements, whether required by statute, treaty, regulation or administrative practice of a relevant Tax Jurisdiction, as a precondition to exemption from, or reduction in the rate of deduction or withholding of, Taxes imposed by the relevant Tax Jurisdiction (including a certification that the Holder or beneficial owner is not resident in such Tax Jurisdiction), but in each case, only to the extent the Holder or beneficial owner is legally entitled to provide such certification or documentation; or</w:t>
      </w:r>
    </w:p>
    <w:p>
      <w:pPr>
        <w:spacing w:after="0" w:line="43" w:lineRule="exact"/>
        <w:rPr>
          <w:rFonts w:ascii="Arial" w:cs="Arial" w:eastAsia="Arial" w:hAnsi="Arial"/>
          <w:sz w:val="12"/>
          <w:szCs w:val="12"/>
          <w:color w:val="auto"/>
        </w:rPr>
      </w:pPr>
    </w:p>
    <w:p>
      <w:pPr>
        <w:ind w:left="580" w:hanging="179"/>
        <w:spacing w:after="0"/>
        <w:tabs>
          <w:tab w:leader="none" w:pos="580" w:val="left"/>
        </w:tabs>
        <w:numPr>
          <w:ilvl w:val="1"/>
          <w:numId w:val="41"/>
        </w:numPr>
        <w:rPr>
          <w:rFonts w:ascii="Arial" w:cs="Arial" w:eastAsia="Arial" w:hAnsi="Arial"/>
          <w:sz w:val="13"/>
          <w:szCs w:val="13"/>
          <w:color w:val="auto"/>
        </w:rPr>
      </w:pPr>
      <w:r>
        <w:rPr>
          <w:rFonts w:ascii="Arial" w:cs="Arial" w:eastAsia="Arial" w:hAnsi="Arial"/>
          <w:sz w:val="13"/>
          <w:szCs w:val="13"/>
          <w:color w:val="auto"/>
        </w:rPr>
        <w:t>any combination of items (1) through (8) of this Section 4.6(a).</w:t>
      </w:r>
    </w:p>
    <w:p>
      <w:pPr>
        <w:spacing w:after="0" w:line="86" w:lineRule="exact"/>
        <w:rPr>
          <w:rFonts w:ascii="Arial" w:cs="Arial" w:eastAsia="Arial" w:hAnsi="Arial"/>
          <w:sz w:val="13"/>
          <w:szCs w:val="13"/>
          <w:color w:val="auto"/>
        </w:rPr>
      </w:pPr>
    </w:p>
    <w:p>
      <w:pPr>
        <w:ind w:right="220" w:firstLine="172"/>
        <w:spacing w:after="0" w:line="264" w:lineRule="auto"/>
        <w:tabs>
          <w:tab w:leader="none" w:pos="349"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 addition to the foregoing, the Company will also pay and indemnify the Holders for any present or future stamp, issue, registration, court or documentary Taxes, or any other excise or property Taxes, charges or similar levies (including penalties, interest and any other reasonable expenses related thereto) which are levied by a relevant Tax Jurisdiction on the execution, delivery, issuance, or registration of the Securities, or</w:t>
      </w:r>
    </w:p>
    <w:p>
      <w:pPr>
        <w:spacing w:after="0" w:line="116"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65" w:name="page66"/>
    <w:bookmarkEnd w:id="65"/>
    <w:p>
      <w:pPr>
        <w:ind w:left="220"/>
        <w:spacing w:after="0"/>
        <w:rPr>
          <w:sz w:val="20"/>
          <w:szCs w:val="20"/>
          <w:color w:val="auto"/>
        </w:rPr>
      </w:pPr>
      <w:r>
        <w:rPr>
          <w:rFonts w:ascii="Arial" w:cs="Arial" w:eastAsia="Arial" w:hAnsi="Arial"/>
          <w:sz w:val="13"/>
          <w:szCs w:val="13"/>
          <w:color w:val="auto"/>
        </w:rPr>
        <w:t>the related Indenture, or any other document or instrument referred to therein in connection with a transfer of such Securities at the time of the initial resale by the initial purchasers.</w:t>
      </w:r>
    </w:p>
    <w:p>
      <w:pPr>
        <w:spacing w:after="0" w:line="86" w:lineRule="exact"/>
        <w:rPr>
          <w:sz w:val="20"/>
          <w:szCs w:val="20"/>
          <w:color w:val="auto"/>
        </w:rPr>
      </w:pPr>
    </w:p>
    <w:p>
      <w:pPr>
        <w:ind w:left="220" w:right="20" w:firstLine="172"/>
        <w:spacing w:after="0" w:line="258" w:lineRule="auto"/>
        <w:tabs>
          <w:tab w:leader="none" w:pos="562" w:val="left"/>
        </w:tabs>
        <w:numPr>
          <w:ilvl w:val="0"/>
          <w:numId w:val="43"/>
        </w:numPr>
        <w:rPr>
          <w:rFonts w:ascii="Arial" w:cs="Arial" w:eastAsia="Arial" w:hAnsi="Arial"/>
          <w:sz w:val="13"/>
          <w:szCs w:val="13"/>
          <w:color w:val="auto"/>
        </w:rPr>
      </w:pPr>
      <w:r>
        <w:rPr>
          <w:rFonts w:ascii="Arial" w:cs="Arial" w:eastAsia="Arial" w:hAnsi="Arial"/>
          <w:sz w:val="13"/>
          <w:szCs w:val="13"/>
          <w:color w:val="auto"/>
        </w:rPr>
        <w:t>If the Company becomes aware that it will be obligated to pay Additional Amounts with respect to any payment under or with respect to the Securities, the Company will deliver to the Trustee on a date that is at least 30 days prior to the date of that payment (unless the obligation to pay Additional Amounts arises fewer than 45 days prior to that payment date, in which case the Company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61" w:lineRule="exact"/>
        <w:rPr>
          <w:rFonts w:ascii="Arial" w:cs="Arial" w:eastAsia="Arial" w:hAnsi="Arial"/>
          <w:sz w:val="13"/>
          <w:szCs w:val="13"/>
          <w:color w:val="auto"/>
        </w:rPr>
      </w:pPr>
    </w:p>
    <w:p>
      <w:pPr>
        <w:ind w:left="220" w:right="120" w:firstLine="172"/>
        <w:spacing w:after="0" w:line="322" w:lineRule="auto"/>
        <w:tabs>
          <w:tab w:leader="none" w:pos="569" w:val="left"/>
        </w:tabs>
        <w:numPr>
          <w:ilvl w:val="0"/>
          <w:numId w:val="43"/>
        </w:numPr>
        <w:rPr>
          <w:rFonts w:ascii="Arial" w:cs="Arial" w:eastAsia="Arial" w:hAnsi="Arial"/>
          <w:sz w:val="11"/>
          <w:szCs w:val="11"/>
          <w:color w:val="auto"/>
        </w:rPr>
      </w:pPr>
      <w:r>
        <w:rPr>
          <w:rFonts w:ascii="Arial" w:cs="Arial" w:eastAsia="Arial" w:hAnsi="Arial"/>
          <w:sz w:val="11"/>
          <w:szCs w:val="11"/>
          <w:color w:val="auto"/>
        </w:rPr>
        <w:t>The Company will make all withholdings and deductions required by law with respect to the Securities, and will remit the full amount deducted or withheld to the relevant Tax authority in accordance with applicable law. The Company will use its reasonable efforts to obtain Tax receipts from each Tax authority evidencing the payment of any Taxes so deducted or withheld. Upon reasonable written request, the Company will furnish to the Trustee (or to a Holder or beneficial owner upon written request), within a reasonable time after the date the payment of any Taxes so deducted or withheld is made, certified copies of Tax receipts evidencing payment by the Company or if, notwithstanding the Company’s efforts to obtain receipts, receipts are not obtained, other evidence of payments (reasonably satisfactory to the Trustee).</w:t>
      </w:r>
    </w:p>
    <w:p>
      <w:pPr>
        <w:spacing w:after="0" w:line="28" w:lineRule="exact"/>
        <w:rPr>
          <w:rFonts w:ascii="Arial" w:cs="Arial" w:eastAsia="Arial" w:hAnsi="Arial"/>
          <w:sz w:val="11"/>
          <w:szCs w:val="11"/>
          <w:color w:val="auto"/>
        </w:rPr>
      </w:pPr>
    </w:p>
    <w:p>
      <w:pPr>
        <w:ind w:left="220" w:firstLine="172"/>
        <w:spacing w:after="0" w:line="264" w:lineRule="auto"/>
        <w:tabs>
          <w:tab w:leader="none" w:pos="562" w:val="left"/>
        </w:tabs>
        <w:numPr>
          <w:ilvl w:val="0"/>
          <w:numId w:val="43"/>
        </w:numPr>
        <w:rPr>
          <w:rFonts w:ascii="Arial" w:cs="Arial" w:eastAsia="Arial" w:hAnsi="Arial"/>
          <w:sz w:val="13"/>
          <w:szCs w:val="13"/>
          <w:color w:val="auto"/>
        </w:rPr>
      </w:pPr>
      <w:r>
        <w:rPr>
          <w:rFonts w:ascii="Arial" w:cs="Arial" w:eastAsia="Arial" w:hAnsi="Arial"/>
          <w:sz w:val="13"/>
          <w:szCs w:val="13"/>
          <w:color w:val="auto"/>
        </w:rPr>
        <w:t>Whenever in this Indenture there is mentioned, in any context, the payment of amounts based upon the principal amount of the Securities or of principal, interest or of any other amount payable under, or with respect to, any of the Securities, such mention shall be deemed to include mention of the payment of Additional Amounts to the extent that, in such context, Additional Amounts are, were or would be payable in respect thereof.</w:t>
      </w:r>
    </w:p>
    <w:p>
      <w:pPr>
        <w:spacing w:after="0" w:line="57" w:lineRule="exact"/>
        <w:rPr>
          <w:sz w:val="20"/>
          <w:szCs w:val="20"/>
          <w:color w:val="auto"/>
        </w:rPr>
      </w:pPr>
    </w:p>
    <w:p>
      <w:pPr>
        <w:jc w:val="both"/>
        <w:ind w:right="200" w:firstLine="325"/>
        <w:spacing w:after="0" w:line="264" w:lineRule="auto"/>
        <w:rPr>
          <w:sz w:val="20"/>
          <w:szCs w:val="20"/>
          <w:color w:val="auto"/>
        </w:rPr>
      </w:pPr>
      <w:r>
        <w:rPr>
          <w:rFonts w:ascii="Arial" w:cs="Arial" w:eastAsia="Arial" w:hAnsi="Arial"/>
          <w:sz w:val="13"/>
          <w:szCs w:val="13"/>
          <w:color w:val="auto"/>
        </w:rPr>
        <w:t>The obligations in this Section 4.6 will survive any termination, defeasance or discharge of this Indenture, any transfer by a Holder or beneficial owner of its Securities, and will apply, mutatis mutandis, to any jurisdiction in which any successor Person to the Company is incorporated or organized, or any jurisdiction from or through which payment is made by or on behalf of such Person on the Securities and any political subdivision thereof or therein.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4.7. </w:t>
      </w:r>
      <w:r>
        <w:rPr>
          <w:rFonts w:ascii="Arial" w:cs="Arial" w:eastAsia="Arial" w:hAnsi="Arial"/>
          <w:sz w:val="13"/>
          <w:szCs w:val="13"/>
          <w:u w:val="single" w:color="auto"/>
          <w:color w:val="auto"/>
        </w:rPr>
        <w:t>Reports</w:t>
      </w:r>
      <w:r>
        <w:rPr>
          <w:rFonts w:ascii="Arial" w:cs="Arial" w:eastAsia="Arial" w:hAnsi="Arial"/>
          <w:sz w:val="13"/>
          <w:szCs w:val="13"/>
          <w:color w:val="auto"/>
        </w:rPr>
        <w:t>.</w:t>
      </w:r>
    </w:p>
    <w:p>
      <w:pPr>
        <w:spacing w:after="0" w:line="86" w:lineRule="exact"/>
        <w:rPr>
          <w:sz w:val="20"/>
          <w:szCs w:val="20"/>
          <w:color w:val="auto"/>
        </w:rPr>
      </w:pPr>
    </w:p>
    <w:p>
      <w:pPr>
        <w:ind w:left="220" w:right="80" w:firstLine="172"/>
        <w:spacing w:after="0" w:line="371" w:lineRule="auto"/>
        <w:tabs>
          <w:tab w:leader="none" w:pos="562" w:val="left"/>
        </w:tabs>
        <w:numPr>
          <w:ilvl w:val="0"/>
          <w:numId w:val="44"/>
        </w:numPr>
        <w:rPr>
          <w:rFonts w:ascii="Arial" w:cs="Arial" w:eastAsia="Arial" w:hAnsi="Arial"/>
          <w:sz w:val="11"/>
          <w:szCs w:val="11"/>
          <w:color w:val="auto"/>
        </w:rPr>
      </w:pPr>
      <w:r>
        <w:rPr>
          <w:rFonts w:ascii="Arial" w:cs="Arial" w:eastAsia="Arial" w:hAnsi="Arial"/>
          <w:sz w:val="11"/>
          <w:szCs w:val="11"/>
          <w:color w:val="auto"/>
        </w:rPr>
        <w:t>So long as any Securities are outstanding, the Company shall file with the Trustee, within 15 days after the Company files with the SEC, copies of the annual reports and of the information, documents and other reports (or copies of such portions of any of the foregoing as the SEC may from time to time by rules and regulations prescribe) that the Company may be required to file with the SEC pursuant to Section 13</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66" w:name="page67"/>
    <w:bookmarkEnd w:id="66"/>
    <w:p>
      <w:pPr>
        <w:ind w:left="220" w:right="80"/>
        <w:spacing w:after="0" w:line="276" w:lineRule="auto"/>
        <w:rPr>
          <w:sz w:val="20"/>
          <w:szCs w:val="20"/>
          <w:color w:val="auto"/>
        </w:rPr>
      </w:pPr>
      <w:r>
        <w:rPr>
          <w:rFonts w:ascii="Arial" w:cs="Arial" w:eastAsia="Arial" w:hAnsi="Arial"/>
          <w:sz w:val="13"/>
          <w:szCs w:val="13"/>
          <w:color w:val="auto"/>
        </w:rPr>
        <w:t>or Section 15(d) of the Exchange Act. The Company shall be deemed to have complied with the previous sentence to the extent that such information, documents and reports are filed with the SEC via EDGAR (or any successor electronic delivery procedure).</w:t>
      </w:r>
    </w:p>
    <w:p>
      <w:pPr>
        <w:spacing w:after="0" w:line="49" w:lineRule="exact"/>
        <w:rPr>
          <w:sz w:val="20"/>
          <w:szCs w:val="20"/>
          <w:color w:val="auto"/>
        </w:rPr>
      </w:pPr>
    </w:p>
    <w:p>
      <w:pPr>
        <w:ind w:left="220" w:firstLine="172"/>
        <w:spacing w:after="0" w:line="320" w:lineRule="auto"/>
        <w:tabs>
          <w:tab w:leader="none" w:pos="569" w:val="left"/>
        </w:tabs>
        <w:numPr>
          <w:ilvl w:val="0"/>
          <w:numId w:val="45"/>
        </w:numPr>
        <w:rPr>
          <w:rFonts w:ascii="Arial" w:cs="Arial" w:eastAsia="Arial" w:hAnsi="Arial"/>
          <w:sz w:val="12"/>
          <w:szCs w:val="12"/>
          <w:color w:val="auto"/>
        </w:rPr>
      </w:pPr>
      <w:r>
        <w:rPr>
          <w:rFonts w:ascii="Arial" w:cs="Arial" w:eastAsia="Arial" w:hAnsi="Arial"/>
          <w:sz w:val="12"/>
          <w:szCs w:val="12"/>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SUCCESSORS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5.1. </w:t>
      </w:r>
      <w:r>
        <w:rPr>
          <w:rFonts w:ascii="Arial" w:cs="Arial" w:eastAsia="Arial" w:hAnsi="Arial"/>
          <w:sz w:val="13"/>
          <w:szCs w:val="13"/>
          <w:u w:val="single" w:color="auto"/>
          <w:color w:val="auto"/>
        </w:rPr>
        <w:t>Consolidation, Merger and Sale of Assets</w:t>
      </w:r>
      <w:r>
        <w:rPr>
          <w:rFonts w:ascii="Arial" w:cs="Arial" w:eastAsia="Arial" w:hAnsi="Arial"/>
          <w:sz w:val="13"/>
          <w:szCs w:val="13"/>
          <w:color w:val="auto"/>
        </w:rPr>
        <w:t>.</w:t>
      </w:r>
    </w:p>
    <w:p>
      <w:pPr>
        <w:spacing w:after="0" w:line="86" w:lineRule="exact"/>
        <w:rPr>
          <w:sz w:val="20"/>
          <w:szCs w:val="20"/>
          <w:color w:val="auto"/>
        </w:rPr>
      </w:pPr>
    </w:p>
    <w:p>
      <w:pPr>
        <w:jc w:val="both"/>
        <w:ind w:right="260" w:firstLine="325"/>
        <w:spacing w:after="0" w:line="296" w:lineRule="auto"/>
        <w:rPr>
          <w:sz w:val="20"/>
          <w:szCs w:val="20"/>
          <w:color w:val="auto"/>
        </w:rPr>
      </w:pPr>
      <w:r>
        <w:rPr>
          <w:rFonts w:ascii="Arial" w:cs="Arial" w:eastAsia="Arial" w:hAnsi="Arial"/>
          <w:sz w:val="12"/>
          <w:szCs w:val="12"/>
          <w:color w:val="auto"/>
        </w:rPr>
        <w:t>The Company may not consolidate with or merge into any other Person or transfer or lease all or substantially all of its assets to any Person unless any successor or purchaser expressly assumes its obligations under this Indenture and the Securities, by an indenture supplemental to this Indenture to which the Company is a party to, and immediately after which, no Default or Event of Default, shall have happened and be continuing. An Officer’s Certificate and an Opinion of Counsel will be delivered to the Trustee, which will serve as conclusive evidence of compliance with this Section 5.1.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DEFAULTS AND REMEDIES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6.1. </w:t>
      </w:r>
      <w:r>
        <w:rPr>
          <w:rFonts w:ascii="Arial" w:cs="Arial" w:eastAsia="Arial" w:hAnsi="Arial"/>
          <w:sz w:val="13"/>
          <w:szCs w:val="13"/>
          <w:u w:val="single" w:color="auto"/>
          <w:color w:val="auto"/>
        </w:rPr>
        <w:t>Events of Default</w:t>
      </w:r>
      <w:r>
        <w:rPr>
          <w:rFonts w:ascii="Arial" w:cs="Arial" w:eastAsia="Arial" w:hAnsi="Arial"/>
          <w:sz w:val="13"/>
          <w:szCs w:val="13"/>
          <w:color w:val="auto"/>
        </w:rPr>
        <w:t>.</w:t>
      </w:r>
    </w:p>
    <w:p>
      <w:pPr>
        <w:spacing w:after="0" w:line="86" w:lineRule="exact"/>
        <w:rPr>
          <w:sz w:val="20"/>
          <w:szCs w:val="20"/>
          <w:color w:val="auto"/>
        </w:rPr>
      </w:pPr>
    </w:p>
    <w:p>
      <w:pPr>
        <w:ind w:right="140" w:firstLine="325"/>
        <w:spacing w:after="0" w:line="276" w:lineRule="auto"/>
        <w:rPr>
          <w:sz w:val="20"/>
          <w:szCs w:val="20"/>
          <w:color w:val="auto"/>
        </w:rPr>
      </w:pPr>
      <w:r>
        <w:rPr>
          <w:rFonts w:ascii="Arial" w:cs="Arial" w:eastAsia="Arial" w:hAnsi="Arial"/>
          <w:sz w:val="13"/>
          <w:szCs w:val="13"/>
          <w:color w:val="auto"/>
        </w:rPr>
        <w:t>The following are “</w:t>
      </w:r>
      <w:r>
        <w:rPr>
          <w:rFonts w:ascii="Arial" w:cs="Arial" w:eastAsia="Arial" w:hAnsi="Arial"/>
          <w:sz w:val="13"/>
          <w:szCs w:val="13"/>
          <w:i w:val="1"/>
          <w:iCs w:val="1"/>
          <w:color w:val="auto"/>
        </w:rPr>
        <w:t>Events of Default</w:t>
      </w:r>
      <w:r>
        <w:rPr>
          <w:rFonts w:ascii="Arial" w:cs="Arial" w:eastAsia="Arial" w:hAnsi="Arial"/>
          <w:sz w:val="13"/>
          <w:szCs w:val="13"/>
          <w:color w:val="auto"/>
        </w:rPr>
        <w:t>” with respect to the Securities of any Series, unless in the establishing Board Resolution, Officer’s Certificate or supplemental indenture, it is provided that such Series shall not have the benefit of said Event of Default:</w:t>
      </w:r>
    </w:p>
    <w:p>
      <w:pPr>
        <w:spacing w:after="0" w:line="49" w:lineRule="exact"/>
        <w:rPr>
          <w:sz w:val="20"/>
          <w:szCs w:val="20"/>
          <w:color w:val="auto"/>
        </w:rPr>
      </w:pPr>
    </w:p>
    <w:p>
      <w:pPr>
        <w:ind w:left="560" w:hanging="168"/>
        <w:spacing w:after="0"/>
        <w:tabs>
          <w:tab w:leader="none" w:pos="5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failure to pay any interest on the Securities within 30 days after such interest becomes due and payable;</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failure to pay principal of the Securities at maturity, or if applicable, the redemption price, when the same become due and payable;</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failure to pay any sinking fund installment as and when the same shall become due and payable by the terms of the Securities, and continuance of such default for a period of 30 days;</w:t>
      </w:r>
    </w:p>
    <w:p>
      <w:pPr>
        <w:spacing w:after="0" w:line="86" w:lineRule="exact"/>
        <w:rPr>
          <w:rFonts w:ascii="Arial" w:cs="Arial" w:eastAsia="Arial" w:hAnsi="Arial"/>
          <w:sz w:val="13"/>
          <w:szCs w:val="13"/>
          <w:color w:val="auto"/>
        </w:rPr>
      </w:pPr>
    </w:p>
    <w:p>
      <w:pPr>
        <w:ind w:left="220" w:right="260" w:firstLine="172"/>
        <w:spacing w:after="0" w:line="320" w:lineRule="auto"/>
        <w:tabs>
          <w:tab w:leader="none" w:pos="569" w:val="left"/>
        </w:tabs>
        <w:numPr>
          <w:ilvl w:val="0"/>
          <w:numId w:val="46"/>
        </w:numPr>
        <w:rPr>
          <w:rFonts w:ascii="Arial" w:cs="Arial" w:eastAsia="Arial" w:hAnsi="Arial"/>
          <w:sz w:val="12"/>
          <w:szCs w:val="12"/>
          <w:color w:val="auto"/>
        </w:rPr>
      </w:pPr>
      <w:r>
        <w:rPr>
          <w:rFonts w:ascii="Arial" w:cs="Arial" w:eastAsia="Arial" w:hAnsi="Arial"/>
          <w:sz w:val="12"/>
          <w:szCs w:val="12"/>
          <w:color w:val="auto"/>
        </w:rPr>
        <w:t>failure to comply with any of the covenants or agreements in the Securities or this Indenture (other than an agreement or covenant that the Company has included in this Indenture solely for the benefit of another Series of Securities) for 90 days after written notice by the Trustee or by the Holders of at least 25% in principal amount of all outstanding debt securities affected by that failure;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67" w:name="page68"/>
    <w:bookmarkEnd w:id="67"/>
    <w:p>
      <w:pPr>
        <w:ind w:left="560" w:hanging="168"/>
        <w:spacing w:after="0"/>
        <w:tabs>
          <w:tab w:leader="none" w:pos="5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Company pursuant to or within the meaning of any Bankruptcy Law:</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1"/>
          <w:numId w:val="47"/>
        </w:numPr>
        <w:rPr>
          <w:rFonts w:ascii="Arial" w:cs="Arial" w:eastAsia="Arial" w:hAnsi="Arial"/>
          <w:sz w:val="13"/>
          <w:szCs w:val="13"/>
          <w:color w:val="auto"/>
        </w:rPr>
      </w:pPr>
      <w:r>
        <w:rPr>
          <w:rFonts w:ascii="Arial" w:cs="Arial" w:eastAsia="Arial" w:hAnsi="Arial"/>
          <w:sz w:val="13"/>
          <w:szCs w:val="13"/>
          <w:color w:val="auto"/>
        </w:rPr>
        <w:t>commences a voluntary case,</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1"/>
          <w:numId w:val="47"/>
        </w:numPr>
        <w:rPr>
          <w:rFonts w:ascii="Arial" w:cs="Arial" w:eastAsia="Arial" w:hAnsi="Arial"/>
          <w:sz w:val="13"/>
          <w:szCs w:val="13"/>
          <w:color w:val="auto"/>
        </w:rPr>
      </w:pPr>
      <w:r>
        <w:rPr>
          <w:rFonts w:ascii="Arial" w:cs="Arial" w:eastAsia="Arial" w:hAnsi="Arial"/>
          <w:sz w:val="13"/>
          <w:szCs w:val="13"/>
          <w:color w:val="auto"/>
        </w:rPr>
        <w:t>consents to the entry of an order for relief against it in an involuntary case,</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1"/>
          <w:numId w:val="47"/>
        </w:numPr>
        <w:rPr>
          <w:rFonts w:ascii="Arial" w:cs="Arial" w:eastAsia="Arial" w:hAnsi="Arial"/>
          <w:sz w:val="13"/>
          <w:szCs w:val="13"/>
          <w:color w:val="auto"/>
        </w:rPr>
      </w:pPr>
      <w:r>
        <w:rPr>
          <w:rFonts w:ascii="Arial" w:cs="Arial" w:eastAsia="Arial" w:hAnsi="Arial"/>
          <w:sz w:val="13"/>
          <w:szCs w:val="13"/>
          <w:color w:val="auto"/>
        </w:rPr>
        <w:t>consents to the appointment of a Custodian of it or for all or substantially all of its property,</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1"/>
          <w:numId w:val="47"/>
        </w:numPr>
        <w:rPr>
          <w:rFonts w:ascii="Arial" w:cs="Arial" w:eastAsia="Arial" w:hAnsi="Arial"/>
          <w:sz w:val="13"/>
          <w:szCs w:val="13"/>
          <w:color w:val="auto"/>
        </w:rPr>
      </w:pPr>
      <w:r>
        <w:rPr>
          <w:rFonts w:ascii="Arial" w:cs="Arial" w:eastAsia="Arial" w:hAnsi="Arial"/>
          <w:sz w:val="13"/>
          <w:szCs w:val="13"/>
          <w:color w:val="auto"/>
        </w:rPr>
        <w:t>makes a general assignment for the benefit of its creditors, or</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1"/>
          <w:numId w:val="47"/>
        </w:numPr>
        <w:rPr>
          <w:rFonts w:ascii="Arial" w:cs="Arial" w:eastAsia="Arial" w:hAnsi="Arial"/>
          <w:sz w:val="13"/>
          <w:szCs w:val="13"/>
          <w:color w:val="auto"/>
        </w:rPr>
      </w:pPr>
      <w:r>
        <w:rPr>
          <w:rFonts w:ascii="Arial" w:cs="Arial" w:eastAsia="Arial" w:hAnsi="Arial"/>
          <w:sz w:val="13"/>
          <w:szCs w:val="13"/>
          <w:color w:val="auto"/>
        </w:rPr>
        <w:t>generally is unable to pay its debts as the same become due; or</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 court of competent jurisdiction enters an order or decree under any Bankruptcy Law that:</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1"/>
          <w:numId w:val="47"/>
        </w:numPr>
        <w:rPr>
          <w:rFonts w:ascii="Arial" w:cs="Arial" w:eastAsia="Arial" w:hAnsi="Arial"/>
          <w:sz w:val="13"/>
          <w:szCs w:val="13"/>
          <w:color w:val="auto"/>
        </w:rPr>
      </w:pPr>
      <w:r>
        <w:rPr>
          <w:rFonts w:ascii="Arial" w:cs="Arial" w:eastAsia="Arial" w:hAnsi="Arial"/>
          <w:sz w:val="13"/>
          <w:szCs w:val="13"/>
          <w:color w:val="auto"/>
        </w:rPr>
        <w:t>is for relief against the Company in an involuntary case,</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1"/>
          <w:numId w:val="47"/>
        </w:numPr>
        <w:rPr>
          <w:rFonts w:ascii="Arial" w:cs="Arial" w:eastAsia="Arial" w:hAnsi="Arial"/>
          <w:sz w:val="13"/>
          <w:szCs w:val="13"/>
          <w:color w:val="auto"/>
        </w:rPr>
      </w:pPr>
      <w:r>
        <w:rPr>
          <w:rFonts w:ascii="Arial" w:cs="Arial" w:eastAsia="Arial" w:hAnsi="Arial"/>
          <w:sz w:val="13"/>
          <w:szCs w:val="13"/>
          <w:color w:val="auto"/>
        </w:rPr>
        <w:t>appoints a Custodian of the Company or for all or substantially all of its property, or</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1"/>
          <w:numId w:val="47"/>
        </w:numPr>
        <w:rPr>
          <w:rFonts w:ascii="Arial" w:cs="Arial" w:eastAsia="Arial" w:hAnsi="Arial"/>
          <w:sz w:val="13"/>
          <w:szCs w:val="13"/>
          <w:color w:val="auto"/>
        </w:rPr>
      </w:pPr>
      <w:r>
        <w:rPr>
          <w:rFonts w:ascii="Arial" w:cs="Arial" w:eastAsia="Arial" w:hAnsi="Arial"/>
          <w:sz w:val="13"/>
          <w:szCs w:val="13"/>
          <w:color w:val="auto"/>
        </w:rPr>
        <w:t>orders the liquidation of the Company,</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and the order or decree remains unstayed and in effect for 60 days; and</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(g) any other Event of Default provided in the supplemental indenture or Board Resolution under which such Series of Securities is issued or in the form of Security for such Series.</w:t>
      </w:r>
    </w:p>
    <w:p>
      <w:pPr>
        <w:spacing w:after="0" w:line="86" w:lineRule="exact"/>
        <w:rPr>
          <w:sz w:val="20"/>
          <w:szCs w:val="20"/>
          <w:color w:val="auto"/>
        </w:rPr>
      </w:pPr>
    </w:p>
    <w:p>
      <w:pPr>
        <w:ind w:right="60" w:firstLine="325"/>
        <w:spacing w:after="0" w:line="276" w:lineRule="auto"/>
        <w:rPr>
          <w:sz w:val="20"/>
          <w:szCs w:val="20"/>
          <w:color w:val="auto"/>
        </w:rPr>
      </w:pPr>
      <w:r>
        <w:rPr>
          <w:rFonts w:ascii="Arial" w:cs="Arial" w:eastAsia="Arial" w:hAnsi="Arial"/>
          <w:sz w:val="13"/>
          <w:szCs w:val="13"/>
          <w:color w:val="auto"/>
        </w:rPr>
        <w:t>The term “</w:t>
      </w:r>
      <w:r>
        <w:rPr>
          <w:rFonts w:ascii="Arial" w:cs="Arial" w:eastAsia="Arial" w:hAnsi="Arial"/>
          <w:sz w:val="13"/>
          <w:szCs w:val="13"/>
          <w:i w:val="1"/>
          <w:iCs w:val="1"/>
          <w:color w:val="auto"/>
        </w:rPr>
        <w:t>Bankruptcy Law</w:t>
      </w:r>
      <w:r>
        <w:rPr>
          <w:rFonts w:ascii="Arial" w:cs="Arial" w:eastAsia="Arial" w:hAnsi="Arial"/>
          <w:sz w:val="13"/>
          <w:szCs w:val="13"/>
          <w:color w:val="auto"/>
        </w:rPr>
        <w:t>” means title 11, U.S. Code or any similar Federal or State law for the relief of debtors. The term “</w:t>
      </w:r>
      <w:r>
        <w:rPr>
          <w:rFonts w:ascii="Arial" w:cs="Arial" w:eastAsia="Arial" w:hAnsi="Arial"/>
          <w:sz w:val="13"/>
          <w:szCs w:val="13"/>
          <w:i w:val="1"/>
          <w:iCs w:val="1"/>
          <w:color w:val="auto"/>
        </w:rPr>
        <w:t>Custodian</w:t>
      </w:r>
      <w:r>
        <w:rPr>
          <w:rFonts w:ascii="Arial" w:cs="Arial" w:eastAsia="Arial" w:hAnsi="Arial"/>
          <w:sz w:val="13"/>
          <w:szCs w:val="13"/>
          <w:color w:val="auto"/>
        </w:rPr>
        <w:t>” means any receiver, trustee, assignee, liquidator or similar official under any Bankruptcy Law.</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 Default under one Series of Securities issued under this Indenture will not necessarily be a default under another Series of Securities under this Indenture.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6.2. </w:t>
      </w:r>
      <w:r>
        <w:rPr>
          <w:rFonts w:ascii="Arial" w:cs="Arial" w:eastAsia="Arial" w:hAnsi="Arial"/>
          <w:sz w:val="13"/>
          <w:szCs w:val="13"/>
          <w:u w:val="single" w:color="auto"/>
          <w:color w:val="auto"/>
        </w:rPr>
        <w:t>Acceleration of Maturity; Rescission and Annulment</w:t>
      </w:r>
      <w:r>
        <w:rPr>
          <w:rFonts w:ascii="Arial" w:cs="Arial" w:eastAsia="Arial" w:hAnsi="Arial"/>
          <w:sz w:val="13"/>
          <w:szCs w:val="13"/>
          <w:color w:val="auto"/>
        </w:rPr>
        <w:t>.</w:t>
      </w:r>
    </w:p>
    <w:p>
      <w:pPr>
        <w:spacing w:after="0" w:line="86" w:lineRule="exact"/>
        <w:rPr>
          <w:sz w:val="20"/>
          <w:szCs w:val="20"/>
          <w:color w:val="auto"/>
        </w:rPr>
      </w:pPr>
    </w:p>
    <w:p>
      <w:pPr>
        <w:jc w:val="both"/>
        <w:ind w:firstLine="328"/>
        <w:spacing w:after="0" w:line="296" w:lineRule="auto"/>
        <w:rPr>
          <w:sz w:val="20"/>
          <w:szCs w:val="20"/>
          <w:color w:val="auto"/>
        </w:rPr>
      </w:pPr>
      <w:r>
        <w:rPr>
          <w:rFonts w:ascii="Arial" w:cs="Arial" w:eastAsia="Arial" w:hAnsi="Arial"/>
          <w:sz w:val="12"/>
          <w:szCs w:val="12"/>
          <w:color w:val="auto"/>
        </w:rPr>
        <w:t>If an Event of Default for a Series of Securities occurs and is continuing (other than an Event of Default referred to in Section 6.1(e) or (f)), the Trustee or the Holders of at least 25% in principal amount of such Series of Securities may require the Company to pay immediately the principal amount plus accrued and unpaid interest on such Securities. If an Event of Default referred to in Section 6.1(e) or (f) occurs, the principal amount plus accrued and unpaid interest on such Series of Securities will become immediately due and payable without any action on the part of the Trustee or any Holder.</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At any time after such a declaration of acceleration with respect to any Series has been made and before a judgment or decree for payment of the money due has been obtained by</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68" w:name="page69"/>
    <w:bookmarkEnd w:id="68"/>
    <w:p>
      <w:pPr>
        <w:jc w:val="both"/>
        <w:ind w:right="80"/>
        <w:spacing w:after="0" w:line="264" w:lineRule="auto"/>
        <w:rPr>
          <w:sz w:val="20"/>
          <w:szCs w:val="20"/>
          <w:color w:val="auto"/>
        </w:rPr>
      </w:pPr>
      <w:r>
        <w:rPr>
          <w:rFonts w:ascii="Arial" w:cs="Arial" w:eastAsia="Arial" w:hAnsi="Arial"/>
          <w:sz w:val="13"/>
          <w:szCs w:val="13"/>
          <w:color w:val="auto"/>
        </w:rPr>
        <w:t>the Trustee as hereinafter in this Article VI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 such rescission shall affect any subsequent Default or impair any right consequent thereon.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6.3. </w:t>
      </w:r>
      <w:r>
        <w:rPr>
          <w:rFonts w:ascii="Arial" w:cs="Arial" w:eastAsia="Arial" w:hAnsi="Arial"/>
          <w:sz w:val="13"/>
          <w:szCs w:val="13"/>
          <w:u w:val="single" w:color="auto"/>
          <w:color w:val="auto"/>
        </w:rPr>
        <w:t>Collection of Indebtedness and Suits for Enforcement by Trustee</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Company covenants that if</w:t>
      </w:r>
    </w:p>
    <w:p>
      <w:pPr>
        <w:spacing w:after="0" w:line="86" w:lineRule="exact"/>
        <w:rPr>
          <w:sz w:val="20"/>
          <w:szCs w:val="20"/>
          <w:color w:val="auto"/>
        </w:rPr>
      </w:pPr>
    </w:p>
    <w:p>
      <w:pPr>
        <w:ind w:left="560" w:hanging="168"/>
        <w:spacing w:after="0"/>
        <w:tabs>
          <w:tab w:leader="none" w:pos="5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default is made in the payment of any interest on any Security when such interest becomes due and payable and such default continues for a period of 30 days, or</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default is made in the payment of principal of any Security at the Maturity thereof, or</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default is made in the deposit of any sinking fund payment when and as due by the terms of a Security,</w:t>
      </w:r>
    </w:p>
    <w:p>
      <w:pPr>
        <w:spacing w:after="0" w:line="86" w:lineRule="exact"/>
        <w:rPr>
          <w:sz w:val="20"/>
          <w:szCs w:val="20"/>
          <w:color w:val="auto"/>
        </w:rPr>
      </w:pPr>
    </w:p>
    <w:p>
      <w:pPr>
        <w:ind w:right="40"/>
        <w:spacing w:after="0" w:line="296" w:lineRule="auto"/>
        <w:rPr>
          <w:sz w:val="20"/>
          <w:szCs w:val="20"/>
          <w:color w:val="auto"/>
        </w:rPr>
      </w:pPr>
      <w:r>
        <w:rPr>
          <w:rFonts w:ascii="Arial" w:cs="Arial" w:eastAsia="Arial" w:hAnsi="Arial"/>
          <w:sz w:val="12"/>
          <w:szCs w:val="12"/>
          <w:i w:val="1"/>
          <w:iCs w:val="1"/>
          <w:color w:val="auto"/>
        </w:rPr>
        <w:t xml:space="preserve">then, </w:t>
      </w:r>
      <w:r>
        <w:rPr>
          <w:rFonts w:ascii="Arial" w:cs="Arial" w:eastAsia="Arial" w:hAnsi="Arial"/>
          <w:sz w:val="12"/>
          <w:szCs w:val="12"/>
          <w:color w:val="auto"/>
        </w:rPr>
        <w:t>the Company will, upon demand of the Trustee, pay to it, for the benefit of the Holders of such Securities, the whole amount then due and payable on such Securities for principal and interest and, to the extent that</w:t>
      </w:r>
      <w:r>
        <w:rPr>
          <w:rFonts w:ascii="Arial" w:cs="Arial" w:eastAsia="Arial" w:hAnsi="Arial"/>
          <w:sz w:val="12"/>
          <w:szCs w:val="12"/>
          <w:i w:val="1"/>
          <w:iCs w:val="1"/>
          <w:color w:val="auto"/>
        </w:rPr>
        <w:t xml:space="preserve"> </w:t>
      </w:r>
      <w:r>
        <w:rPr>
          <w:rFonts w:ascii="Arial" w:cs="Arial" w:eastAsia="Arial" w:hAnsi="Arial"/>
          <w:sz w:val="12"/>
          <w:szCs w:val="12"/>
          <w:color w:val="auto"/>
        </w:rPr>
        <w:t>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40"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57" w:lineRule="exact"/>
        <w:rPr>
          <w:sz w:val="20"/>
          <w:szCs w:val="20"/>
          <w:color w:val="auto"/>
        </w:rPr>
      </w:pPr>
    </w:p>
    <w:p>
      <w:pPr>
        <w:jc w:val="both"/>
        <w:ind w:right="100" w:firstLine="328"/>
        <w:spacing w:after="0" w:line="264" w:lineRule="auto"/>
        <w:rPr>
          <w:sz w:val="20"/>
          <w:szCs w:val="20"/>
          <w:color w:val="auto"/>
        </w:rPr>
      </w:pPr>
      <w:r>
        <w:rPr>
          <w:rFonts w:ascii="Arial" w:cs="Arial" w:eastAsia="Arial" w:hAnsi="Arial"/>
          <w:sz w:val="13"/>
          <w:szCs w:val="13"/>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69" w:name="page70"/>
    <w:bookmarkEnd w:id="69"/>
    <w:p>
      <w:pPr>
        <w:ind w:left="160"/>
        <w:spacing w:after="0"/>
        <w:rPr>
          <w:sz w:val="20"/>
          <w:szCs w:val="20"/>
          <w:color w:val="auto"/>
        </w:rPr>
      </w:pPr>
      <w:r>
        <w:rPr>
          <w:rFonts w:ascii="Arial" w:cs="Arial" w:eastAsia="Arial" w:hAnsi="Arial"/>
          <w:sz w:val="13"/>
          <w:szCs w:val="13"/>
          <w:color w:val="auto"/>
        </w:rPr>
        <w:t xml:space="preserve">Section 6.4. </w:t>
      </w:r>
      <w:r>
        <w:rPr>
          <w:rFonts w:ascii="Arial" w:cs="Arial" w:eastAsia="Arial" w:hAnsi="Arial"/>
          <w:sz w:val="13"/>
          <w:szCs w:val="13"/>
          <w:u w:val="single" w:color="auto"/>
          <w:color w:val="auto"/>
        </w:rPr>
        <w:t>Trustee May File Proofs of Claim</w:t>
      </w:r>
      <w:r>
        <w:rPr>
          <w:rFonts w:ascii="Arial" w:cs="Arial" w:eastAsia="Arial" w:hAnsi="Arial"/>
          <w:sz w:val="13"/>
          <w:szCs w:val="13"/>
          <w:color w:val="auto"/>
        </w:rPr>
        <w:t>.</w:t>
      </w:r>
    </w:p>
    <w:p>
      <w:pPr>
        <w:spacing w:after="0" w:line="86" w:lineRule="exact"/>
        <w:rPr>
          <w:sz w:val="20"/>
          <w:szCs w:val="20"/>
          <w:color w:val="auto"/>
        </w:rPr>
      </w:pPr>
    </w:p>
    <w:p>
      <w:pPr>
        <w:ind w:right="60" w:firstLine="328"/>
        <w:spacing w:after="0" w:line="260" w:lineRule="auto"/>
        <w:rPr>
          <w:sz w:val="20"/>
          <w:szCs w:val="20"/>
          <w:color w:val="auto"/>
        </w:rPr>
      </w:pPr>
      <w:r>
        <w:rPr>
          <w:rFonts w:ascii="Arial" w:cs="Arial" w:eastAsia="Arial" w:hAnsi="Arial"/>
          <w:sz w:val="13"/>
          <w:szCs w:val="13"/>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60" w:lineRule="exact"/>
        <w:rPr>
          <w:sz w:val="20"/>
          <w:szCs w:val="20"/>
          <w:color w:val="auto"/>
        </w:rPr>
      </w:pPr>
    </w:p>
    <w:p>
      <w:pPr>
        <w:ind w:left="220" w:firstLine="172"/>
        <w:spacing w:after="0" w:line="264" w:lineRule="auto"/>
        <w:tabs>
          <w:tab w:leader="none" w:pos="562" w:val="left"/>
        </w:tabs>
        <w:numPr>
          <w:ilvl w:val="0"/>
          <w:numId w:val="49"/>
        </w:numPr>
        <w:rPr>
          <w:rFonts w:ascii="Arial" w:cs="Arial" w:eastAsia="Arial" w:hAnsi="Arial"/>
          <w:sz w:val="13"/>
          <w:szCs w:val="13"/>
          <w:color w:val="auto"/>
        </w:rPr>
      </w:pPr>
      <w:r>
        <w:rPr>
          <w:rFonts w:ascii="Arial" w:cs="Arial" w:eastAsia="Arial" w:hAnsi="Arial"/>
          <w:sz w:val="13"/>
          <w:szCs w:val="13"/>
          <w:color w:val="auto"/>
        </w:rPr>
        <w:t>to file and prove a claim for the whole amount of principal and interest owing and unpaid with respect to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57" w:lineRule="exact"/>
        <w:rPr>
          <w:rFonts w:ascii="Arial" w:cs="Arial" w:eastAsia="Arial" w:hAnsi="Arial"/>
          <w:sz w:val="13"/>
          <w:szCs w:val="13"/>
          <w:color w:val="auto"/>
        </w:rPr>
      </w:pPr>
    </w:p>
    <w:p>
      <w:pPr>
        <w:ind w:left="580" w:hanging="188"/>
        <w:spacing w:after="0"/>
        <w:tabs>
          <w:tab w:leader="none" w:pos="5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to collect and receive any moneys or other property payable or deliverable on any such claims and to distribute the same,</w:t>
      </w:r>
    </w:p>
    <w:p>
      <w:pPr>
        <w:spacing w:after="0" w:line="86" w:lineRule="exact"/>
        <w:rPr>
          <w:sz w:val="20"/>
          <w:szCs w:val="20"/>
          <w:color w:val="auto"/>
        </w:rPr>
      </w:pPr>
    </w:p>
    <w:p>
      <w:pPr>
        <w:jc w:val="both"/>
        <w:ind w:right="40"/>
        <w:spacing w:after="0" w:line="264" w:lineRule="auto"/>
        <w:rPr>
          <w:sz w:val="20"/>
          <w:szCs w:val="20"/>
          <w:color w:val="auto"/>
        </w:rPr>
      </w:pPr>
      <w:r>
        <w:rPr>
          <w:rFonts w:ascii="Arial" w:cs="Arial" w:eastAsia="Arial" w:hAnsi="Arial"/>
          <w:sz w:val="13"/>
          <w:szCs w:val="13"/>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7.6.</w:t>
      </w:r>
    </w:p>
    <w:p>
      <w:pPr>
        <w:spacing w:after="0" w:line="57" w:lineRule="exact"/>
        <w:rPr>
          <w:sz w:val="20"/>
          <w:szCs w:val="20"/>
          <w:color w:val="auto"/>
        </w:rPr>
      </w:pPr>
    </w:p>
    <w:p>
      <w:pPr>
        <w:ind w:right="380" w:firstLine="328"/>
        <w:spacing w:after="0" w:line="276" w:lineRule="auto"/>
        <w:rPr>
          <w:sz w:val="20"/>
          <w:szCs w:val="20"/>
          <w:color w:val="auto"/>
        </w:rPr>
      </w:pPr>
      <w:r>
        <w:rPr>
          <w:rFonts w:ascii="Arial" w:cs="Arial" w:eastAsia="Arial" w:hAnsi="Arial"/>
          <w:sz w:val="13"/>
          <w:szCs w:val="13"/>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with respect to the claim of any Holder in any such proceeding.</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6.5. </w:t>
      </w:r>
      <w:r>
        <w:rPr>
          <w:rFonts w:ascii="Arial" w:cs="Arial" w:eastAsia="Arial" w:hAnsi="Arial"/>
          <w:sz w:val="13"/>
          <w:szCs w:val="13"/>
          <w:u w:val="single" w:color="auto"/>
          <w:color w:val="auto"/>
        </w:rPr>
        <w:t>Trustee May Enforce Claims Without Possession of Securities</w:t>
      </w:r>
      <w:r>
        <w:rPr>
          <w:rFonts w:ascii="Arial" w:cs="Arial" w:eastAsia="Arial" w:hAnsi="Arial"/>
          <w:sz w:val="13"/>
          <w:szCs w:val="13"/>
          <w:color w:val="auto"/>
        </w:rPr>
        <w:t>.</w:t>
      </w:r>
    </w:p>
    <w:p>
      <w:pPr>
        <w:spacing w:after="0" w:line="86" w:lineRule="exact"/>
        <w:rPr>
          <w:sz w:val="20"/>
          <w:szCs w:val="20"/>
          <w:color w:val="auto"/>
        </w:rPr>
      </w:pPr>
    </w:p>
    <w:p>
      <w:pPr>
        <w:ind w:right="140" w:firstLine="320"/>
        <w:spacing w:after="0" w:line="334" w:lineRule="auto"/>
        <w:rPr>
          <w:sz w:val="20"/>
          <w:szCs w:val="20"/>
          <w:color w:val="auto"/>
        </w:rPr>
      </w:pPr>
      <w:r>
        <w:rPr>
          <w:rFonts w:ascii="Arial" w:cs="Arial" w:eastAsia="Arial" w:hAnsi="Arial"/>
          <w:sz w:val="11"/>
          <w:szCs w:val="11"/>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with respect to which such judgment has been recovered.</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6.6. </w:t>
      </w:r>
      <w:r>
        <w:rPr>
          <w:rFonts w:ascii="Arial" w:cs="Arial" w:eastAsia="Arial" w:hAnsi="Arial"/>
          <w:sz w:val="13"/>
          <w:szCs w:val="13"/>
          <w:u w:val="single" w:color="auto"/>
          <w:color w:val="auto"/>
        </w:rPr>
        <w:t>Application of Money Collected</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Any money collected by the Trustee pursuant to this Article VI shall be applied in the following order, at the date or dates fixed by the Trustee and, in case of the distribution of</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70" w:name="page71"/>
    <w:bookmarkEnd w:id="70"/>
    <w:p>
      <w:pPr>
        <w:spacing w:after="0"/>
        <w:rPr>
          <w:sz w:val="20"/>
          <w:szCs w:val="20"/>
          <w:color w:val="auto"/>
        </w:rPr>
      </w:pPr>
      <w:r>
        <w:rPr>
          <w:rFonts w:ascii="Arial" w:cs="Arial" w:eastAsia="Arial" w:hAnsi="Arial"/>
          <w:sz w:val="13"/>
          <w:szCs w:val="13"/>
          <w:color w:val="auto"/>
        </w:rPr>
        <w:t>such money on account of principal or interest, upon presentation of the Securities and the notation thereon of the payment if only partially paid and upon surrender thereof if fully paid:</w:t>
      </w:r>
    </w:p>
    <w:p>
      <w:pPr>
        <w:spacing w:after="0" w:line="86" w:lineRule="exact"/>
        <w:rPr>
          <w:sz w:val="20"/>
          <w:szCs w:val="20"/>
          <w:color w:val="auto"/>
        </w:rPr>
      </w:pPr>
    </w:p>
    <w:p>
      <w:pPr>
        <w:jc w:val="both"/>
        <w:ind w:right="20" w:firstLine="328"/>
        <w:spacing w:after="0" w:line="264" w:lineRule="auto"/>
        <w:rPr>
          <w:sz w:val="20"/>
          <w:szCs w:val="20"/>
          <w:color w:val="auto"/>
        </w:rPr>
      </w:pPr>
      <w:r>
        <w:rPr>
          <w:rFonts w:ascii="Arial" w:cs="Arial" w:eastAsia="Arial" w:hAnsi="Arial"/>
          <w:sz w:val="13"/>
          <w:szCs w:val="13"/>
          <w:color w:val="auto"/>
        </w:rPr>
        <w:t>First: To the payment of all amounts due the Trustee under Section 7.6; Second: To the payment of the amounts then due and unpaid for principal of, premium, if any, and interest on the Securities with respect to which or for the benefit of which such money has been collected, ratably, without preference or priority of any kind, according to the amounts due and payable on such Securities for principal and interest, respectively; and</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Third: To the Company.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6.7. </w:t>
      </w:r>
      <w:r>
        <w:rPr>
          <w:rFonts w:ascii="Arial" w:cs="Arial" w:eastAsia="Arial" w:hAnsi="Arial"/>
          <w:sz w:val="13"/>
          <w:szCs w:val="13"/>
          <w:u w:val="single" w:color="auto"/>
          <w:color w:val="auto"/>
        </w:rPr>
        <w:t>Limitation on Suits</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 Holder of Securities of any Series may pursue any remedy under this Indenture applicable to such Securities only if:</w:t>
      </w:r>
    </w:p>
    <w:p>
      <w:pPr>
        <w:spacing w:after="0" w:line="86" w:lineRule="exact"/>
        <w:rPr>
          <w:sz w:val="20"/>
          <w:szCs w:val="20"/>
          <w:color w:val="auto"/>
        </w:rPr>
      </w:pPr>
    </w:p>
    <w:p>
      <w:pPr>
        <w:ind w:left="560" w:hanging="168"/>
        <w:spacing w:after="0"/>
        <w:tabs>
          <w:tab w:leader="none" w:pos="5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Holder gives the Trustee written notice of a continuing Event of Default for such Series of Securities;</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Holders of at least 25% in principal amount of such outstanding Series of Securities make a written request to the Trustee to pursue the remedy;</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Holders furnish to the Trustee indemnity reasonably satisfactory to the Trustee against the costs, expenses and liabilities which might be incurred by it in compliance with such request;</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Trustee fails to act for a period of 60 days after receipt of notice and furnishing of indemnity; and</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during that 60-day period, the Holders of a majority in principal amount of such Securities do not give the Trustee a direction inconsistent with the request.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This provision does not, however, affect the right of a Holder of Securities to sue for enforcement of any overdue payment with respect to such Securities.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6.8. </w:t>
      </w:r>
      <w:r>
        <w:rPr>
          <w:rFonts w:ascii="Arial" w:cs="Arial" w:eastAsia="Arial" w:hAnsi="Arial"/>
          <w:sz w:val="13"/>
          <w:szCs w:val="13"/>
          <w:u w:val="single" w:color="auto"/>
          <w:color w:val="auto"/>
        </w:rPr>
        <w:t>Unconditional Right of Holders to Receive Principal and Interest</w:t>
      </w:r>
      <w:r>
        <w:rPr>
          <w:rFonts w:ascii="Arial" w:cs="Arial" w:eastAsia="Arial" w:hAnsi="Arial"/>
          <w:sz w:val="13"/>
          <w:szCs w:val="13"/>
          <w:color w:val="auto"/>
        </w:rPr>
        <w:t>.</w:t>
      </w:r>
    </w:p>
    <w:p>
      <w:pPr>
        <w:spacing w:after="0" w:line="86"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71" w:name="page72"/>
    <w:bookmarkEnd w:id="71"/>
    <w:p>
      <w:pPr>
        <w:ind w:left="160"/>
        <w:spacing w:after="0"/>
        <w:rPr>
          <w:sz w:val="20"/>
          <w:szCs w:val="20"/>
          <w:color w:val="auto"/>
        </w:rPr>
      </w:pPr>
      <w:r>
        <w:rPr>
          <w:rFonts w:ascii="Arial" w:cs="Arial" w:eastAsia="Arial" w:hAnsi="Arial"/>
          <w:sz w:val="13"/>
          <w:szCs w:val="13"/>
          <w:color w:val="auto"/>
        </w:rPr>
        <w:t xml:space="preserve">Section 6.9. </w:t>
      </w:r>
      <w:r>
        <w:rPr>
          <w:rFonts w:ascii="Arial" w:cs="Arial" w:eastAsia="Arial" w:hAnsi="Arial"/>
          <w:sz w:val="13"/>
          <w:szCs w:val="13"/>
          <w:u w:val="single" w:color="auto"/>
          <w:color w:val="auto"/>
        </w:rPr>
        <w:t>Restoration of Rights and Remedies</w:t>
      </w:r>
      <w:r>
        <w:rPr>
          <w:rFonts w:ascii="Arial" w:cs="Arial" w:eastAsia="Arial" w:hAnsi="Arial"/>
          <w:sz w:val="13"/>
          <w:szCs w:val="13"/>
          <w:color w:val="auto"/>
        </w:rPr>
        <w:t>.</w:t>
      </w:r>
    </w:p>
    <w:p>
      <w:pPr>
        <w:spacing w:after="0" w:line="86" w:lineRule="exact"/>
        <w:rPr>
          <w:sz w:val="20"/>
          <w:szCs w:val="20"/>
          <w:color w:val="auto"/>
        </w:rPr>
      </w:pPr>
    </w:p>
    <w:p>
      <w:pPr>
        <w:jc w:val="both"/>
        <w:ind w:right="180" w:firstLine="328"/>
        <w:spacing w:after="0" w:line="296" w:lineRule="auto"/>
        <w:rPr>
          <w:sz w:val="20"/>
          <w:szCs w:val="20"/>
          <w:color w:val="auto"/>
        </w:rPr>
      </w:pPr>
      <w:r>
        <w:rPr>
          <w:rFonts w:ascii="Arial" w:cs="Arial" w:eastAsia="Arial" w:hAnsi="Arial"/>
          <w:sz w:val="12"/>
          <w:szCs w:val="12"/>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6.10. </w:t>
      </w:r>
      <w:r>
        <w:rPr>
          <w:rFonts w:ascii="Arial" w:cs="Arial" w:eastAsia="Arial" w:hAnsi="Arial"/>
          <w:sz w:val="13"/>
          <w:szCs w:val="13"/>
          <w:u w:val="single" w:color="auto"/>
          <w:color w:val="auto"/>
        </w:rPr>
        <w:t>Rights and Remedies Cumulative</w:t>
      </w:r>
      <w:r>
        <w:rPr>
          <w:rFonts w:ascii="Arial" w:cs="Arial" w:eastAsia="Arial" w:hAnsi="Arial"/>
          <w:sz w:val="13"/>
          <w:szCs w:val="13"/>
          <w:color w:val="auto"/>
        </w:rPr>
        <w:t>.</w:t>
      </w:r>
    </w:p>
    <w:p>
      <w:pPr>
        <w:spacing w:after="0" w:line="86" w:lineRule="exact"/>
        <w:rPr>
          <w:sz w:val="20"/>
          <w:szCs w:val="20"/>
          <w:color w:val="auto"/>
        </w:rPr>
      </w:pPr>
    </w:p>
    <w:p>
      <w:pPr>
        <w:ind w:right="60" w:firstLine="328"/>
        <w:spacing w:after="0" w:line="260" w:lineRule="auto"/>
        <w:rPr>
          <w:sz w:val="20"/>
          <w:szCs w:val="20"/>
          <w:color w:val="auto"/>
        </w:rPr>
      </w:pPr>
      <w:r>
        <w:rPr>
          <w:rFonts w:ascii="Arial" w:cs="Arial" w:eastAsia="Arial" w:hAnsi="Arial"/>
          <w:sz w:val="13"/>
          <w:szCs w:val="13"/>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6.11. </w:t>
      </w:r>
      <w:r>
        <w:rPr>
          <w:rFonts w:ascii="Arial" w:cs="Arial" w:eastAsia="Arial" w:hAnsi="Arial"/>
          <w:sz w:val="13"/>
          <w:szCs w:val="13"/>
          <w:u w:val="single" w:color="auto"/>
          <w:color w:val="auto"/>
        </w:rPr>
        <w:t>Delay or Omission Not Waiver</w:t>
      </w:r>
      <w:r>
        <w:rPr>
          <w:rFonts w:ascii="Arial" w:cs="Arial" w:eastAsia="Arial" w:hAnsi="Arial"/>
          <w:sz w:val="13"/>
          <w:szCs w:val="13"/>
          <w:color w:val="auto"/>
        </w:rPr>
        <w:t>.</w:t>
      </w:r>
    </w:p>
    <w:p>
      <w:pPr>
        <w:spacing w:after="0" w:line="86" w:lineRule="exact"/>
        <w:rPr>
          <w:sz w:val="20"/>
          <w:szCs w:val="20"/>
          <w:color w:val="auto"/>
        </w:rPr>
      </w:pPr>
    </w:p>
    <w:p>
      <w:pPr>
        <w:jc w:val="both"/>
        <w:ind w:firstLine="328"/>
        <w:spacing w:after="0" w:line="264" w:lineRule="auto"/>
        <w:rPr>
          <w:sz w:val="20"/>
          <w:szCs w:val="20"/>
          <w:color w:val="auto"/>
        </w:rPr>
      </w:pPr>
      <w:r>
        <w:rPr>
          <w:rFonts w:ascii="Arial" w:cs="Arial" w:eastAsia="Arial" w:hAnsi="Arial"/>
          <w:sz w:val="13"/>
          <w:szCs w:val="13"/>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6.12. </w:t>
      </w:r>
      <w:r>
        <w:rPr>
          <w:rFonts w:ascii="Arial" w:cs="Arial" w:eastAsia="Arial" w:hAnsi="Arial"/>
          <w:sz w:val="13"/>
          <w:szCs w:val="13"/>
          <w:u w:val="single" w:color="auto"/>
          <w:color w:val="auto"/>
        </w:rPr>
        <w:t>Control by Holders</w:t>
      </w:r>
      <w:r>
        <w:rPr>
          <w:rFonts w:ascii="Arial" w:cs="Arial" w:eastAsia="Arial" w:hAnsi="Arial"/>
          <w:sz w:val="13"/>
          <w:szCs w:val="13"/>
          <w:color w:val="auto"/>
        </w:rPr>
        <w:t>.</w:t>
      </w:r>
    </w:p>
    <w:p>
      <w:pPr>
        <w:spacing w:after="0" w:line="86" w:lineRule="exact"/>
        <w:rPr>
          <w:sz w:val="20"/>
          <w:szCs w:val="20"/>
          <w:color w:val="auto"/>
        </w:rPr>
      </w:pPr>
    </w:p>
    <w:p>
      <w:pPr>
        <w:ind w:right="200" w:firstLine="325"/>
        <w:spacing w:after="0" w:line="276" w:lineRule="auto"/>
        <w:rPr>
          <w:sz w:val="20"/>
          <w:szCs w:val="20"/>
          <w:color w:val="auto"/>
        </w:rPr>
      </w:pPr>
      <w:r>
        <w:rPr>
          <w:rFonts w:ascii="Arial" w:cs="Arial" w:eastAsia="Arial" w:hAnsi="Arial"/>
          <w:sz w:val="13"/>
          <w:szCs w:val="13"/>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49" w:lineRule="exact"/>
        <w:rPr>
          <w:sz w:val="20"/>
          <w:szCs w:val="20"/>
          <w:color w:val="auto"/>
        </w:rPr>
      </w:pPr>
    </w:p>
    <w:p>
      <w:pPr>
        <w:ind w:left="560" w:hanging="168"/>
        <w:spacing w:after="0"/>
        <w:tabs>
          <w:tab w:leader="none" w:pos="5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such direction shall not be in conflict with any rule of law or with this Indenture,</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Trustee may take any other action deemed proper by the Trustee which is not inconsistent with such direction, and</w:t>
      </w:r>
    </w:p>
    <w:p>
      <w:pPr>
        <w:spacing w:after="0" w:line="86" w:lineRule="exact"/>
        <w:rPr>
          <w:rFonts w:ascii="Arial" w:cs="Arial" w:eastAsia="Arial" w:hAnsi="Arial"/>
          <w:sz w:val="13"/>
          <w:szCs w:val="13"/>
          <w:color w:val="auto"/>
        </w:rPr>
      </w:pPr>
    </w:p>
    <w:p>
      <w:pPr>
        <w:ind w:left="220" w:right="120" w:firstLine="172"/>
        <w:spacing w:after="0" w:line="320" w:lineRule="auto"/>
        <w:tabs>
          <w:tab w:leader="none" w:pos="562"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Trustee shall have the right to decline to follow any such direction if the Trustee in good faith shall, by a Responsible Officer of the Trustee, determine that the proceeding so directed would involve the Trustee in personal liability or that it will not be adequately indemnified against the costs, expenses and liabilities which might be incurred by it in complying with such direction.</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72" w:name="page73"/>
    <w:bookmarkEnd w:id="72"/>
    <w:p>
      <w:pPr>
        <w:ind w:left="160"/>
        <w:spacing w:after="0"/>
        <w:rPr>
          <w:sz w:val="20"/>
          <w:szCs w:val="20"/>
          <w:color w:val="auto"/>
        </w:rPr>
      </w:pPr>
      <w:r>
        <w:rPr>
          <w:rFonts w:ascii="Arial" w:cs="Arial" w:eastAsia="Arial" w:hAnsi="Arial"/>
          <w:sz w:val="13"/>
          <w:szCs w:val="13"/>
          <w:color w:val="auto"/>
        </w:rPr>
        <w:t xml:space="preserve">Section 6.13. </w:t>
      </w:r>
      <w:r>
        <w:rPr>
          <w:rFonts w:ascii="Arial" w:cs="Arial" w:eastAsia="Arial" w:hAnsi="Arial"/>
          <w:sz w:val="13"/>
          <w:szCs w:val="13"/>
          <w:u w:val="single" w:color="auto"/>
          <w:color w:val="auto"/>
        </w:rPr>
        <w:t>Waiver of Past Defaults</w:t>
      </w:r>
      <w:r>
        <w:rPr>
          <w:rFonts w:ascii="Arial" w:cs="Arial" w:eastAsia="Arial" w:hAnsi="Arial"/>
          <w:sz w:val="13"/>
          <w:szCs w:val="13"/>
          <w:color w:val="auto"/>
        </w:rPr>
        <w:t>.</w:t>
      </w:r>
    </w:p>
    <w:p>
      <w:pPr>
        <w:spacing w:after="0" w:line="86" w:lineRule="exact"/>
        <w:rPr>
          <w:sz w:val="20"/>
          <w:szCs w:val="20"/>
          <w:color w:val="auto"/>
        </w:rPr>
      </w:pPr>
    </w:p>
    <w:p>
      <w:pPr>
        <w:ind w:right="240" w:firstLine="325"/>
        <w:spacing w:after="0" w:line="258" w:lineRule="auto"/>
        <w:rPr>
          <w:sz w:val="20"/>
          <w:szCs w:val="20"/>
          <w:color w:val="auto"/>
        </w:rPr>
      </w:pPr>
      <w:r>
        <w:rPr>
          <w:rFonts w:ascii="Arial" w:cs="Arial" w:eastAsia="Arial" w:hAnsi="Arial"/>
          <w:sz w:val="13"/>
          <w:szCs w:val="13"/>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6.14. </w:t>
      </w:r>
      <w:r>
        <w:rPr>
          <w:rFonts w:ascii="Arial" w:cs="Arial" w:eastAsia="Arial" w:hAnsi="Arial"/>
          <w:sz w:val="13"/>
          <w:szCs w:val="13"/>
          <w:u w:val="single" w:color="auto"/>
          <w:color w:val="auto"/>
        </w:rPr>
        <w:t>Undertaking for Costs</w:t>
      </w:r>
      <w:r>
        <w:rPr>
          <w:rFonts w:ascii="Arial" w:cs="Arial" w:eastAsia="Arial" w:hAnsi="Arial"/>
          <w:sz w:val="13"/>
          <w:szCs w:val="13"/>
          <w:color w:val="auto"/>
        </w:rPr>
        <w:t>.</w:t>
      </w:r>
    </w:p>
    <w:p>
      <w:pPr>
        <w:spacing w:after="0" w:line="86" w:lineRule="exact"/>
        <w:rPr>
          <w:sz w:val="20"/>
          <w:szCs w:val="20"/>
          <w:color w:val="auto"/>
        </w:rPr>
      </w:pPr>
    </w:p>
    <w:p>
      <w:pPr>
        <w:ind w:right="20" w:firstLine="320"/>
        <w:spacing w:after="0" w:line="282" w:lineRule="auto"/>
        <w:rPr>
          <w:sz w:val="20"/>
          <w:szCs w:val="20"/>
          <w:color w:val="auto"/>
        </w:rPr>
      </w:pPr>
      <w:r>
        <w:rPr>
          <w:rFonts w:ascii="Arial" w:cs="Arial" w:eastAsia="Arial" w:hAnsi="Arial"/>
          <w:sz w:val="12"/>
          <w:szCs w:val="12"/>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VII.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TRUSTEE</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7.1. </w:t>
      </w:r>
      <w:r>
        <w:rPr>
          <w:rFonts w:ascii="Arial" w:cs="Arial" w:eastAsia="Arial" w:hAnsi="Arial"/>
          <w:sz w:val="13"/>
          <w:szCs w:val="13"/>
          <w:u w:val="single" w:color="auto"/>
          <w:color w:val="auto"/>
        </w:rPr>
        <w:t>Duties of Trustee</w:t>
      </w:r>
      <w:r>
        <w:rPr>
          <w:rFonts w:ascii="Arial" w:cs="Arial" w:eastAsia="Arial" w:hAnsi="Arial"/>
          <w:sz w:val="13"/>
          <w:szCs w:val="13"/>
          <w:color w:val="auto"/>
        </w:rPr>
        <w:t>.</w:t>
      </w:r>
    </w:p>
    <w:p>
      <w:pPr>
        <w:spacing w:after="0" w:line="86" w:lineRule="exact"/>
        <w:rPr>
          <w:sz w:val="20"/>
          <w:szCs w:val="20"/>
          <w:color w:val="auto"/>
        </w:rPr>
      </w:pPr>
    </w:p>
    <w:p>
      <w:pPr>
        <w:ind w:left="220" w:right="260" w:firstLine="172"/>
        <w:spacing w:after="0" w:line="276" w:lineRule="auto"/>
        <w:tabs>
          <w:tab w:leader="none" w:pos="562" w:val="left"/>
        </w:tabs>
        <w:numPr>
          <w:ilvl w:val="0"/>
          <w:numId w:val="52"/>
        </w:numPr>
        <w:rPr>
          <w:rFonts w:ascii="Arial" w:cs="Arial" w:eastAsia="Arial" w:hAnsi="Arial"/>
          <w:sz w:val="13"/>
          <w:szCs w:val="13"/>
          <w:color w:val="auto"/>
        </w:rPr>
      </w:pPr>
      <w:r>
        <w:rPr>
          <w:rFonts w:ascii="Arial" w:cs="Arial" w:eastAsia="Arial" w:hAnsi="Arial"/>
          <w:sz w:val="13"/>
          <w:szCs w:val="13"/>
          <w:color w:val="auto"/>
        </w:rPr>
        <w:t>If an Event of Default has occurred and is continuing, the Trustee shall exercise such of the rights and powers vested in it by this Indenture, and use the same degree of care and skill in such exercise, as a prudent man would exercise or use under the circumstances in the conduct of his own affairs.</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Except during the continuance of an Event of Default with respect to the Securities of any Series:</w:t>
      </w:r>
    </w:p>
    <w:p>
      <w:pPr>
        <w:spacing w:after="0" w:line="86" w:lineRule="exact"/>
        <w:rPr>
          <w:rFonts w:ascii="Arial" w:cs="Arial" w:eastAsia="Arial" w:hAnsi="Arial"/>
          <w:sz w:val="13"/>
          <w:szCs w:val="13"/>
          <w:color w:val="auto"/>
        </w:rPr>
      </w:pPr>
    </w:p>
    <w:p>
      <w:pPr>
        <w:ind w:left="1140" w:hanging="453"/>
        <w:spacing w:after="0" w:line="276" w:lineRule="auto"/>
        <w:tabs>
          <w:tab w:leader="none" w:pos="1140" w:val="left"/>
        </w:tabs>
        <w:numPr>
          <w:ilvl w:val="1"/>
          <w:numId w:val="52"/>
        </w:numPr>
        <w:rPr>
          <w:rFonts w:ascii="Arial" w:cs="Arial" w:eastAsia="Arial" w:hAnsi="Arial"/>
          <w:sz w:val="13"/>
          <w:szCs w:val="13"/>
          <w:color w:val="auto"/>
        </w:rPr>
      </w:pPr>
      <w:r>
        <w:rPr>
          <w:rFonts w:ascii="Arial" w:cs="Arial" w:eastAsia="Arial" w:hAnsi="Arial"/>
          <w:sz w:val="13"/>
          <w:szCs w:val="13"/>
          <w:color w:val="auto"/>
        </w:rPr>
        <w:t>the Trustee need perform only those duties that are specifically set forth in this Indenture and no others, and no implied covenants or obligations shall be read into this Indenture against the Trustee; and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73" w:name="page74"/>
    <w:bookmarkEnd w:id="73"/>
    <w:p>
      <w:pPr>
        <w:ind w:left="980" w:right="40" w:hanging="453"/>
        <w:spacing w:after="0" w:line="264" w:lineRule="auto"/>
        <w:tabs>
          <w:tab w:leader="none" w:pos="980" w:val="left"/>
        </w:tabs>
        <w:numPr>
          <w:ilvl w:val="1"/>
          <w:numId w:val="53"/>
        </w:numPr>
        <w:rPr>
          <w:rFonts w:ascii="Arial" w:cs="Arial" w:eastAsia="Arial" w:hAnsi="Arial"/>
          <w:sz w:val="13"/>
          <w:szCs w:val="13"/>
          <w:color w:val="auto"/>
        </w:rPr>
      </w:pPr>
      <w:r>
        <w:rPr>
          <w:rFonts w:ascii="Arial" w:cs="Arial" w:eastAsia="Arial" w:hAnsi="Arial"/>
          <w:sz w:val="13"/>
          <w:szCs w:val="13"/>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such certificates and opinions to determine whether, on their face, they appear to conform to the requirements of this Indenture.</w:t>
      </w:r>
    </w:p>
    <w:p>
      <w:pPr>
        <w:spacing w:after="0" w:line="57" w:lineRule="exact"/>
        <w:rPr>
          <w:rFonts w:ascii="Arial" w:cs="Arial" w:eastAsia="Arial" w:hAnsi="Arial"/>
          <w:sz w:val="13"/>
          <w:szCs w:val="13"/>
          <w:color w:val="auto"/>
        </w:rPr>
      </w:pPr>
    </w:p>
    <w:p>
      <w:pPr>
        <w:ind w:left="400" w:hanging="168"/>
        <w:spacing w:after="0"/>
        <w:tabs>
          <w:tab w:leader="none" w:pos="4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Trustee may not be relieved from liabilities for its own grossly negligent action, its own grossly negligent failure to act or its own willful misconduct, except that:</w:t>
      </w:r>
    </w:p>
    <w:p>
      <w:pPr>
        <w:spacing w:after="0" w:line="86" w:lineRule="exact"/>
        <w:rPr>
          <w:rFonts w:ascii="Arial" w:cs="Arial" w:eastAsia="Arial" w:hAnsi="Arial"/>
          <w:sz w:val="13"/>
          <w:szCs w:val="13"/>
          <w:color w:val="auto"/>
        </w:rPr>
      </w:pPr>
    </w:p>
    <w:p>
      <w:pPr>
        <w:ind w:left="980" w:hanging="453"/>
        <w:spacing w:after="0"/>
        <w:tabs>
          <w:tab w:leader="none" w:pos="980" w:val="left"/>
        </w:tabs>
        <w:numPr>
          <w:ilvl w:val="1"/>
          <w:numId w:val="54"/>
        </w:numPr>
        <w:rPr>
          <w:rFonts w:ascii="Arial" w:cs="Arial" w:eastAsia="Arial" w:hAnsi="Arial"/>
          <w:sz w:val="13"/>
          <w:szCs w:val="13"/>
          <w:color w:val="auto"/>
        </w:rPr>
      </w:pPr>
      <w:r>
        <w:rPr>
          <w:rFonts w:ascii="Arial" w:cs="Arial" w:eastAsia="Arial" w:hAnsi="Arial"/>
          <w:sz w:val="13"/>
          <w:szCs w:val="13"/>
          <w:color w:val="auto"/>
        </w:rPr>
        <w:t>this paragraph does not limit the effect of paragraph (b) of this Section 7.1; and</w:t>
      </w:r>
    </w:p>
    <w:p>
      <w:pPr>
        <w:spacing w:after="0" w:line="96" w:lineRule="exact"/>
        <w:rPr>
          <w:rFonts w:ascii="Arial" w:cs="Arial" w:eastAsia="Arial" w:hAnsi="Arial"/>
          <w:sz w:val="13"/>
          <w:szCs w:val="13"/>
          <w:color w:val="auto"/>
        </w:rPr>
      </w:pPr>
    </w:p>
    <w:p>
      <w:pPr>
        <w:ind w:left="980" w:hanging="453"/>
        <w:spacing w:after="0"/>
        <w:tabs>
          <w:tab w:leader="none" w:pos="980" w:val="left"/>
        </w:tabs>
        <w:numPr>
          <w:ilvl w:val="1"/>
          <w:numId w:val="54"/>
        </w:numPr>
        <w:rPr>
          <w:rFonts w:ascii="Arial" w:cs="Arial" w:eastAsia="Arial" w:hAnsi="Arial"/>
          <w:sz w:val="12"/>
          <w:szCs w:val="12"/>
          <w:color w:val="auto"/>
        </w:rPr>
      </w:pPr>
      <w:r>
        <w:rPr>
          <w:rFonts w:ascii="Arial" w:cs="Arial" w:eastAsia="Arial" w:hAnsi="Arial"/>
          <w:sz w:val="12"/>
          <w:szCs w:val="12"/>
          <w:color w:val="auto"/>
        </w:rPr>
        <w:t>the Trustee shall not be liable for any error of judgment made in good faith by a Responsible Officer, unless it is proved that the Trustee was grossly negligent in ascertaining the pertinent facts.</w:t>
      </w:r>
    </w:p>
    <w:p>
      <w:pPr>
        <w:spacing w:after="0" w:line="97" w:lineRule="exact"/>
        <w:rPr>
          <w:rFonts w:ascii="Arial" w:cs="Arial" w:eastAsia="Arial" w:hAnsi="Arial"/>
          <w:sz w:val="12"/>
          <w:szCs w:val="12"/>
          <w:color w:val="auto"/>
        </w:rPr>
      </w:pPr>
    </w:p>
    <w:p>
      <w:pPr>
        <w:ind w:left="420" w:hanging="188"/>
        <w:spacing w:after="0"/>
        <w:tabs>
          <w:tab w:leader="none" w:pos="4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Whether or not therein expressly so provided, every provision of this Indenture that in any way relates to the Trustee is subject to the provisions of this Article VII.</w:t>
      </w:r>
    </w:p>
    <w:p>
      <w:pPr>
        <w:spacing w:after="0" w:line="86" w:lineRule="exact"/>
        <w:rPr>
          <w:rFonts w:ascii="Arial" w:cs="Arial" w:eastAsia="Arial" w:hAnsi="Arial"/>
          <w:sz w:val="13"/>
          <w:szCs w:val="13"/>
          <w:color w:val="auto"/>
        </w:rPr>
      </w:pPr>
    </w:p>
    <w:p>
      <w:pPr>
        <w:ind w:left="60" w:right="300" w:firstLine="172"/>
        <w:spacing w:after="0" w:line="276" w:lineRule="auto"/>
        <w:tabs>
          <w:tab w:leader="none" w:pos="402" w:val="left"/>
        </w:tabs>
        <w:numPr>
          <w:ilvl w:val="0"/>
          <w:numId w:val="54"/>
        </w:numPr>
        <w:rPr>
          <w:rFonts w:ascii="Arial" w:cs="Arial" w:eastAsia="Arial" w:hAnsi="Arial"/>
          <w:sz w:val="13"/>
          <w:szCs w:val="13"/>
          <w:color w:val="auto"/>
        </w:rPr>
      </w:pPr>
      <w:r>
        <w:rPr>
          <w:rFonts w:ascii="Arial" w:cs="Arial" w:eastAsia="Arial" w:hAnsi="Arial"/>
          <w:sz w:val="13"/>
          <w:szCs w:val="13"/>
          <w:color w:val="auto"/>
        </w:rPr>
        <w:t>No provision of this Indenture shall require the Trustee to expend or risk its own funds or incur any liability. The Trustee may refuse to perform any duty or exercise any right or power unless it receives indemnity reasonably satisfactory to it against any loss, liability or expense.</w:t>
      </w:r>
    </w:p>
    <w:p>
      <w:pPr>
        <w:spacing w:after="0" w:line="49" w:lineRule="exact"/>
        <w:rPr>
          <w:rFonts w:ascii="Arial" w:cs="Arial" w:eastAsia="Arial" w:hAnsi="Arial"/>
          <w:sz w:val="13"/>
          <w:szCs w:val="13"/>
          <w:color w:val="auto"/>
        </w:rPr>
      </w:pPr>
    </w:p>
    <w:p>
      <w:pPr>
        <w:ind w:left="60" w:right="80" w:firstLine="172"/>
        <w:spacing w:after="0" w:line="264" w:lineRule="auto"/>
        <w:tabs>
          <w:tab w:leader="none" w:pos="387"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Trustee shall not be liable for interest on or investment of any money received by it except as the Trustee may agree in writing with the Company. Money held in trust by the Trustee need not be segregated from other funds except to the extent required by law. All money received by the Trustee shall, until applied as herein provided, be held in trust for the payment of the principal of, premium (if any) and interest on and Additional Amounts with respect to the Securities.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7.2. </w:t>
      </w:r>
      <w:r>
        <w:rPr>
          <w:rFonts w:ascii="Arial" w:cs="Arial" w:eastAsia="Arial" w:hAnsi="Arial"/>
          <w:sz w:val="13"/>
          <w:szCs w:val="13"/>
          <w:u w:val="single" w:color="auto"/>
          <w:color w:val="auto"/>
        </w:rPr>
        <w:t>Rights of Trustee</w:t>
      </w:r>
      <w:r>
        <w:rPr>
          <w:rFonts w:ascii="Arial" w:cs="Arial" w:eastAsia="Arial" w:hAnsi="Arial"/>
          <w:sz w:val="13"/>
          <w:szCs w:val="13"/>
          <w:color w:val="auto"/>
        </w:rPr>
        <w:t>.</w:t>
      </w:r>
    </w:p>
    <w:p>
      <w:pPr>
        <w:spacing w:after="0" w:line="86" w:lineRule="exact"/>
        <w:rPr>
          <w:sz w:val="20"/>
          <w:szCs w:val="20"/>
          <w:color w:val="auto"/>
        </w:rPr>
      </w:pPr>
    </w:p>
    <w:p>
      <w:pPr>
        <w:ind w:left="60" w:firstLine="172"/>
        <w:spacing w:after="0" w:line="264" w:lineRule="auto"/>
        <w:tabs>
          <w:tab w:leader="none" w:pos="402"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Trustee may conclusively rely and shall be fully protected in acting or refraining from acting, upon any resolution, certificate, statement, instrument, opinion, report, notice, request, direction, consent, order, note, debenture or other paper or document believed by it to be genuine and to have been signed or presented by the proper Person. The Trustee need not investigate any fact or matter stated in any resolution, certificate, statement, instrument, opinion, report, notice, request, direction, consent, order, bond, security or other paper or document.</w:t>
      </w:r>
    </w:p>
    <w:p>
      <w:pPr>
        <w:spacing w:after="0" w:line="57" w:lineRule="exact"/>
        <w:rPr>
          <w:rFonts w:ascii="Arial" w:cs="Arial" w:eastAsia="Arial" w:hAnsi="Arial"/>
          <w:sz w:val="13"/>
          <w:szCs w:val="13"/>
          <w:color w:val="auto"/>
        </w:rPr>
      </w:pPr>
    </w:p>
    <w:p>
      <w:pPr>
        <w:ind w:left="420" w:hanging="188"/>
        <w:spacing w:after="0"/>
        <w:tabs>
          <w:tab w:leader="none" w:pos="420" w:val="left"/>
        </w:tabs>
        <w:numPr>
          <w:ilvl w:val="0"/>
          <w:numId w:val="55"/>
        </w:numPr>
        <w:rPr>
          <w:rFonts w:ascii="Arial" w:cs="Arial" w:eastAsia="Arial" w:hAnsi="Arial"/>
          <w:sz w:val="13"/>
          <w:szCs w:val="13"/>
          <w:color w:val="auto"/>
        </w:rPr>
      </w:pPr>
      <w:r>
        <w:rPr>
          <w:rFonts w:ascii="Arial" w:cs="Arial" w:eastAsia="Arial" w:hAnsi="Arial"/>
          <w:sz w:val="13"/>
          <w:szCs w:val="13"/>
          <w:color w:val="auto"/>
        </w:rPr>
        <w:t>Before the Trustee acts or refrains from acting, it may require instruction, an Officer’s Certificate or an Opinion of Counsel or both to be provided. The Trustee</w:t>
      </w:r>
    </w:p>
    <w:p>
      <w:pPr>
        <w:spacing w:after="0" w:line="145"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60"/>
          </w:cols>
          <w:pgMar w:left="380" w:top="721" w:right="259" w:bottom="1440" w:gutter="0" w:footer="0" w:header="0"/>
        </w:sectPr>
      </w:pPr>
    </w:p>
    <w:bookmarkStart w:id="74" w:name="page75"/>
    <w:bookmarkEnd w:id="74"/>
    <w:p>
      <w:pPr>
        <w:ind w:right="240"/>
        <w:spacing w:after="0" w:line="320" w:lineRule="auto"/>
        <w:rPr>
          <w:sz w:val="20"/>
          <w:szCs w:val="20"/>
          <w:color w:val="auto"/>
        </w:rPr>
      </w:pPr>
      <w:r>
        <w:rPr>
          <w:rFonts w:ascii="Arial" w:cs="Arial" w:eastAsia="Arial" w:hAnsi="Arial"/>
          <w:sz w:val="12"/>
          <w:szCs w:val="12"/>
          <w:color w:val="auto"/>
        </w:rPr>
        <w:t>shall not be liable for any action it takes or omits to take in good faith in reliance on such instruction, Officer’s Certificate or Opinion of Counsel. The Trustee may consult with counsel and the written advice of such counsel or any Opinion of Counsel shall be full and complete authorization and protection with respect to any action taken, suffered or omitted by it hereunder in good faith and in reliance thereon.</w:t>
      </w:r>
    </w:p>
    <w:p>
      <w:pPr>
        <w:spacing w:after="0" w:line="25" w:lineRule="exact"/>
        <w:rPr>
          <w:sz w:val="20"/>
          <w:szCs w:val="20"/>
          <w:color w:val="auto"/>
        </w:rPr>
      </w:pPr>
    </w:p>
    <w:p>
      <w:pPr>
        <w:ind w:left="340" w:hanging="168"/>
        <w:spacing w:after="0"/>
        <w:tabs>
          <w:tab w:leader="none" w:pos="3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Trustee may act through agents, attorneys, custodians or nominees and shall not be responsible for the misconduct or negligence of any agent, attorney, custodian or nominee appointed with due care.</w:t>
      </w:r>
    </w:p>
    <w:p>
      <w:pPr>
        <w:spacing w:after="0" w:line="97" w:lineRule="exact"/>
        <w:rPr>
          <w:rFonts w:ascii="Arial" w:cs="Arial" w:eastAsia="Arial" w:hAnsi="Arial"/>
          <w:sz w:val="12"/>
          <w:szCs w:val="12"/>
          <w:color w:val="auto"/>
        </w:rPr>
      </w:pPr>
    </w:p>
    <w:p>
      <w:pPr>
        <w:ind w:right="180" w:firstLine="172"/>
        <w:spacing w:after="0" w:line="320" w:lineRule="auto"/>
        <w:tabs>
          <w:tab w:leader="none" w:pos="349"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Trustee shall not be liable for any action it takes or omits to take in good faith which it believes to be authorized or within its rights or powers conferred upon it by this Indenture or with respect to any action it takes or omits to take in good faith in accordance with a direction received by it from the Holders of a majority in aggregate principal amount of the relevant Series of Securities.</w:t>
      </w:r>
    </w:p>
    <w:p>
      <w:pPr>
        <w:spacing w:after="0" w:line="25" w:lineRule="exact"/>
        <w:rPr>
          <w:rFonts w:ascii="Arial" w:cs="Arial" w:eastAsia="Arial" w:hAnsi="Arial"/>
          <w:sz w:val="12"/>
          <w:szCs w:val="12"/>
          <w:color w:val="auto"/>
        </w:rPr>
      </w:pPr>
    </w:p>
    <w:p>
      <w:pPr>
        <w:ind w:left="340" w:hanging="168"/>
        <w:spacing w:after="0"/>
        <w:tabs>
          <w:tab w:leader="none" w:pos="3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Unless otherwise specifically provided in this Indenture, any demand, request, direction or notice from the Company shall be sufficient if signed by an Officer of the Company.</w:t>
      </w:r>
    </w:p>
    <w:p>
      <w:pPr>
        <w:spacing w:after="0" w:line="86" w:lineRule="exact"/>
        <w:rPr>
          <w:rFonts w:ascii="Arial" w:cs="Arial" w:eastAsia="Arial" w:hAnsi="Arial"/>
          <w:sz w:val="13"/>
          <w:szCs w:val="13"/>
          <w:color w:val="auto"/>
        </w:rPr>
      </w:pPr>
    </w:p>
    <w:p>
      <w:pPr>
        <w:ind w:firstLine="172"/>
        <w:spacing w:after="0" w:line="264" w:lineRule="auto"/>
        <w:tabs>
          <w:tab w:leader="none" w:pos="327" w:val="left"/>
        </w:tabs>
        <w:numPr>
          <w:ilvl w:val="0"/>
          <w:numId w:val="56"/>
        </w:numPr>
        <w:rPr>
          <w:rFonts w:ascii="Arial" w:cs="Arial" w:eastAsia="Arial" w:hAnsi="Arial"/>
          <w:sz w:val="13"/>
          <w:szCs w:val="13"/>
          <w:color w:val="auto"/>
        </w:rPr>
      </w:pPr>
      <w:r>
        <w:rPr>
          <w:rFonts w:ascii="Arial" w:cs="Arial" w:eastAsia="Arial" w:hAnsi="Arial"/>
          <w:sz w:val="13"/>
          <w:szCs w:val="13"/>
          <w:color w:val="auto"/>
        </w:rPr>
        <w:t>Anything in this Indenture to the contrary notwithstanding, in no event shall the Trustee be liable under or in connection with this Indenture for indirect, special, incidental, punitive or consequential losses or damages of any kind whatsoever, including but not limited to lost profits, whether or not foreseeable, even if the Trustee has been advised of the possibility thereof and regardless of the form of action in which such damages are sought.</w:t>
      </w:r>
    </w:p>
    <w:p>
      <w:pPr>
        <w:spacing w:after="0" w:line="57" w:lineRule="exact"/>
        <w:rPr>
          <w:rFonts w:ascii="Arial" w:cs="Arial" w:eastAsia="Arial" w:hAnsi="Arial"/>
          <w:sz w:val="13"/>
          <w:szCs w:val="13"/>
          <w:color w:val="auto"/>
        </w:rPr>
      </w:pPr>
    </w:p>
    <w:p>
      <w:pPr>
        <w:ind w:right="100" w:firstLine="172"/>
        <w:spacing w:after="0" w:line="264" w:lineRule="auto"/>
        <w:tabs>
          <w:tab w:leader="none" w:pos="349"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Trustee shall be under no obligation to exercise any of the trusts or powers vested in it by this Indenture at the request, order or direction of any of the Holders of Securities pursuant to the provisions of this Indenture, unless such Holders of Securities shall have offered to the Trustee, security or indemnity reasonably satisfactory to the Trustee against the costs, expenses and liabilities which might be incurred therein or thereby.</w:t>
      </w:r>
    </w:p>
    <w:p>
      <w:pPr>
        <w:spacing w:after="0" w:line="57" w:lineRule="exact"/>
        <w:rPr>
          <w:rFonts w:ascii="Arial" w:cs="Arial" w:eastAsia="Arial" w:hAnsi="Arial"/>
          <w:sz w:val="13"/>
          <w:szCs w:val="13"/>
          <w:color w:val="auto"/>
        </w:rPr>
      </w:pPr>
    </w:p>
    <w:p>
      <w:pPr>
        <w:ind w:right="100" w:firstLine="172"/>
        <w:spacing w:after="0" w:line="276" w:lineRule="auto"/>
        <w:tabs>
          <w:tab w:leader="none" w:pos="349"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Trustee shall not be deemed to have notice of any Event of Default with respect to the Securities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49" w:lineRule="exact"/>
        <w:rPr>
          <w:rFonts w:ascii="Arial" w:cs="Arial" w:eastAsia="Arial" w:hAnsi="Arial"/>
          <w:sz w:val="13"/>
          <w:szCs w:val="13"/>
          <w:color w:val="auto"/>
        </w:rPr>
      </w:pPr>
    </w:p>
    <w:p>
      <w:pPr>
        <w:ind w:right="80" w:firstLine="172"/>
        <w:spacing w:after="0" w:line="264" w:lineRule="auto"/>
        <w:tabs>
          <w:tab w:leader="none" w:pos="3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Trustee may at any time request, and the Company shall deliver an Officer’s Certificate setting forth the specimen signatures and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16"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75" w:name="page76"/>
    <w:bookmarkEnd w:id="75"/>
    <w:p>
      <w:pPr>
        <w:ind w:left="220" w:right="80" w:firstLine="172"/>
        <w:spacing w:after="0" w:line="289" w:lineRule="auto"/>
        <w:tabs>
          <w:tab w:leader="none" w:pos="5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Notwithstanding any provision herein to the contrary, in no event shall the Trustee be liable for any failure or delay in the performance of its obligations under this Indenture because of circumstances beyond its control, including, but not limited to, acts of God, flood, war (whether declared or undeclared), terrorism, fire, riot, strikes or work stoppages for any reason, embargo, government action, including any laws, ordinances, regulations or the like which restrict or prohibit the providing of the services contemplated by this Indenture, inability to obtain material, equipment, or communications or computer facilities, or the failure of equipment or interruption of communications or computer facilities, and other causes beyond its control whether or not of the same class or kind as specifically named above.</w:t>
      </w:r>
    </w:p>
    <w:p>
      <w:pPr>
        <w:spacing w:after="0" w:line="43" w:lineRule="exact"/>
        <w:rPr>
          <w:rFonts w:ascii="Arial" w:cs="Arial" w:eastAsia="Arial" w:hAnsi="Arial"/>
          <w:sz w:val="12"/>
          <w:szCs w:val="12"/>
          <w:color w:val="auto"/>
        </w:rPr>
      </w:pPr>
    </w:p>
    <w:p>
      <w:pPr>
        <w:ind w:left="220" w:right="520" w:firstLine="172"/>
        <w:spacing w:after="0" w:line="276" w:lineRule="auto"/>
        <w:tabs>
          <w:tab w:leader="none" w:pos="569"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rights, privileges, protections, immunities and benefits given to the Trustee, including its right to be indemnified, are extended to, and shall be enforceable by, the Trustee in each of its capacities hereunder, each Agent, and each other agent, custodian and other Person employed to act hereunder.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7.3. </w:t>
      </w:r>
      <w:r>
        <w:rPr>
          <w:rFonts w:ascii="Arial" w:cs="Arial" w:eastAsia="Arial" w:hAnsi="Arial"/>
          <w:sz w:val="13"/>
          <w:szCs w:val="13"/>
          <w:u w:val="single" w:color="auto"/>
          <w:color w:val="auto"/>
        </w:rPr>
        <w:t>May Hold Securities</w:t>
      </w:r>
      <w:r>
        <w:rPr>
          <w:rFonts w:ascii="Arial" w:cs="Arial" w:eastAsia="Arial" w:hAnsi="Arial"/>
          <w:sz w:val="13"/>
          <w:szCs w:val="13"/>
          <w:color w:val="auto"/>
        </w:rPr>
        <w:t>.</w:t>
      </w:r>
    </w:p>
    <w:p>
      <w:pPr>
        <w:spacing w:after="0" w:line="86" w:lineRule="exact"/>
        <w:rPr>
          <w:sz w:val="20"/>
          <w:szCs w:val="20"/>
          <w:color w:val="auto"/>
        </w:rPr>
      </w:pPr>
    </w:p>
    <w:p>
      <w:pPr>
        <w:ind w:firstLine="325"/>
        <w:spacing w:after="0" w:line="276" w:lineRule="auto"/>
        <w:rPr>
          <w:sz w:val="20"/>
          <w:szCs w:val="20"/>
          <w:color w:val="auto"/>
        </w:rPr>
      </w:pPr>
      <w:r>
        <w:rPr>
          <w:rFonts w:ascii="Arial" w:cs="Arial" w:eastAsia="Arial" w:hAnsi="Arial"/>
          <w:sz w:val="13"/>
          <w:szCs w:val="13"/>
          <w:color w:val="auto"/>
        </w:rPr>
        <w:t>The Trustee in its individual or any other capacity may become the owner or pledgee of Securities and may otherwise deal with the Company or any of its Affiliates with the same rights it would have if it were not Trustee. Any Agent may do the same with like rights and duties. However, the Trustee is subject to Sections 7.9 and 7.10.</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7.4. </w:t>
      </w:r>
      <w:r>
        <w:rPr>
          <w:rFonts w:ascii="Arial" w:cs="Arial" w:eastAsia="Arial" w:hAnsi="Arial"/>
          <w:sz w:val="13"/>
          <w:szCs w:val="13"/>
          <w:u w:val="single" w:color="auto"/>
          <w:color w:val="auto"/>
        </w:rPr>
        <w:t>Trustee’s Disclaimer</w:t>
      </w:r>
      <w:r>
        <w:rPr>
          <w:rFonts w:ascii="Arial" w:cs="Arial" w:eastAsia="Arial" w:hAnsi="Arial"/>
          <w:sz w:val="13"/>
          <w:szCs w:val="13"/>
          <w:color w:val="auto"/>
        </w:rPr>
        <w:t>.</w:t>
      </w:r>
    </w:p>
    <w:p>
      <w:pPr>
        <w:spacing w:after="0" w:line="86" w:lineRule="exact"/>
        <w:rPr>
          <w:sz w:val="20"/>
          <w:szCs w:val="20"/>
          <w:color w:val="auto"/>
        </w:rPr>
      </w:pPr>
    </w:p>
    <w:p>
      <w:pPr>
        <w:jc w:val="both"/>
        <w:ind w:right="40" w:firstLine="325"/>
        <w:spacing w:after="0" w:line="264" w:lineRule="auto"/>
        <w:rPr>
          <w:sz w:val="20"/>
          <w:szCs w:val="20"/>
          <w:color w:val="auto"/>
        </w:rPr>
      </w:pPr>
      <w:r>
        <w:rPr>
          <w:rFonts w:ascii="Arial" w:cs="Arial" w:eastAsia="Arial" w:hAnsi="Arial"/>
          <w:sz w:val="13"/>
          <w:szCs w:val="13"/>
          <w:color w:val="auto"/>
        </w:rPr>
        <w:t>The Trustee makes no representation as to the validity, sufficiency or adequacy of any offering materials, this Indenture or the Securities, it shall not be accountable for the Company’s use of the proceeds from the Securities or any money paid to the Company or upon the Company’s direction under any provision hereof, it shall not be responsible for any statement or recital herein or any statement in any offering materials or the Securities other than its certificate of authentication.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7.5. </w:t>
      </w:r>
      <w:r>
        <w:rPr>
          <w:rFonts w:ascii="Arial" w:cs="Arial" w:eastAsia="Arial" w:hAnsi="Arial"/>
          <w:sz w:val="13"/>
          <w:szCs w:val="13"/>
          <w:u w:val="single" w:color="auto"/>
          <w:color w:val="auto"/>
        </w:rPr>
        <w:t>Notice of Defaults</w:t>
      </w:r>
      <w:r>
        <w:rPr>
          <w:rFonts w:ascii="Arial" w:cs="Arial" w:eastAsia="Arial" w:hAnsi="Arial"/>
          <w:sz w:val="13"/>
          <w:szCs w:val="13"/>
          <w:color w:val="auto"/>
        </w:rPr>
        <w:t>.</w:t>
      </w:r>
    </w:p>
    <w:p>
      <w:pPr>
        <w:spacing w:after="0" w:line="86"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If a Default or Event of Default with respect to the Securities of any Series occurs and is continuing and it is actually known to the Trustee, the Trustee shall mail to Holders of Securities of such Series a notice of the Default or Event of Default within 90 days after it occurs. Except in the case of a Default or Event of Default in payment of principal of, premium (if any) and interest on and Additional Amounts or any sinking fund installment with respect to the Securities of such Series, the Trustee may withhold the notice if and so long as a Responsible Officer in good faith determines that withholding the notice is in the interests of Holders of Securities of such Series to do so.</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7.6. </w:t>
      </w:r>
      <w:r>
        <w:rPr>
          <w:rFonts w:ascii="Arial" w:cs="Arial" w:eastAsia="Arial" w:hAnsi="Arial"/>
          <w:sz w:val="13"/>
          <w:szCs w:val="13"/>
          <w:u w:val="single" w:color="auto"/>
          <w:color w:val="auto"/>
        </w:rPr>
        <w:t>Compensation and Indemnity</w:t>
      </w:r>
      <w:r>
        <w:rPr>
          <w:rFonts w:ascii="Arial" w:cs="Arial" w:eastAsia="Arial" w:hAnsi="Arial"/>
          <w:sz w:val="13"/>
          <w:szCs w:val="13"/>
          <w:color w:val="auto"/>
        </w:rPr>
        <w:t>.</w:t>
      </w:r>
    </w:p>
    <w:p>
      <w:pPr>
        <w:spacing w:after="0" w:line="86" w:lineRule="exact"/>
        <w:rPr>
          <w:sz w:val="20"/>
          <w:szCs w:val="20"/>
          <w:color w:val="auto"/>
        </w:rPr>
      </w:pPr>
    </w:p>
    <w:p>
      <w:pPr>
        <w:ind w:right="220" w:firstLine="325"/>
        <w:spacing w:after="0" w:line="276" w:lineRule="auto"/>
        <w:rPr>
          <w:sz w:val="20"/>
          <w:szCs w:val="20"/>
          <w:color w:val="auto"/>
        </w:rPr>
      </w:pPr>
      <w:r>
        <w:rPr>
          <w:rFonts w:ascii="Arial" w:cs="Arial" w:eastAsia="Arial" w:hAnsi="Arial"/>
          <w:sz w:val="13"/>
          <w:szCs w:val="13"/>
          <w:color w:val="auto"/>
        </w:rPr>
        <w:t>The Company agrees to pay to the Trustee for its acceptance of this Indenture and services hereunder such compensation as the Company and the Trustee shall from time to time agree in writing. The Trustee’s compensation shall not be limited by any law on compensation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6" w:name="page77"/>
    <w:bookmarkEnd w:id="76"/>
    <w:p>
      <w:pPr>
        <w:ind w:right="640"/>
        <w:spacing w:after="0" w:line="276" w:lineRule="auto"/>
        <w:rPr>
          <w:sz w:val="20"/>
          <w:szCs w:val="20"/>
          <w:color w:val="auto"/>
        </w:rPr>
      </w:pPr>
      <w:r>
        <w:rPr>
          <w:rFonts w:ascii="Arial" w:cs="Arial" w:eastAsia="Arial" w:hAnsi="Arial"/>
          <w:sz w:val="13"/>
          <w:szCs w:val="13"/>
          <w:color w:val="auto"/>
        </w:rPr>
        <w:t>of a trustee of an express trust. The Company agrees to reimburse the Trustee upon request for all reasonable disbursements, advances and expenses incurred by it. Such expenses shall include the reasonable compensation, disbursements and expenses of the Trustee’s agents and counsel.</w:t>
      </w:r>
    </w:p>
    <w:p>
      <w:pPr>
        <w:spacing w:after="0" w:line="49" w:lineRule="exact"/>
        <w:rPr>
          <w:sz w:val="20"/>
          <w:szCs w:val="20"/>
          <w:color w:val="auto"/>
        </w:rPr>
      </w:pPr>
    </w:p>
    <w:p>
      <w:pPr>
        <w:ind w:firstLine="325"/>
        <w:spacing w:after="0" w:line="257" w:lineRule="auto"/>
        <w:rPr>
          <w:sz w:val="20"/>
          <w:szCs w:val="20"/>
          <w:color w:val="auto"/>
        </w:rPr>
      </w:pPr>
      <w:r>
        <w:rPr>
          <w:rFonts w:ascii="Arial" w:cs="Arial" w:eastAsia="Arial" w:hAnsi="Arial"/>
          <w:sz w:val="13"/>
          <w:szCs w:val="13"/>
          <w:color w:val="auto"/>
        </w:rPr>
        <w:t>The Company hereby indemnifies the Trustee from, and hold it harmless against any damage, cost, claim, loss, liability or expense (including the reasonable fees and expenses of the Trustee’s agents and counsel) incurred by it arising out of or in connection with its acceptance and administration of the trusts set forth under this Indenture, the performance of its obligations and/or the exercise of its rights hereunder, including the reasonable costs and expenses of defending itself against any claim, except as set forth in the next following paragraph. The Trustee shall notify the Company promptly of any claim for which it may seek indemnity. The Company shall defend the claim, with counsel reasonably acceptable to the Trustee, and the Trustee shall cooperate in the defense, unless, the Trustee, in its reasonable discretion, determines that any actual or potential conflict of interest may exist, in which case the Trustee may have separate counsel, reasonably acceptable to the Company and the Company shall pay the reasonable fees and expenses of such counsel. The Company need not pay for any settlement made without its consent.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Company shall not be obligated to reimburse any expense or indemnify against any loss or liability incurred by the Trustee through the Trustee’s own gross negligence or bad faith.</w:t>
      </w:r>
    </w:p>
    <w:p>
      <w:pPr>
        <w:spacing w:after="0" w:line="86" w:lineRule="exact"/>
        <w:rPr>
          <w:sz w:val="20"/>
          <w:szCs w:val="20"/>
          <w:color w:val="auto"/>
        </w:rPr>
      </w:pPr>
    </w:p>
    <w:p>
      <w:pPr>
        <w:jc w:val="both"/>
        <w:ind w:right="80" w:firstLine="325"/>
        <w:spacing w:after="0" w:line="264" w:lineRule="auto"/>
        <w:rPr>
          <w:sz w:val="20"/>
          <w:szCs w:val="20"/>
          <w:color w:val="auto"/>
        </w:rPr>
      </w:pPr>
      <w:r>
        <w:rPr>
          <w:rFonts w:ascii="Arial" w:cs="Arial" w:eastAsia="Arial" w:hAnsi="Arial"/>
          <w:sz w:val="13"/>
          <w:szCs w:val="13"/>
          <w:color w:val="auto"/>
        </w:rPr>
        <w:t>To secure the payment obligations of the Company in this Section 7.6, the Trustee shall have a lien prior to the Securities on all money or property held or collected by the Trustee, except that held in trust to pay principal of, premium (if any) and interest on and any Additional Amounts with respect to Securities of any Series. Such lien and the obligations of the Company under this Section 7.6 shall survive the satisfaction and discharge of this Indenture, the payment of the Securities and/or the resignation or removal of the Trustee.</w:t>
      </w:r>
    </w:p>
    <w:p>
      <w:pPr>
        <w:spacing w:after="0" w:line="57" w:lineRule="exact"/>
        <w:rPr>
          <w:sz w:val="20"/>
          <w:szCs w:val="20"/>
          <w:color w:val="auto"/>
        </w:rPr>
      </w:pPr>
    </w:p>
    <w:p>
      <w:pPr>
        <w:ind w:right="40" w:firstLine="325"/>
        <w:spacing w:after="0" w:line="276" w:lineRule="auto"/>
        <w:rPr>
          <w:sz w:val="20"/>
          <w:szCs w:val="20"/>
          <w:color w:val="auto"/>
        </w:rPr>
      </w:pPr>
      <w:r>
        <w:rPr>
          <w:rFonts w:ascii="Arial" w:cs="Arial" w:eastAsia="Arial" w:hAnsi="Arial"/>
          <w:sz w:val="13"/>
          <w:szCs w:val="13"/>
          <w:color w:val="auto"/>
        </w:rPr>
        <w:t>When the Trustee incurs expenses or renders services in connection with an Event of Default,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7.7. </w:t>
      </w:r>
      <w:r>
        <w:rPr>
          <w:rFonts w:ascii="Arial" w:cs="Arial" w:eastAsia="Arial" w:hAnsi="Arial"/>
          <w:sz w:val="13"/>
          <w:szCs w:val="13"/>
          <w:u w:val="single" w:color="auto"/>
          <w:color w:val="auto"/>
        </w:rPr>
        <w:t>Replacement of Trustee</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 resignation or removal of the Trustee and appointment of a successor Trustee shall become effective only upon the successor Trustee’s acceptance of appointment as provided in this Section 7.7.</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Trustee may resign and be discharged at any time with respect to the Securities of one or more Series by so notifying the Company. The Holders of a majority in principal amount of the then outstanding</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Securities of any Series may remove the Trustee with respect to the Securities of such Series by so notifying the Trustee and the Company. The Company may remove the Trustee for any or all Series of the Securities if:</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the Trustee fails to comply with Section 7.9;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7" w:name="page78"/>
    <w:bookmarkEnd w:id="77"/>
    <w:p>
      <w:pPr>
        <w:ind w:left="580" w:hanging="188"/>
        <w:spacing w:after="0"/>
        <w:tabs>
          <w:tab w:leader="none" w:pos="5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Trustee is adjudged a bankrupt or an insolvent or an order for relief is entered with respect to the Trustee under any Bankruptcy Law;</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 Custodian or public officer takes charge of the Trustee or its property; or</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Trustee becomes incapable of acting.</w:t>
      </w:r>
    </w:p>
    <w:p>
      <w:pPr>
        <w:spacing w:after="0" w:line="86" w:lineRule="exact"/>
        <w:rPr>
          <w:sz w:val="20"/>
          <w:szCs w:val="20"/>
          <w:color w:val="auto"/>
        </w:rPr>
      </w:pPr>
    </w:p>
    <w:p>
      <w:pPr>
        <w:ind w:right="180" w:firstLine="328"/>
        <w:spacing w:after="0" w:line="260" w:lineRule="auto"/>
        <w:rPr>
          <w:sz w:val="20"/>
          <w:szCs w:val="20"/>
          <w:color w:val="auto"/>
        </w:rPr>
      </w:pPr>
      <w:r>
        <w:rPr>
          <w:rFonts w:ascii="Arial" w:cs="Arial" w:eastAsia="Arial" w:hAnsi="Arial"/>
          <w:sz w:val="13"/>
          <w:szCs w:val="13"/>
          <w:color w:val="auto"/>
        </w:rPr>
        <w:t>If the Trustee resigns or is removed or if a vacancy exists in the office of Trustee for any reason,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Within one year after the successor Trustee with respect to the Securities of any series takes office, the Holders of a majority in principal amount of the Securities of such Series then outstanding may appoint a successor Trustee to replace the successor Trustee appointed by the Company.</w:t>
      </w:r>
    </w:p>
    <w:p>
      <w:pPr>
        <w:spacing w:after="0" w:line="60" w:lineRule="exact"/>
        <w:rPr>
          <w:sz w:val="20"/>
          <w:szCs w:val="20"/>
          <w:color w:val="auto"/>
        </w:rPr>
      </w:pPr>
    </w:p>
    <w:p>
      <w:pPr>
        <w:ind w:right="240" w:firstLine="328"/>
        <w:spacing w:after="0" w:line="371" w:lineRule="auto"/>
        <w:rPr>
          <w:sz w:val="20"/>
          <w:szCs w:val="20"/>
          <w:color w:val="auto"/>
        </w:rPr>
      </w:pPr>
      <w:r>
        <w:rPr>
          <w:rFonts w:ascii="Arial" w:cs="Arial" w:eastAsia="Arial" w:hAnsi="Arial"/>
          <w:sz w:val="11"/>
          <w:szCs w:val="11"/>
          <w:color w:val="auto"/>
        </w:rPr>
        <w:t>If a successor Trustee with respect to the Securities of any Series does not take office within 30 days after the retiring Trustee resigns or is removed, the retiring Trustee, the Company or the Holders of at least 10% in principal amount of the then outstanding Securities of such Series may petition any court of competent jurisdiction for the appointment of a successor Trustee with respect to the Securities of such Series.</w:t>
      </w:r>
    </w:p>
    <w:p>
      <w:pPr>
        <w:spacing w:after="0" w:line="2" w:lineRule="exact"/>
        <w:rPr>
          <w:sz w:val="20"/>
          <w:szCs w:val="20"/>
          <w:color w:val="auto"/>
        </w:rPr>
      </w:pPr>
    </w:p>
    <w:p>
      <w:pPr>
        <w:ind w:right="80" w:firstLine="328"/>
        <w:spacing w:after="0" w:line="276" w:lineRule="auto"/>
        <w:rPr>
          <w:sz w:val="20"/>
          <w:szCs w:val="20"/>
          <w:color w:val="auto"/>
        </w:rPr>
      </w:pPr>
      <w:r>
        <w:rPr>
          <w:rFonts w:ascii="Arial" w:cs="Arial" w:eastAsia="Arial" w:hAnsi="Arial"/>
          <w:sz w:val="13"/>
          <w:szCs w:val="13"/>
          <w:color w:val="auto"/>
        </w:rPr>
        <w:t>If the Trustee with respect to the Securities of a Series fails to comply with Section 7.9, any Holder of Securities of such Series may petition any court of competent jurisdiction for the removal of the Trustee and the appointment of a successor Trustee with respect to the Securities of such Series.</w:t>
      </w:r>
    </w:p>
    <w:p>
      <w:pPr>
        <w:spacing w:after="0" w:line="49" w:lineRule="exact"/>
        <w:rPr>
          <w:sz w:val="20"/>
          <w:szCs w:val="20"/>
          <w:color w:val="auto"/>
        </w:rPr>
      </w:pPr>
    </w:p>
    <w:p>
      <w:pPr>
        <w:ind w:right="40" w:firstLine="328"/>
        <w:spacing w:after="0" w:line="260" w:lineRule="auto"/>
        <w:rPr>
          <w:sz w:val="20"/>
          <w:szCs w:val="20"/>
          <w:color w:val="auto"/>
        </w:rPr>
      </w:pPr>
      <w:r>
        <w:rPr>
          <w:rFonts w:ascii="Arial" w:cs="Arial" w:eastAsia="Arial" w:hAnsi="Arial"/>
          <w:sz w:val="13"/>
          <w:szCs w:val="13"/>
          <w:color w:val="auto"/>
        </w:rPr>
        <w:t>In case of the appointment of a successor Trustee with respect to all Securities, each such successor Trustee shall deliver a written acceptance of its appointment to the retiring Trustee and to the Company. Thereupon the resignation or removal of the retiring Trustee shall become effective, and the successor Trustee shall have all the rights, powers and duties of the retiring Trustee under this Indenture. The successor Trustee shall give a notice of its succession to Holders in accordance with Section 10.2. The retiring Trustee shall promptly transfer all property held by it as Trustee to the successor Trustee, subject to the lien provided for in Section 7.6.</w:t>
      </w:r>
    </w:p>
    <w:p>
      <w:pPr>
        <w:spacing w:after="0" w:line="60" w:lineRule="exact"/>
        <w:rPr>
          <w:sz w:val="20"/>
          <w:szCs w:val="20"/>
          <w:color w:val="auto"/>
        </w:rPr>
      </w:pPr>
    </w:p>
    <w:p>
      <w:pPr>
        <w:ind w:firstLine="328"/>
        <w:spacing w:after="0" w:line="285" w:lineRule="auto"/>
        <w:rPr>
          <w:sz w:val="20"/>
          <w:szCs w:val="20"/>
          <w:color w:val="auto"/>
        </w:rPr>
      </w:pPr>
      <w:r>
        <w:rPr>
          <w:rFonts w:ascii="Arial" w:cs="Arial" w:eastAsia="Arial" w:hAnsi="Arial"/>
          <w:sz w:val="12"/>
          <w:szCs w:val="12"/>
          <w:color w:val="auto"/>
        </w:rPr>
        <w:t>In case of the appointment of a successor Trustee with respect to the Securities of one or more Series, the Company, the retiring Trustee and each successor Trustee with respect to the Securities of one or more Series shall execute and deliver an indenture supplemental hereto in which each successor Trustee shall accept such appointment and that (1) shall confer to each successor Trustee all the rights, powers and duties of the retiring Trustee with respect to the Securities of that or those Series to which the appointment of such successor Trustee relates, (2) if the retiring Trustee is not retiring with respect to all Securities, shall confirm that all the rights, powers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Nothing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78" w:name="page79"/>
    <w:bookmarkEnd w:id="78"/>
    <w:p>
      <w:pPr>
        <w:spacing w:after="0" w:line="285" w:lineRule="auto"/>
        <w:rPr>
          <w:sz w:val="20"/>
          <w:szCs w:val="20"/>
          <w:color w:val="auto"/>
        </w:rPr>
      </w:pPr>
      <w:r>
        <w:rPr>
          <w:rFonts w:ascii="Arial" w:cs="Arial" w:eastAsia="Arial" w:hAnsi="Arial"/>
          <w:sz w:val="12"/>
          <w:szCs w:val="12"/>
          <w:color w:val="auto"/>
        </w:rPr>
        <w:t>herein or in such supplemental indenture shall constitute such Trustees co-trustees of the same trust, and each such Trustee shall be trustee of a trust or trusts hereunder separate and apart from any trust or trusts hereunder administered by any other such Trustee. Upon the execution and delivery of such supplemental indenture, the resignation or removal of the retiring Trustee shall become effective to the extent provided therein and each such successor Trustee shall have all the rights, powers and duties of the retiring Trustee with respect to the Securities of that or those series to which the appointment of such successor Trustee relates. On request of the Company, or any successor Trustee, such retiring Trustee shall transfer to such successor Trustee all property held by such retiring Trustee as Trustee with respect to the Securities of that or those Series to which the appointment of such successor Trustee relates. Such retiring Trustee shall, however, have the right to deduct its unpaid fees and expenses, including attorneys’ fees.</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Notwithstanding replacement of the Trustee or Trustees pursuant to this Section 7.7, the obligations of the Company under Section 7.6 shall continue for the benefit of the retiring Trustee or Trustees.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7.8. </w:t>
      </w:r>
      <w:r>
        <w:rPr>
          <w:rFonts w:ascii="Arial" w:cs="Arial" w:eastAsia="Arial" w:hAnsi="Arial"/>
          <w:sz w:val="13"/>
          <w:szCs w:val="13"/>
          <w:u w:val="single" w:color="auto"/>
          <w:color w:val="auto"/>
        </w:rPr>
        <w:t>Successor Trustee by Merger, etc</w:t>
      </w:r>
      <w:r>
        <w:rPr>
          <w:rFonts w:ascii="Arial" w:cs="Arial" w:eastAsia="Arial" w:hAnsi="Arial"/>
          <w:sz w:val="13"/>
          <w:szCs w:val="13"/>
          <w:color w:val="auto"/>
        </w:rPr>
        <w:t>.</w:t>
      </w:r>
    </w:p>
    <w:p>
      <w:pPr>
        <w:spacing w:after="0" w:line="86" w:lineRule="exact"/>
        <w:rPr>
          <w:sz w:val="20"/>
          <w:szCs w:val="20"/>
          <w:color w:val="auto"/>
        </w:rPr>
      </w:pPr>
    </w:p>
    <w:p>
      <w:pPr>
        <w:ind w:right="420" w:firstLine="328"/>
        <w:spacing w:after="0" w:line="276" w:lineRule="auto"/>
        <w:rPr>
          <w:sz w:val="20"/>
          <w:szCs w:val="20"/>
          <w:color w:val="auto"/>
        </w:rPr>
      </w:pPr>
      <w:r>
        <w:rPr>
          <w:rFonts w:ascii="Arial" w:cs="Arial" w:eastAsia="Arial" w:hAnsi="Arial"/>
          <w:sz w:val="13"/>
          <w:szCs w:val="13"/>
          <w:color w:val="auto"/>
        </w:rPr>
        <w:t>Subject to Section 7.9, if the Trustee consolidates, merges or converts into, or transfers all or substantially all of its corporate trust business (including this transaction) to, another corporation, the successor corporation without any further act shall be the successor Trustee.</w:t>
      </w:r>
    </w:p>
    <w:p>
      <w:pPr>
        <w:spacing w:after="0" w:line="49" w:lineRule="exact"/>
        <w:rPr>
          <w:sz w:val="20"/>
          <w:szCs w:val="20"/>
          <w:color w:val="auto"/>
        </w:rPr>
      </w:pPr>
    </w:p>
    <w:p>
      <w:pPr>
        <w:ind w:right="60" w:firstLine="328"/>
        <w:spacing w:after="0" w:line="260" w:lineRule="auto"/>
        <w:rPr>
          <w:sz w:val="20"/>
          <w:szCs w:val="20"/>
          <w:color w:val="auto"/>
        </w:rPr>
      </w:pPr>
      <w:r>
        <w:rPr>
          <w:rFonts w:ascii="Arial" w:cs="Arial" w:eastAsia="Arial" w:hAnsi="Arial"/>
          <w:sz w:val="13"/>
          <w:szCs w:val="13"/>
          <w:color w:val="auto"/>
        </w:rPr>
        <w:t>In case any Securities shall have been authenticated, but not delivered, by the Trustee then in office, any successor by merger, conversion or consolidation to such authenticating Trustee may adopt such authentication and deliver the Securities so authenticated; and in case at that time any of the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7.9. </w:t>
      </w:r>
      <w:r>
        <w:rPr>
          <w:rFonts w:ascii="Arial" w:cs="Arial" w:eastAsia="Arial" w:hAnsi="Arial"/>
          <w:sz w:val="13"/>
          <w:szCs w:val="13"/>
          <w:u w:val="single" w:color="auto"/>
          <w:color w:val="auto"/>
        </w:rPr>
        <w:t>Eligibility; Disqualification</w:t>
      </w:r>
      <w:r>
        <w:rPr>
          <w:rFonts w:ascii="Arial" w:cs="Arial" w:eastAsia="Arial" w:hAnsi="Arial"/>
          <w:sz w:val="13"/>
          <w:szCs w:val="13"/>
          <w:color w:val="auto"/>
        </w:rPr>
        <w:t>.</w:t>
      </w:r>
    </w:p>
    <w:p>
      <w:pPr>
        <w:spacing w:after="0" w:line="86" w:lineRule="exact"/>
        <w:rPr>
          <w:sz w:val="20"/>
          <w:szCs w:val="20"/>
          <w:color w:val="auto"/>
        </w:rPr>
      </w:pPr>
    </w:p>
    <w:p>
      <w:pPr>
        <w:ind w:firstLine="325"/>
        <w:spacing w:after="0" w:line="264" w:lineRule="auto"/>
        <w:rPr>
          <w:sz w:val="20"/>
          <w:szCs w:val="20"/>
          <w:color w:val="auto"/>
        </w:rPr>
      </w:pPr>
      <w:r>
        <w:rPr>
          <w:rFonts w:ascii="Arial" w:cs="Arial" w:eastAsia="Arial" w:hAnsi="Arial"/>
          <w:sz w:val="13"/>
          <w:szCs w:val="13"/>
          <w:color w:val="auto"/>
        </w:rPr>
        <w:t>There shall at all times be a Trustee hereunder which shall be a corporation organized and doing business under the laws of the United States, any State thereof or the District of Columbia and authorized under such laws to exercise corporate trust power, shall be subject to supervision or examination by Federal or State (or the District of Columbia) authority and shall have, or be a subsidiary of a bank or bank holding company having, a combined capital and surplus of at least $50 million as set forth in its most recent published annual report of condition.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7.10. </w:t>
      </w:r>
      <w:r>
        <w:rPr>
          <w:rFonts w:ascii="Arial" w:cs="Arial" w:eastAsia="Arial" w:hAnsi="Arial"/>
          <w:sz w:val="13"/>
          <w:szCs w:val="13"/>
          <w:u w:val="single" w:color="auto"/>
          <w:color w:val="auto"/>
        </w:rPr>
        <w:t>Preferential Collection of Claims Against Company</w:t>
      </w:r>
      <w:r>
        <w:rPr>
          <w:rFonts w:ascii="Arial" w:cs="Arial" w:eastAsia="Arial" w:hAnsi="Arial"/>
          <w:sz w:val="13"/>
          <w:szCs w:val="13"/>
          <w:color w:val="auto"/>
        </w:rPr>
        <w:t>.</w:t>
      </w:r>
    </w:p>
    <w:p>
      <w:pPr>
        <w:spacing w:after="0" w:line="86" w:lineRule="exact"/>
        <w:rPr>
          <w:sz w:val="20"/>
          <w:szCs w:val="20"/>
          <w:color w:val="auto"/>
        </w:rPr>
      </w:pPr>
    </w:p>
    <w:p>
      <w:pPr>
        <w:ind w:right="200" w:firstLine="325"/>
        <w:spacing w:after="0" w:line="276" w:lineRule="auto"/>
        <w:rPr>
          <w:sz w:val="20"/>
          <w:szCs w:val="20"/>
          <w:color w:val="auto"/>
        </w:rPr>
      </w:pPr>
      <w:r>
        <w:rPr>
          <w:rFonts w:ascii="Arial" w:cs="Arial" w:eastAsia="Arial" w:hAnsi="Arial"/>
          <w:sz w:val="13"/>
          <w:szCs w:val="13"/>
          <w:color w:val="auto"/>
        </w:rPr>
        <w:t>The Trustee is subject to and shall comply with the provisions of the Trust Indenture Act of 1933, as amended (the “</w:t>
      </w:r>
      <w:r>
        <w:rPr>
          <w:rFonts w:ascii="Arial" w:cs="Arial" w:eastAsia="Arial" w:hAnsi="Arial"/>
          <w:sz w:val="13"/>
          <w:szCs w:val="13"/>
          <w:i w:val="1"/>
          <w:iCs w:val="1"/>
          <w:color w:val="auto"/>
        </w:rPr>
        <w:t>TIA</w:t>
      </w:r>
      <w:r>
        <w:rPr>
          <w:rFonts w:ascii="Arial" w:cs="Arial" w:eastAsia="Arial" w:hAnsi="Arial"/>
          <w:sz w:val="13"/>
          <w:szCs w:val="13"/>
          <w:color w:val="auto"/>
        </w:rPr>
        <w:t>”) § 311(a), as if such section applied hereto, excluding any creditor relationship listed in TIA § 311(b). A Trustee who has resigned or been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9" w:name="page80"/>
    <w:bookmarkEnd w:id="79"/>
    <w:p>
      <w:pPr>
        <w:spacing w:after="0"/>
        <w:rPr>
          <w:sz w:val="20"/>
          <w:szCs w:val="20"/>
          <w:color w:val="auto"/>
        </w:rPr>
      </w:pPr>
      <w:r>
        <w:rPr>
          <w:rFonts w:ascii="Arial" w:cs="Arial" w:eastAsia="Arial" w:hAnsi="Arial"/>
          <w:sz w:val="13"/>
          <w:szCs w:val="13"/>
          <w:color w:val="auto"/>
        </w:rPr>
        <w:t>removed shall be subject to TIA § 311(a), as if such section applied hereto, to the extent indicated therein.</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ARTICLE VIII.</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DISCHARGE OF INDENTURE</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8.1. </w:t>
      </w:r>
      <w:r>
        <w:rPr>
          <w:rFonts w:ascii="Arial" w:cs="Arial" w:eastAsia="Arial" w:hAnsi="Arial"/>
          <w:sz w:val="13"/>
          <w:szCs w:val="13"/>
          <w:u w:val="single" w:color="auto"/>
          <w:color w:val="auto"/>
        </w:rPr>
        <w:t>Termination of Company’s Obligations</w:t>
      </w:r>
      <w:r>
        <w:rPr>
          <w:rFonts w:ascii="Arial" w:cs="Arial" w:eastAsia="Arial" w:hAnsi="Arial"/>
          <w:sz w:val="13"/>
          <w:szCs w:val="13"/>
          <w:color w:val="auto"/>
        </w:rPr>
        <w:t>.</w:t>
      </w:r>
    </w:p>
    <w:p>
      <w:pPr>
        <w:spacing w:after="0" w:line="86" w:lineRule="exact"/>
        <w:rPr>
          <w:sz w:val="20"/>
          <w:szCs w:val="20"/>
          <w:color w:val="auto"/>
        </w:rPr>
      </w:pPr>
    </w:p>
    <w:p>
      <w:pPr>
        <w:ind w:right="240" w:firstLine="162"/>
        <w:spacing w:after="0" w:line="264" w:lineRule="auto"/>
        <w:tabs>
          <w:tab w:leader="none" w:pos="3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Indenture shall cease to be of further effect with respect to the Securities of a Series (except that all obligations of the Company under Section 7.6, the Trustee’s and Paying Agent’s obligations under Section 8.3 and the rights, powers, protections and privileges accorded the Trustee under Article VII shall survive), and the Trustee, on written demand of the Company shall execute instruments acknowledging the satisfaction and discharge of this Indenture with respect to the Securities of such Series, when:</w:t>
      </w:r>
    </w:p>
    <w:p>
      <w:pPr>
        <w:spacing w:after="0" w:line="57" w:lineRule="exact"/>
        <w:rPr>
          <w:rFonts w:ascii="Arial" w:cs="Arial" w:eastAsia="Arial" w:hAnsi="Arial"/>
          <w:sz w:val="13"/>
          <w:szCs w:val="13"/>
          <w:color w:val="auto"/>
        </w:rPr>
      </w:pPr>
    </w:p>
    <w:p>
      <w:pPr>
        <w:ind w:left="800" w:hanging="179"/>
        <w:spacing w:after="0"/>
        <w:tabs>
          <w:tab w:leader="none" w:pos="800" w:val="left"/>
        </w:tabs>
        <w:numPr>
          <w:ilvl w:val="1"/>
          <w:numId w:val="59"/>
        </w:numPr>
        <w:rPr>
          <w:rFonts w:ascii="Arial" w:cs="Arial" w:eastAsia="Arial" w:hAnsi="Arial"/>
          <w:sz w:val="13"/>
          <w:szCs w:val="13"/>
          <w:color w:val="auto"/>
        </w:rPr>
      </w:pPr>
      <w:r>
        <w:rPr>
          <w:rFonts w:ascii="Arial" w:cs="Arial" w:eastAsia="Arial" w:hAnsi="Arial"/>
          <w:sz w:val="13"/>
          <w:szCs w:val="13"/>
          <w:color w:val="auto"/>
        </w:rPr>
        <w:t>either</w:t>
      </w:r>
    </w:p>
    <w:p>
      <w:pPr>
        <w:spacing w:after="0" w:line="86" w:lineRule="exact"/>
        <w:rPr>
          <w:rFonts w:ascii="Arial" w:cs="Arial" w:eastAsia="Arial" w:hAnsi="Arial"/>
          <w:sz w:val="13"/>
          <w:szCs w:val="13"/>
          <w:color w:val="auto"/>
        </w:rPr>
      </w:pPr>
    </w:p>
    <w:p>
      <w:pPr>
        <w:ind w:left="1140" w:right="80" w:firstLine="6"/>
        <w:spacing w:after="0" w:line="276" w:lineRule="auto"/>
        <w:tabs>
          <w:tab w:leader="none" w:pos="1355" w:val="left"/>
        </w:tabs>
        <w:numPr>
          <w:ilvl w:val="2"/>
          <w:numId w:val="59"/>
        </w:numPr>
        <w:rPr>
          <w:rFonts w:ascii="Arial" w:cs="Arial" w:eastAsia="Arial" w:hAnsi="Arial"/>
          <w:sz w:val="13"/>
          <w:szCs w:val="13"/>
          <w:color w:val="auto"/>
        </w:rPr>
      </w:pPr>
      <w:r>
        <w:rPr>
          <w:rFonts w:ascii="Arial" w:cs="Arial" w:eastAsia="Arial" w:hAnsi="Arial"/>
          <w:sz w:val="13"/>
          <w:szCs w:val="13"/>
          <w:color w:val="auto"/>
        </w:rPr>
        <w:t>all outstanding Securities of such Series theretofore authenticated and issued (other than destroyed, lost or stolen Securities that have been replaced or paid) have been delivered to the Trustee for cancellation; or</w:t>
      </w:r>
    </w:p>
    <w:p>
      <w:pPr>
        <w:spacing w:after="0" w:line="49" w:lineRule="exact"/>
        <w:rPr>
          <w:rFonts w:ascii="Arial" w:cs="Arial" w:eastAsia="Arial" w:hAnsi="Arial"/>
          <w:sz w:val="13"/>
          <w:szCs w:val="13"/>
          <w:color w:val="auto"/>
        </w:rPr>
      </w:pPr>
    </w:p>
    <w:p>
      <w:pPr>
        <w:ind w:left="1360" w:hanging="214"/>
        <w:spacing w:after="0"/>
        <w:tabs>
          <w:tab w:leader="none" w:pos="1360" w:val="left"/>
        </w:tabs>
        <w:numPr>
          <w:ilvl w:val="2"/>
          <w:numId w:val="59"/>
        </w:numPr>
        <w:rPr>
          <w:rFonts w:ascii="Arial" w:cs="Arial" w:eastAsia="Arial" w:hAnsi="Arial"/>
          <w:sz w:val="13"/>
          <w:szCs w:val="13"/>
          <w:color w:val="auto"/>
        </w:rPr>
      </w:pPr>
      <w:r>
        <w:rPr>
          <w:rFonts w:ascii="Arial" w:cs="Arial" w:eastAsia="Arial" w:hAnsi="Arial"/>
          <w:sz w:val="13"/>
          <w:szCs w:val="13"/>
          <w:color w:val="auto"/>
        </w:rPr>
        <w:t>all outstanding Securities of such Series not theretofore delivered to the Trustee for cancellation:</w:t>
      </w:r>
    </w:p>
    <w:p>
      <w:pPr>
        <w:spacing w:after="0" w:line="86" w:lineRule="exact"/>
        <w:rPr>
          <w:rFonts w:ascii="Arial" w:cs="Arial" w:eastAsia="Arial" w:hAnsi="Arial"/>
          <w:sz w:val="13"/>
          <w:szCs w:val="13"/>
          <w:color w:val="auto"/>
        </w:rPr>
      </w:pPr>
    </w:p>
    <w:p>
      <w:pPr>
        <w:ind w:left="1540" w:hanging="165"/>
        <w:spacing w:after="0"/>
        <w:tabs>
          <w:tab w:leader="none" w:pos="1540" w:val="left"/>
        </w:tabs>
        <w:numPr>
          <w:ilvl w:val="3"/>
          <w:numId w:val="59"/>
        </w:numPr>
        <w:rPr>
          <w:rFonts w:ascii="Arial" w:cs="Arial" w:eastAsia="Arial" w:hAnsi="Arial"/>
          <w:sz w:val="13"/>
          <w:szCs w:val="13"/>
          <w:color w:val="auto"/>
        </w:rPr>
      </w:pPr>
      <w:r>
        <w:rPr>
          <w:rFonts w:ascii="Arial" w:cs="Arial" w:eastAsia="Arial" w:hAnsi="Arial"/>
          <w:sz w:val="13"/>
          <w:szCs w:val="13"/>
          <w:color w:val="auto"/>
        </w:rPr>
        <w:t>have become due and payable, or</w:t>
      </w:r>
    </w:p>
    <w:p>
      <w:pPr>
        <w:spacing w:after="0" w:line="86" w:lineRule="exact"/>
        <w:rPr>
          <w:rFonts w:ascii="Arial" w:cs="Arial" w:eastAsia="Arial" w:hAnsi="Arial"/>
          <w:sz w:val="13"/>
          <w:szCs w:val="13"/>
          <w:color w:val="auto"/>
        </w:rPr>
      </w:pPr>
    </w:p>
    <w:p>
      <w:pPr>
        <w:ind w:left="1560" w:hanging="185"/>
        <w:spacing w:after="0"/>
        <w:tabs>
          <w:tab w:leader="none" w:pos="1560" w:val="left"/>
        </w:tabs>
        <w:numPr>
          <w:ilvl w:val="3"/>
          <w:numId w:val="59"/>
        </w:numPr>
        <w:rPr>
          <w:rFonts w:ascii="Arial" w:cs="Arial" w:eastAsia="Arial" w:hAnsi="Arial"/>
          <w:sz w:val="13"/>
          <w:szCs w:val="13"/>
          <w:color w:val="auto"/>
        </w:rPr>
      </w:pPr>
      <w:r>
        <w:rPr>
          <w:rFonts w:ascii="Arial" w:cs="Arial" w:eastAsia="Arial" w:hAnsi="Arial"/>
          <w:sz w:val="13"/>
          <w:szCs w:val="13"/>
          <w:color w:val="auto"/>
        </w:rPr>
        <w:t>will become due and payable at their Stated Maturity within one year, or</w:t>
      </w:r>
    </w:p>
    <w:p>
      <w:pPr>
        <w:spacing w:after="0" w:line="86" w:lineRule="exact"/>
        <w:rPr>
          <w:rFonts w:ascii="Arial" w:cs="Arial" w:eastAsia="Arial" w:hAnsi="Arial"/>
          <w:sz w:val="13"/>
          <w:szCs w:val="13"/>
          <w:color w:val="auto"/>
        </w:rPr>
      </w:pPr>
    </w:p>
    <w:p>
      <w:pPr>
        <w:ind w:left="1380" w:right="80" w:hanging="5"/>
        <w:spacing w:after="0" w:line="276" w:lineRule="auto"/>
        <w:tabs>
          <w:tab w:leader="none" w:pos="1609" w:val="left"/>
        </w:tabs>
        <w:numPr>
          <w:ilvl w:val="3"/>
          <w:numId w:val="59"/>
        </w:numPr>
        <w:rPr>
          <w:rFonts w:ascii="Arial" w:cs="Arial" w:eastAsia="Arial" w:hAnsi="Arial"/>
          <w:sz w:val="13"/>
          <w:szCs w:val="13"/>
          <w:color w:val="auto"/>
        </w:rPr>
      </w:pPr>
      <w:r>
        <w:rPr>
          <w:rFonts w:ascii="Arial" w:cs="Arial" w:eastAsia="Arial" w:hAnsi="Arial"/>
          <w:sz w:val="13"/>
          <w:szCs w:val="13"/>
          <w:color w:val="auto"/>
        </w:rPr>
        <w:t>are to be called for redemption within one year under arrangements satisfactory to the Trustee for the giving of notice of redemption by the Trustee in the name, and at the expense, of the Company,</w:t>
      </w:r>
    </w:p>
    <w:p>
      <w:pPr>
        <w:spacing w:after="0" w:line="49" w:lineRule="exact"/>
        <w:rPr>
          <w:sz w:val="20"/>
          <w:szCs w:val="20"/>
          <w:color w:val="auto"/>
        </w:rPr>
      </w:pPr>
    </w:p>
    <w:p>
      <w:pPr>
        <w:jc w:val="both"/>
        <w:ind w:left="220"/>
        <w:spacing w:after="0" w:line="258" w:lineRule="auto"/>
        <w:rPr>
          <w:sz w:val="20"/>
          <w:szCs w:val="20"/>
          <w:color w:val="auto"/>
        </w:rPr>
      </w:pPr>
      <w:r>
        <w:rPr>
          <w:rFonts w:ascii="Arial" w:cs="Arial" w:eastAsia="Arial" w:hAnsi="Arial"/>
          <w:sz w:val="13"/>
          <w:szCs w:val="13"/>
          <w:color w:val="auto"/>
        </w:rPr>
        <w:t>and, in the case of clause (i), (ii) or (iii) above, the Company has irrevocably deposited or caused to be deposited with the Trustee as funds (immediately available to the Holders in the case of clause (i)) in trust for such purpose (x) cash in an amount, or (y) Government Obligations, maturing as to principal and interest at such times and in such amounts as will ensure the availability of cash in an amount or (z) a combination thereof which will be sufficient, in the opinion (in the case of (y) or (z)) of a nationally recognized firm of independent public accountants expressed in a written certification thereof delivered to the Trustee, to pay and discharge the entire indebtedness on the Securities of such Series for principal and interest to the date of such deposit (in the case of Securities which have become due and payable) or for principal, premium, if any, and interest to the Stated Maturity or redemption date, as the case may be; or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80" w:name="page81"/>
    <w:bookmarkEnd w:id="80"/>
    <w:p>
      <w:pPr>
        <w:ind w:left="1540" w:hanging="205"/>
        <w:spacing w:after="0"/>
        <w:tabs>
          <w:tab w:leader="none" w:pos="1540" w:val="left"/>
        </w:tabs>
        <w:numPr>
          <w:ilvl w:val="2"/>
          <w:numId w:val="60"/>
        </w:numPr>
        <w:rPr>
          <w:rFonts w:ascii="Arial" w:cs="Arial" w:eastAsia="Arial" w:hAnsi="Arial"/>
          <w:sz w:val="13"/>
          <w:szCs w:val="13"/>
          <w:color w:val="auto"/>
        </w:rPr>
      </w:pPr>
      <w:r>
        <w:rPr>
          <w:rFonts w:ascii="Arial" w:cs="Arial" w:eastAsia="Arial" w:hAnsi="Arial"/>
          <w:sz w:val="13"/>
          <w:szCs w:val="13"/>
          <w:color w:val="auto"/>
        </w:rPr>
        <w:t>the Company has properly fulfilled such other means of satisfaction and discharge, as contemplated by Section 2.2 to be applicable to the Securities of such Series:</w:t>
      </w:r>
    </w:p>
    <w:p>
      <w:pPr>
        <w:spacing w:after="0" w:line="86" w:lineRule="exact"/>
        <w:rPr>
          <w:rFonts w:ascii="Arial" w:cs="Arial" w:eastAsia="Arial" w:hAnsi="Arial"/>
          <w:sz w:val="13"/>
          <w:szCs w:val="13"/>
          <w:color w:val="auto"/>
        </w:rPr>
      </w:pPr>
    </w:p>
    <w:p>
      <w:pPr>
        <w:ind w:left="760" w:hanging="179"/>
        <w:spacing w:after="0"/>
        <w:tabs>
          <w:tab w:leader="none" w:pos="760" w:val="left"/>
        </w:tabs>
        <w:numPr>
          <w:ilvl w:val="1"/>
          <w:numId w:val="61"/>
        </w:numPr>
        <w:rPr>
          <w:rFonts w:ascii="Arial" w:cs="Arial" w:eastAsia="Arial" w:hAnsi="Arial"/>
          <w:sz w:val="13"/>
          <w:szCs w:val="13"/>
          <w:color w:val="auto"/>
        </w:rPr>
      </w:pPr>
      <w:r>
        <w:rPr>
          <w:rFonts w:ascii="Arial" w:cs="Arial" w:eastAsia="Arial" w:hAnsi="Arial"/>
          <w:sz w:val="13"/>
          <w:szCs w:val="13"/>
          <w:color w:val="auto"/>
        </w:rPr>
        <w:t>the Company has paid or caused to be paid all other sums payable by it hereunder with respect to the Securities of such Series; and</w:t>
      </w:r>
    </w:p>
    <w:p>
      <w:pPr>
        <w:spacing w:after="0" w:line="86" w:lineRule="exact"/>
        <w:rPr>
          <w:rFonts w:ascii="Arial" w:cs="Arial" w:eastAsia="Arial" w:hAnsi="Arial"/>
          <w:sz w:val="13"/>
          <w:szCs w:val="13"/>
          <w:color w:val="auto"/>
        </w:rPr>
      </w:pPr>
    </w:p>
    <w:p>
      <w:pPr>
        <w:ind w:left="420" w:right="20" w:firstLine="161"/>
        <w:spacing w:after="0" w:line="276" w:lineRule="auto"/>
        <w:tabs>
          <w:tab w:leader="none" w:pos="769" w:val="left"/>
        </w:tabs>
        <w:numPr>
          <w:ilvl w:val="1"/>
          <w:numId w:val="61"/>
        </w:numPr>
        <w:rPr>
          <w:rFonts w:ascii="Arial" w:cs="Arial" w:eastAsia="Arial" w:hAnsi="Arial"/>
          <w:sz w:val="13"/>
          <w:szCs w:val="13"/>
          <w:color w:val="auto"/>
        </w:rPr>
      </w:pPr>
      <w:r>
        <w:rPr>
          <w:rFonts w:ascii="Arial" w:cs="Arial" w:eastAsia="Arial" w:hAnsi="Arial"/>
          <w:sz w:val="13"/>
          <w:szCs w:val="13"/>
          <w:color w:val="auto"/>
        </w:rPr>
        <w:t>the Company has delivered to the Trustee an Officer’s Certificate stating that all conditions precedent to satisfaction and discharge of this Indenture with respect to the Securities of such Series have been complied with, together with an Opinion of Counsel to the same effect.</w:t>
      </w:r>
    </w:p>
    <w:p>
      <w:pPr>
        <w:spacing w:after="0" w:line="49" w:lineRule="exact"/>
        <w:rPr>
          <w:rFonts w:ascii="Arial" w:cs="Arial" w:eastAsia="Arial" w:hAnsi="Arial"/>
          <w:sz w:val="13"/>
          <w:szCs w:val="13"/>
          <w:color w:val="auto"/>
        </w:rPr>
      </w:pPr>
    </w:p>
    <w:p>
      <w:pPr>
        <w:ind w:left="-40" w:right="380" w:firstLine="162"/>
        <w:spacing w:after="0" w:line="276" w:lineRule="auto"/>
        <w:tabs>
          <w:tab w:leader="none" w:pos="309" w:val="left"/>
        </w:tabs>
        <w:numPr>
          <w:ilvl w:val="0"/>
          <w:numId w:val="62"/>
        </w:numPr>
        <w:rPr>
          <w:rFonts w:ascii="Arial" w:cs="Arial" w:eastAsia="Arial" w:hAnsi="Arial"/>
          <w:sz w:val="13"/>
          <w:szCs w:val="13"/>
          <w:color w:val="auto"/>
        </w:rPr>
      </w:pPr>
      <w:r>
        <w:rPr>
          <w:rFonts w:ascii="Arial" w:cs="Arial" w:eastAsia="Arial" w:hAnsi="Arial"/>
          <w:sz w:val="13"/>
          <w:szCs w:val="13"/>
          <w:color w:val="auto"/>
        </w:rPr>
        <w:t>Unless this Section 8.1(b) is specified as not being applicable to Securities of a Series as contemplated by Section 2.2, the Company may terminate certain of its obligations under this Indenture (“</w:t>
      </w:r>
      <w:r>
        <w:rPr>
          <w:rFonts w:ascii="Arial" w:cs="Arial" w:eastAsia="Arial" w:hAnsi="Arial"/>
          <w:sz w:val="13"/>
          <w:szCs w:val="13"/>
          <w:i w:val="1"/>
          <w:iCs w:val="1"/>
          <w:color w:val="auto"/>
        </w:rPr>
        <w:t>covenant</w:t>
      </w:r>
      <w:r>
        <w:rPr>
          <w:rFonts w:ascii="Arial" w:cs="Arial" w:eastAsia="Arial" w:hAnsi="Arial"/>
          <w:sz w:val="13"/>
          <w:szCs w:val="13"/>
          <w:color w:val="auto"/>
        </w:rPr>
        <w:t xml:space="preserve"> </w:t>
      </w:r>
      <w:r>
        <w:rPr>
          <w:rFonts w:ascii="Arial" w:cs="Arial" w:eastAsia="Arial" w:hAnsi="Arial"/>
          <w:sz w:val="13"/>
          <w:szCs w:val="13"/>
          <w:i w:val="1"/>
          <w:iCs w:val="1"/>
          <w:color w:val="auto"/>
        </w:rPr>
        <w:t>defeasance</w:t>
      </w:r>
      <w:r>
        <w:rPr>
          <w:rFonts w:ascii="Arial" w:cs="Arial" w:eastAsia="Arial" w:hAnsi="Arial"/>
          <w:sz w:val="13"/>
          <w:szCs w:val="13"/>
          <w:color w:val="auto"/>
        </w:rPr>
        <w:t>”) with respect to the Securities of a Series if:</w:t>
      </w:r>
    </w:p>
    <w:p>
      <w:pPr>
        <w:spacing w:after="0" w:line="49" w:lineRule="exact"/>
        <w:rPr>
          <w:rFonts w:ascii="Arial" w:cs="Arial" w:eastAsia="Arial" w:hAnsi="Arial"/>
          <w:sz w:val="13"/>
          <w:szCs w:val="13"/>
          <w:color w:val="auto"/>
        </w:rPr>
      </w:pPr>
    </w:p>
    <w:p>
      <w:pPr>
        <w:ind w:left="420" w:firstLine="161"/>
        <w:spacing w:after="0" w:line="281" w:lineRule="auto"/>
        <w:tabs>
          <w:tab w:leader="none" w:pos="769" w:val="left"/>
        </w:tabs>
        <w:numPr>
          <w:ilvl w:val="1"/>
          <w:numId w:val="62"/>
        </w:numPr>
        <w:rPr>
          <w:rFonts w:ascii="Arial" w:cs="Arial" w:eastAsia="Arial" w:hAnsi="Arial"/>
          <w:sz w:val="12"/>
          <w:szCs w:val="12"/>
          <w:color w:val="auto"/>
        </w:rPr>
      </w:pPr>
      <w:r>
        <w:rPr>
          <w:rFonts w:ascii="Arial" w:cs="Arial" w:eastAsia="Arial" w:hAnsi="Arial"/>
          <w:sz w:val="12"/>
          <w:szCs w:val="12"/>
          <w:color w:val="auto"/>
        </w:rPr>
        <w:t>the Company has irrevocably deposited or caused to be irrevocably deposited with the Trustee as trust funds in trust for the purpose of making the following payments, specifically pledged as security for and dedicated solely to the benefit of the Holders of Securities of such Series, (i) money, or (ii) Government Obligations with respect to such Series, maturing as to principal and interest at such times and in such amounts as will ensure the availability of money in the currency in which payment of the Securities of such Series is to be made in an amount or (iii) a combination thereof, that is sufficient, in the opinion (in the case of (ii) and (iii))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8.1(e)) to pay all other sums payable by it hereunder; provided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spacing w:after="0" w:line="48" w:lineRule="exact"/>
        <w:rPr>
          <w:rFonts w:ascii="Arial" w:cs="Arial" w:eastAsia="Arial" w:hAnsi="Arial"/>
          <w:sz w:val="12"/>
          <w:szCs w:val="12"/>
          <w:color w:val="auto"/>
        </w:rPr>
      </w:pPr>
    </w:p>
    <w:p>
      <w:pPr>
        <w:ind w:left="420" w:right="20" w:firstLine="161"/>
        <w:spacing w:after="0" w:line="276" w:lineRule="auto"/>
        <w:tabs>
          <w:tab w:leader="none" w:pos="769" w:val="left"/>
        </w:tabs>
        <w:numPr>
          <w:ilvl w:val="1"/>
          <w:numId w:val="62"/>
        </w:numPr>
        <w:rPr>
          <w:rFonts w:ascii="Arial" w:cs="Arial" w:eastAsia="Arial" w:hAnsi="Arial"/>
          <w:sz w:val="13"/>
          <w:szCs w:val="13"/>
          <w:color w:val="auto"/>
        </w:rPr>
      </w:pPr>
      <w:r>
        <w:rPr>
          <w:rFonts w:ascii="Arial" w:cs="Arial" w:eastAsia="Arial" w:hAnsi="Arial"/>
          <w:sz w:val="13"/>
          <w:szCs w:val="13"/>
          <w:color w:val="auto"/>
        </w:rPr>
        <w:t>the Company has delivered to the Trustee an Officer’s Certificate stating that all conditions precedent to satisfaction and discharge of this Indenture with respect to the Securities of such Series have been complied with, and an Opinion of Counsel to the same effect;</w:t>
      </w:r>
    </w:p>
    <w:p>
      <w:pPr>
        <w:spacing w:after="0" w:line="49" w:lineRule="exact"/>
        <w:rPr>
          <w:rFonts w:ascii="Arial" w:cs="Arial" w:eastAsia="Arial" w:hAnsi="Arial"/>
          <w:sz w:val="13"/>
          <w:szCs w:val="13"/>
          <w:color w:val="auto"/>
        </w:rPr>
      </w:pPr>
    </w:p>
    <w:p>
      <w:pPr>
        <w:ind w:left="420" w:right="120" w:firstLine="161"/>
        <w:spacing w:after="0" w:line="276" w:lineRule="auto"/>
        <w:tabs>
          <w:tab w:leader="none" w:pos="769" w:val="left"/>
        </w:tabs>
        <w:numPr>
          <w:ilvl w:val="1"/>
          <w:numId w:val="62"/>
        </w:numPr>
        <w:rPr>
          <w:rFonts w:ascii="Arial" w:cs="Arial" w:eastAsia="Arial" w:hAnsi="Arial"/>
          <w:sz w:val="13"/>
          <w:szCs w:val="13"/>
          <w:color w:val="auto"/>
        </w:rPr>
      </w:pPr>
      <w:r>
        <w:rPr>
          <w:rFonts w:ascii="Arial" w:cs="Arial" w:eastAsia="Arial" w:hAnsi="Arial"/>
          <w:sz w:val="13"/>
          <w:szCs w:val="13"/>
          <w:color w:val="auto"/>
        </w:rPr>
        <w:t>no Default or Event of Default with respect to the Securities of such Series shall have occurred and be continuing on the date of such deposit (other than a Default or Event of Default resulting from the borrowing of funds to be applied to such deposit and the grant of any lien securing such borrowings);</w:t>
      </w:r>
    </w:p>
    <w:p>
      <w:pPr>
        <w:spacing w:after="0" w:line="49" w:lineRule="exact"/>
        <w:rPr>
          <w:rFonts w:ascii="Arial" w:cs="Arial" w:eastAsia="Arial" w:hAnsi="Arial"/>
          <w:sz w:val="13"/>
          <w:szCs w:val="13"/>
          <w:color w:val="auto"/>
        </w:rPr>
      </w:pPr>
    </w:p>
    <w:p>
      <w:pPr>
        <w:ind w:left="760" w:hanging="179"/>
        <w:spacing w:after="0"/>
        <w:tabs>
          <w:tab w:leader="none" w:pos="760" w:val="left"/>
        </w:tabs>
        <w:numPr>
          <w:ilvl w:val="1"/>
          <w:numId w:val="62"/>
        </w:numPr>
        <w:rPr>
          <w:rFonts w:ascii="Arial" w:cs="Arial" w:eastAsia="Arial" w:hAnsi="Arial"/>
          <w:sz w:val="13"/>
          <w:szCs w:val="13"/>
          <w:color w:val="auto"/>
        </w:rPr>
      </w:pPr>
      <w:r>
        <w:rPr>
          <w:rFonts w:ascii="Arial" w:cs="Arial" w:eastAsia="Arial" w:hAnsi="Arial"/>
          <w:sz w:val="13"/>
          <w:szCs w:val="13"/>
          <w:color w:val="auto"/>
        </w:rPr>
        <w:t>the Company shall have delivered to the Trustee an Opinion of Counsel from a nationally recognized counsel acceptable to the Trustee or a tax</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60" w:top="720" w:right="239" w:bottom="1440" w:gutter="0" w:footer="0" w:header="0"/>
        </w:sectPr>
      </w:pPr>
    </w:p>
    <w:bookmarkStart w:id="81" w:name="page82"/>
    <w:bookmarkEnd w:id="81"/>
    <w:p>
      <w:pPr>
        <w:ind w:left="460" w:right="160"/>
        <w:spacing w:after="0" w:line="276" w:lineRule="auto"/>
        <w:rPr>
          <w:sz w:val="20"/>
          <w:szCs w:val="20"/>
          <w:color w:val="auto"/>
        </w:rPr>
      </w:pPr>
      <w:r>
        <w:rPr>
          <w:rFonts w:ascii="Arial" w:cs="Arial" w:eastAsia="Arial" w:hAnsi="Arial"/>
          <w:sz w:val="13"/>
          <w:szCs w:val="13"/>
          <w:color w:val="auto"/>
        </w:rPr>
        <w:t>ruling to the effect that the Holders will not recognize income, gain or loss for Federal income tax purposes as a result of such Company’s exercise of its option under this Section 8.1(b) and will be subject to Federal income tax on the same amount and in the same manner and at the same times as would have been the case if such option had not been exercised; and</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3"/>
          <w:szCs w:val="13"/>
          <w:color w:val="auto"/>
        </w:rPr>
        <w:t>(5) the Company has complied with any additional conditions specified pursuant to Section 2.2 to be applicable to the discharge of Securities of such Series pursuant to this Section 8.1.</w:t>
      </w:r>
    </w:p>
    <w:p>
      <w:pPr>
        <w:spacing w:after="0" w:line="86" w:lineRule="exact"/>
        <w:rPr>
          <w:sz w:val="20"/>
          <w:szCs w:val="20"/>
          <w:color w:val="auto"/>
        </w:rPr>
      </w:pPr>
    </w:p>
    <w:p>
      <w:pPr>
        <w:ind w:right="40" w:firstLine="328"/>
        <w:spacing w:after="0" w:line="260" w:lineRule="auto"/>
        <w:rPr>
          <w:sz w:val="20"/>
          <w:szCs w:val="20"/>
          <w:color w:val="auto"/>
        </w:rPr>
      </w:pPr>
      <w:r>
        <w:rPr>
          <w:rFonts w:ascii="Arial" w:cs="Arial" w:eastAsia="Arial" w:hAnsi="Arial"/>
          <w:sz w:val="13"/>
          <w:szCs w:val="13"/>
          <w:color w:val="auto"/>
        </w:rPr>
        <w:t>In such event, this Indenture shall cease to be of further effect (except as set forth in this paragraph), and the Trustee, on written demand of the Company, shall execute instruments acknowledging satisfaction and discharge under this Indenture. However, the Company’s obligations in Sections 2.4, 2.5, 2.6, 2.7, 2.8, 4.1, 5.1, 7.6 and 7.7, the Trustee’s and Paying Agent’s obligations in Section 8.3 and the rights, powers, protections and privileges accorded the Trustee under Article VII shall survive until all Securities of such Series are no longer outstanding. Thereafter, only the obligations of the Company in Section 7.6 and the Trustee’s and Paying Agent’s obligations in Section 8.3 shall survive with respect to Securities of such Series.</w:t>
      </w:r>
    </w:p>
    <w:p>
      <w:pPr>
        <w:spacing w:after="0" w:line="60"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In order to have money available on a payment date to pay principal of or premium (if any) or interest on the Securities, the Government Obligations shall be payable as to principal or interest on or before such payment date in such amounts as will provide the necessary money. Government Obligations shall not be callable at the issuer’s option.</w:t>
      </w:r>
    </w:p>
    <w:p>
      <w:pPr>
        <w:spacing w:after="0" w:line="49" w:lineRule="exact"/>
        <w:rPr>
          <w:sz w:val="20"/>
          <w:szCs w:val="20"/>
          <w:color w:val="auto"/>
        </w:rPr>
      </w:pPr>
    </w:p>
    <w:p>
      <w:pPr>
        <w:ind w:left="340" w:hanging="178"/>
        <w:spacing w:after="0"/>
        <w:tabs>
          <w:tab w:leader="none" w:pos="3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If the Company has previously complied or is concurrently complying with the conditions set forth in Section 8.1(b) (other than any additional conditions specified pursuant to Section 2.2 that are expressly</w:t>
      </w:r>
    </w:p>
    <w:p>
      <w:pPr>
        <w:spacing w:after="0" w:line="26" w:lineRule="exact"/>
        <w:rPr>
          <w:rFonts w:ascii="Arial" w:cs="Arial" w:eastAsia="Arial" w:hAnsi="Arial"/>
          <w:sz w:val="12"/>
          <w:szCs w:val="12"/>
          <w:color w:val="auto"/>
        </w:rPr>
      </w:pPr>
    </w:p>
    <w:p>
      <w:pPr>
        <w:ind w:right="40"/>
        <w:spacing w:after="0" w:line="264" w:lineRule="auto"/>
        <w:rPr>
          <w:rFonts w:ascii="Arial" w:cs="Arial" w:eastAsia="Arial" w:hAnsi="Arial"/>
          <w:sz w:val="12"/>
          <w:szCs w:val="12"/>
          <w:color w:val="auto"/>
        </w:rPr>
      </w:pPr>
      <w:r>
        <w:rPr>
          <w:rFonts w:ascii="Arial" w:cs="Arial" w:eastAsia="Arial" w:hAnsi="Arial"/>
          <w:sz w:val="13"/>
          <w:szCs w:val="13"/>
          <w:color w:val="auto"/>
        </w:rPr>
        <w:t>applicable only to covenant defeasance) with respect to Securities of a Series, then unless this Section 8.1(c) is specified as not being applicable to Securities of such Series as contemplated by Section 2.2, the Company may elect to be discharged (“</w:t>
      </w:r>
      <w:r>
        <w:rPr>
          <w:rFonts w:ascii="Arial" w:cs="Arial" w:eastAsia="Arial" w:hAnsi="Arial"/>
          <w:sz w:val="13"/>
          <w:szCs w:val="13"/>
          <w:i w:val="1"/>
          <w:iCs w:val="1"/>
          <w:color w:val="auto"/>
        </w:rPr>
        <w:t>legal defeasance</w:t>
      </w:r>
      <w:r>
        <w:rPr>
          <w:rFonts w:ascii="Arial" w:cs="Arial" w:eastAsia="Arial" w:hAnsi="Arial"/>
          <w:sz w:val="13"/>
          <w:szCs w:val="13"/>
          <w:color w:val="auto"/>
        </w:rPr>
        <w:t>”) from its obligations to make payments with respect to Securities of such Series, if:</w:t>
      </w:r>
    </w:p>
    <w:p>
      <w:pPr>
        <w:spacing w:after="0" w:line="56" w:lineRule="exact"/>
        <w:rPr>
          <w:rFonts w:ascii="Arial" w:cs="Arial" w:eastAsia="Arial" w:hAnsi="Arial"/>
          <w:sz w:val="12"/>
          <w:szCs w:val="12"/>
          <w:color w:val="auto"/>
        </w:rPr>
      </w:pPr>
    </w:p>
    <w:p>
      <w:pPr>
        <w:ind w:left="460" w:firstLine="161"/>
        <w:spacing w:after="0" w:line="289" w:lineRule="auto"/>
        <w:tabs>
          <w:tab w:leader="none" w:pos="809" w:val="left"/>
        </w:tabs>
        <w:numPr>
          <w:ilvl w:val="1"/>
          <w:numId w:val="63"/>
        </w:numPr>
        <w:rPr>
          <w:rFonts w:ascii="Arial" w:cs="Arial" w:eastAsia="Arial" w:hAnsi="Arial"/>
          <w:sz w:val="12"/>
          <w:szCs w:val="12"/>
          <w:color w:val="auto"/>
        </w:rPr>
      </w:pPr>
      <w:r>
        <w:rPr>
          <w:rFonts w:ascii="Arial" w:cs="Arial" w:eastAsia="Arial" w:hAnsi="Arial"/>
          <w:sz w:val="12"/>
          <w:szCs w:val="12"/>
          <w:color w:val="auto"/>
        </w:rPr>
        <w:t>unless otherwise specified with respect to Securities of such Series as contemplated by Section 2.2, the Company has delivered to the Trustee an Opinion of Counsel from a nationally recognized counsel acceptable to the Trustee to the effect referred to in Section 8.1(b)(4) with respect to such legal defeasance, which opinion is based on (i) a private ruling of the Internal Revenue Service addressed to the Company, (ii) a published ruling of the Internal Revenue Service or (iii) a change in the applicable federal income tax law (including regulations) after the date of this Indenture; the Company has complied with any other conditions specified pursuant to Section 2.2 to be applicable to the legal defeasance of Securities of such Series pursuant to this Section 8.1(c); and</w:t>
      </w:r>
    </w:p>
    <w:p>
      <w:pPr>
        <w:spacing w:after="0" w:line="43" w:lineRule="exact"/>
        <w:rPr>
          <w:rFonts w:ascii="Arial" w:cs="Arial" w:eastAsia="Arial" w:hAnsi="Arial"/>
          <w:sz w:val="12"/>
          <w:szCs w:val="12"/>
          <w:color w:val="auto"/>
        </w:rPr>
      </w:pPr>
    </w:p>
    <w:p>
      <w:pPr>
        <w:ind w:left="460" w:right="360" w:firstLine="161"/>
        <w:spacing w:after="0" w:line="276" w:lineRule="auto"/>
        <w:tabs>
          <w:tab w:leader="none" w:pos="809" w:val="left"/>
        </w:tabs>
        <w:numPr>
          <w:ilvl w:val="1"/>
          <w:numId w:val="63"/>
        </w:numPr>
        <w:rPr>
          <w:rFonts w:ascii="Arial" w:cs="Arial" w:eastAsia="Arial" w:hAnsi="Arial"/>
          <w:sz w:val="13"/>
          <w:szCs w:val="13"/>
          <w:color w:val="auto"/>
        </w:rPr>
      </w:pPr>
      <w:r>
        <w:rPr>
          <w:rFonts w:ascii="Arial" w:cs="Arial" w:eastAsia="Arial" w:hAnsi="Arial"/>
          <w:sz w:val="13"/>
          <w:szCs w:val="13"/>
          <w:color w:val="auto"/>
        </w:rPr>
        <w:t>the Company has delivered to the Trustee a Company Request requesting such legal defeasance of the Securities of such Series and an Officer’s Certificate stating that all conditions precedent with respect to such legal</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82" w:name="page83"/>
    <w:bookmarkEnd w:id="82"/>
    <w:p>
      <w:pPr>
        <w:ind w:left="460"/>
        <w:spacing w:after="0"/>
        <w:rPr>
          <w:sz w:val="20"/>
          <w:szCs w:val="20"/>
          <w:color w:val="auto"/>
        </w:rPr>
      </w:pPr>
      <w:r>
        <w:rPr>
          <w:rFonts w:ascii="Arial" w:cs="Arial" w:eastAsia="Arial" w:hAnsi="Arial"/>
          <w:sz w:val="13"/>
          <w:szCs w:val="13"/>
          <w:color w:val="auto"/>
        </w:rPr>
        <w:t>defeasance of the Securities of such Series have been complied with, together with an Opinion of Counsel to the same effect.</w:t>
      </w:r>
    </w:p>
    <w:p>
      <w:pPr>
        <w:spacing w:after="0" w:line="86" w:lineRule="exact"/>
        <w:rPr>
          <w:sz w:val="20"/>
          <w:szCs w:val="20"/>
          <w:color w:val="auto"/>
        </w:rPr>
      </w:pPr>
    </w:p>
    <w:p>
      <w:pPr>
        <w:ind w:right="60" w:firstLine="328"/>
        <w:spacing w:after="0" w:line="264" w:lineRule="auto"/>
        <w:rPr>
          <w:sz w:val="20"/>
          <w:szCs w:val="20"/>
          <w:color w:val="auto"/>
        </w:rPr>
      </w:pPr>
      <w:r>
        <w:rPr>
          <w:rFonts w:ascii="Arial" w:cs="Arial" w:eastAsia="Arial" w:hAnsi="Arial"/>
          <w:sz w:val="13"/>
          <w:szCs w:val="13"/>
          <w:color w:val="auto"/>
        </w:rPr>
        <w:t>In such event, the Company will be discharged from its obligations under this Indenture and the Securities of such Series to pay principal of, premium (if any) and interest on, and any Additional Amounts with respect to, Securities of such Series, the Company’s obligations under Sections 4.1 and 5.1 shall terminate with respect to such Securities, and the entire indebtedness of the Company evidenced by such Securities shall be deemed paid and discharged.</w:t>
      </w:r>
    </w:p>
    <w:p>
      <w:pPr>
        <w:spacing w:after="0" w:line="57" w:lineRule="exact"/>
        <w:rPr>
          <w:sz w:val="20"/>
          <w:szCs w:val="20"/>
          <w:color w:val="auto"/>
        </w:rPr>
      </w:pPr>
    </w:p>
    <w:p>
      <w:pPr>
        <w:ind w:right="80" w:firstLine="162"/>
        <w:spacing w:after="0" w:line="264" w:lineRule="auto"/>
        <w:tabs>
          <w:tab w:leader="none" w:pos="349" w:val="left"/>
        </w:tabs>
        <w:numPr>
          <w:ilvl w:val="0"/>
          <w:numId w:val="64"/>
        </w:numPr>
        <w:rPr>
          <w:rFonts w:ascii="Arial" w:cs="Arial" w:eastAsia="Arial" w:hAnsi="Arial"/>
          <w:sz w:val="13"/>
          <w:szCs w:val="13"/>
          <w:color w:val="auto"/>
        </w:rPr>
      </w:pPr>
      <w:r>
        <w:rPr>
          <w:rFonts w:ascii="Arial" w:cs="Arial" w:eastAsia="Arial" w:hAnsi="Arial"/>
          <w:sz w:val="13"/>
          <w:szCs w:val="13"/>
          <w:color w:val="auto"/>
        </w:rPr>
        <w:t>If and to the extent additional or alternative means of satisfaction, discharge or defeasance of Securities of a Series are specified to be applicable to such Series as contemplated by Section 2.2, the Company may terminate any or all of its obligations under this Indenture with respect to its Securities of a Series and any or all of its obligations under the Securities of such Series if it fulfills such other means of satisfaction and discharge as may be so specified, as contemplated by Section 2.2, to be applicable to the Securities of such Series.</w:t>
      </w:r>
    </w:p>
    <w:p>
      <w:pPr>
        <w:spacing w:after="0" w:line="57" w:lineRule="exact"/>
        <w:rPr>
          <w:rFonts w:ascii="Arial" w:cs="Arial" w:eastAsia="Arial" w:hAnsi="Arial"/>
          <w:sz w:val="13"/>
          <w:szCs w:val="13"/>
          <w:color w:val="auto"/>
        </w:rPr>
      </w:pPr>
    </w:p>
    <w:p>
      <w:pPr>
        <w:ind w:firstLine="162"/>
        <w:spacing w:after="0" w:line="264" w:lineRule="auto"/>
        <w:tabs>
          <w:tab w:leader="none" w:pos="342" w:val="left"/>
        </w:tabs>
        <w:numPr>
          <w:ilvl w:val="0"/>
          <w:numId w:val="64"/>
        </w:numPr>
        <w:rPr>
          <w:rFonts w:ascii="Arial" w:cs="Arial" w:eastAsia="Arial" w:hAnsi="Arial"/>
          <w:sz w:val="13"/>
          <w:szCs w:val="13"/>
          <w:color w:val="auto"/>
        </w:rPr>
      </w:pPr>
      <w:r>
        <w:rPr>
          <w:rFonts w:ascii="Arial" w:cs="Arial" w:eastAsia="Arial" w:hAnsi="Arial"/>
          <w:sz w:val="13"/>
          <w:szCs w:val="13"/>
          <w:color w:val="auto"/>
        </w:rPr>
        <w:t>If Securities of any Series subject to subsections (a), (b), (c) or (d) of this Section 8.1 are to be redeemed prior to their Stated Maturity, whether pursuant to any optional redemption provisions or in accordance with any mandatory or optional sinking fund provisions, the terms of the applicable trust arrangement shall provide for such redemption, and the Company shall make such arrangements as are reasonably satisfactory to the Trustee for the giving of notice of redemption in the name, and at the expense, of the Company.</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8.2. </w:t>
      </w:r>
      <w:r>
        <w:rPr>
          <w:rFonts w:ascii="Arial" w:cs="Arial" w:eastAsia="Arial" w:hAnsi="Arial"/>
          <w:sz w:val="13"/>
          <w:szCs w:val="13"/>
          <w:u w:val="single" w:color="auto"/>
          <w:color w:val="auto"/>
        </w:rPr>
        <w:t>Application of Trust Money</w:t>
      </w:r>
      <w:r>
        <w:rPr>
          <w:rFonts w:ascii="Arial" w:cs="Arial" w:eastAsia="Arial" w:hAnsi="Arial"/>
          <w:sz w:val="13"/>
          <w:szCs w:val="13"/>
          <w:color w:val="auto"/>
        </w:rPr>
        <w:t>.</w:t>
      </w:r>
    </w:p>
    <w:p>
      <w:pPr>
        <w:spacing w:after="0" w:line="86" w:lineRule="exact"/>
        <w:rPr>
          <w:sz w:val="20"/>
          <w:szCs w:val="20"/>
          <w:color w:val="auto"/>
        </w:rPr>
      </w:pPr>
    </w:p>
    <w:p>
      <w:pPr>
        <w:ind w:right="20" w:firstLine="325"/>
        <w:spacing w:after="0" w:line="264" w:lineRule="auto"/>
        <w:rPr>
          <w:sz w:val="20"/>
          <w:szCs w:val="20"/>
          <w:color w:val="auto"/>
        </w:rPr>
      </w:pPr>
      <w:r>
        <w:rPr>
          <w:rFonts w:ascii="Arial" w:cs="Arial" w:eastAsia="Arial" w:hAnsi="Arial"/>
          <w:sz w:val="13"/>
          <w:szCs w:val="13"/>
          <w:color w:val="auto"/>
        </w:rPr>
        <w:t>The Trustee or a trustee satisfactory to the Trustee and the Company shall hold in trust money or Government Obligations deposited with it pursuant to Section 8.1 hereof. It shall apply the deposited money and the money from Government Obligations through the Paying Agent and in accordance with this Indenture to the payment of principal of premium (if any) and interest on and any Additional Amounts with respect to the Securities of the Series with respect to which the deposit was made.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8.3. </w:t>
      </w:r>
      <w:r>
        <w:rPr>
          <w:rFonts w:ascii="Arial" w:cs="Arial" w:eastAsia="Arial" w:hAnsi="Arial"/>
          <w:sz w:val="13"/>
          <w:szCs w:val="13"/>
          <w:u w:val="single" w:color="auto"/>
          <w:color w:val="auto"/>
        </w:rPr>
        <w:t>Repayment to Company</w:t>
      </w:r>
      <w:r>
        <w:rPr>
          <w:rFonts w:ascii="Arial" w:cs="Arial" w:eastAsia="Arial" w:hAnsi="Arial"/>
          <w:sz w:val="13"/>
          <w:szCs w:val="13"/>
          <w:color w:val="auto"/>
        </w:rPr>
        <w:t>.</w:t>
      </w:r>
    </w:p>
    <w:p>
      <w:pPr>
        <w:spacing w:after="0" w:line="86" w:lineRule="exact"/>
        <w:rPr>
          <w:sz w:val="20"/>
          <w:szCs w:val="20"/>
          <w:color w:val="auto"/>
        </w:rPr>
      </w:pPr>
    </w:p>
    <w:p>
      <w:pPr>
        <w:ind w:right="380" w:firstLine="325"/>
        <w:spacing w:after="0" w:line="276" w:lineRule="auto"/>
        <w:rPr>
          <w:sz w:val="20"/>
          <w:szCs w:val="20"/>
          <w:color w:val="auto"/>
        </w:rPr>
      </w:pPr>
      <w:r>
        <w:rPr>
          <w:rFonts w:ascii="Arial" w:cs="Arial" w:eastAsia="Arial" w:hAnsi="Arial"/>
          <w:sz w:val="13"/>
          <w:szCs w:val="13"/>
          <w:color w:val="auto"/>
        </w:rPr>
        <w:t>The Trustee and the Paying Agent shall promptly pay to the Company upon written request any excess money or Government Obligations (or proceeds therefrom) held by them at any time upon the written request of the Company.</w:t>
      </w:r>
    </w:p>
    <w:p>
      <w:pPr>
        <w:spacing w:after="0" w:line="49"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83" w:name="page84"/>
    <w:bookmarkEnd w:id="83"/>
    <w:p>
      <w:pPr>
        <w:ind w:left="160"/>
        <w:spacing w:after="0"/>
        <w:rPr>
          <w:sz w:val="20"/>
          <w:szCs w:val="20"/>
          <w:color w:val="auto"/>
        </w:rPr>
      </w:pPr>
      <w:r>
        <w:rPr>
          <w:rFonts w:ascii="Arial" w:cs="Arial" w:eastAsia="Arial" w:hAnsi="Arial"/>
          <w:sz w:val="13"/>
          <w:szCs w:val="13"/>
          <w:color w:val="auto"/>
        </w:rPr>
        <w:t xml:space="preserve">Section 8.4. </w:t>
      </w:r>
      <w:r>
        <w:rPr>
          <w:rFonts w:ascii="Arial" w:cs="Arial" w:eastAsia="Arial" w:hAnsi="Arial"/>
          <w:sz w:val="13"/>
          <w:szCs w:val="13"/>
          <w:u w:val="single" w:color="auto"/>
          <w:color w:val="auto"/>
        </w:rPr>
        <w:t>Reinstatement</w:t>
      </w:r>
      <w:r>
        <w:rPr>
          <w:rFonts w:ascii="Arial" w:cs="Arial" w:eastAsia="Arial" w:hAnsi="Arial"/>
          <w:sz w:val="13"/>
          <w:szCs w:val="13"/>
          <w:color w:val="auto"/>
        </w:rPr>
        <w:t>.</w:t>
      </w:r>
    </w:p>
    <w:p>
      <w:pPr>
        <w:spacing w:after="0" w:line="86"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 xml:space="preserve">If the Trustee or the Paying Agent is unable to apply any money or Government Obligations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or Government Obligations in accordance with Section 8.1;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if the Company has made any payment of principal of, premium (if any) or interest on or any Additional Amounts with respect to any Securities because of the reinstatement of its obligations, the Company shall be subrogated to the rights of the Holders of such Securities to receive such payment from the money or Government Obligations held by the Trustee or the Paying Agent.</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ARTICLE IX.</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AMENDMENTS AND WAIVERS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9.1. </w:t>
      </w:r>
      <w:r>
        <w:rPr>
          <w:rFonts w:ascii="Arial" w:cs="Arial" w:eastAsia="Arial" w:hAnsi="Arial"/>
          <w:sz w:val="13"/>
          <w:szCs w:val="13"/>
          <w:u w:val="single" w:color="auto"/>
          <w:color w:val="auto"/>
        </w:rPr>
        <w:t>Without Consent of Holders</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Without the consent of any Holder of Securities of a Series, the Company and the Trustee may amend or supplement this Indenture or the Series of Securities in the following circumstances:</w:t>
      </w:r>
    </w:p>
    <w:p>
      <w:pPr>
        <w:spacing w:after="0" w:line="86" w:lineRule="exact"/>
        <w:rPr>
          <w:sz w:val="20"/>
          <w:szCs w:val="20"/>
          <w:color w:val="auto"/>
        </w:rPr>
      </w:pPr>
    </w:p>
    <w:p>
      <w:pPr>
        <w:ind w:left="800" w:hanging="179"/>
        <w:spacing w:after="0"/>
        <w:tabs>
          <w:tab w:leader="none" w:pos="8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to cure any ambiguity, omission, defect or inconsistency;</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to provide for the assumption of the Company’s obligations under this Indenture by a successor upon any merger, consolidation or asset transfer;</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to provide for uncertificated Securities in addition to or in place of Certificated Securities;</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to provide any security for or guarantees of its Securities or for the addition of an additional obligor on its Securities;</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to comply with any requirement to effect or maintain the qualification of this Indenture under the Trust Indenture Act of 1939, as amended, if applicable;</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to add covenants that would benefit the Holders of its Securities or to surrender any rights the Company has under this Indenture;</w:t>
      </w:r>
    </w:p>
    <w:p>
      <w:pPr>
        <w:spacing w:after="0" w:line="86" w:lineRule="exact"/>
        <w:rPr>
          <w:rFonts w:ascii="Arial" w:cs="Arial" w:eastAsia="Arial" w:hAnsi="Arial"/>
          <w:sz w:val="13"/>
          <w:szCs w:val="13"/>
          <w:color w:val="auto"/>
        </w:rPr>
      </w:pPr>
    </w:p>
    <w:p>
      <w:pPr>
        <w:ind w:left="460" w:right="180" w:firstLine="161"/>
        <w:spacing w:after="0" w:line="276" w:lineRule="auto"/>
        <w:tabs>
          <w:tab w:leader="none" w:pos="809" w:val="left"/>
        </w:tabs>
        <w:numPr>
          <w:ilvl w:val="0"/>
          <w:numId w:val="65"/>
        </w:numPr>
        <w:rPr>
          <w:rFonts w:ascii="Arial" w:cs="Arial" w:eastAsia="Arial" w:hAnsi="Arial"/>
          <w:sz w:val="13"/>
          <w:szCs w:val="13"/>
          <w:color w:val="auto"/>
        </w:rPr>
      </w:pPr>
      <w:r>
        <w:rPr>
          <w:rFonts w:ascii="Arial" w:cs="Arial" w:eastAsia="Arial" w:hAnsi="Arial"/>
          <w:sz w:val="13"/>
          <w:szCs w:val="13"/>
          <w:color w:val="auto"/>
        </w:rPr>
        <w:t xml:space="preserve">to change or eliminate any of the provisions of this Indenture,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such change or elimination shall not become effective with respect to any outstanding Securities of any Series created prior to the execution of such supplemental indenture which is entitled to the benefit of such provision;</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0" w:right="319" w:bottom="1440" w:gutter="0" w:footer="0" w:header="0"/>
        </w:sectPr>
      </w:pPr>
    </w:p>
    <w:bookmarkStart w:id="84" w:name="page85"/>
    <w:bookmarkEnd w:id="84"/>
    <w:p>
      <w:pPr>
        <w:ind w:left="800" w:hanging="179"/>
        <w:spacing w:after="0"/>
        <w:tabs>
          <w:tab w:leader="none" w:pos="8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to provide for the issuance of and establish forms and terms and conditions of a new series of Securities;</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to permit or facilitate the defeasance and discharge of the Securities;</w:t>
      </w:r>
    </w:p>
    <w:p>
      <w:pPr>
        <w:spacing w:after="0" w:line="86" w:lineRule="exact"/>
        <w:rPr>
          <w:rFonts w:ascii="Arial" w:cs="Arial" w:eastAsia="Arial" w:hAnsi="Arial"/>
          <w:sz w:val="13"/>
          <w:szCs w:val="13"/>
          <w:color w:val="auto"/>
        </w:rPr>
      </w:pPr>
    </w:p>
    <w:p>
      <w:pPr>
        <w:ind w:left="460" w:right="220" w:firstLine="161"/>
        <w:spacing w:after="0" w:line="276" w:lineRule="auto"/>
        <w:tabs>
          <w:tab w:leader="none" w:pos="875" w:val="left"/>
        </w:tabs>
        <w:numPr>
          <w:ilvl w:val="0"/>
          <w:numId w:val="66"/>
        </w:numPr>
        <w:rPr>
          <w:rFonts w:ascii="Arial" w:cs="Arial" w:eastAsia="Arial" w:hAnsi="Arial"/>
          <w:sz w:val="13"/>
          <w:szCs w:val="13"/>
          <w:color w:val="auto"/>
        </w:rPr>
      </w:pPr>
      <w:r>
        <w:rPr>
          <w:rFonts w:ascii="Arial" w:cs="Arial" w:eastAsia="Arial" w:hAnsi="Arial"/>
          <w:sz w:val="13"/>
          <w:szCs w:val="13"/>
          <w:color w:val="auto"/>
        </w:rPr>
        <w:t xml:space="preserve">to issue additional Securities of any Series,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additional Securities have the same terms as, and be deemed part of the same Series as, the applicable Series of Securities to the extent required under this Indenture;</w:t>
      </w:r>
    </w:p>
    <w:p>
      <w:pPr>
        <w:spacing w:after="0" w:line="49" w:lineRule="exact"/>
        <w:rPr>
          <w:rFonts w:ascii="Arial" w:cs="Arial" w:eastAsia="Arial" w:hAnsi="Arial"/>
          <w:sz w:val="13"/>
          <w:szCs w:val="13"/>
          <w:color w:val="auto"/>
        </w:rPr>
      </w:pPr>
    </w:p>
    <w:p>
      <w:pPr>
        <w:ind w:left="460" w:right="100" w:firstLine="161"/>
        <w:spacing w:after="0" w:line="276" w:lineRule="auto"/>
        <w:tabs>
          <w:tab w:leader="none" w:pos="87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to evidence and provide for the acceptance of and appointment by a successor trustee with respect to the Securities of one or more Series and to add to or change any of the provisions of this Indenture as shall be necessary to provide for or facilitate the administration of the trust by more than one trustee;</w:t>
      </w:r>
    </w:p>
    <w:p>
      <w:pPr>
        <w:spacing w:after="0" w:line="49" w:lineRule="exact"/>
        <w:rPr>
          <w:rFonts w:ascii="Arial" w:cs="Arial" w:eastAsia="Arial" w:hAnsi="Arial"/>
          <w:sz w:val="13"/>
          <w:szCs w:val="13"/>
          <w:color w:val="auto"/>
        </w:rPr>
      </w:pPr>
    </w:p>
    <w:p>
      <w:pPr>
        <w:ind w:left="880" w:hanging="259"/>
        <w:spacing w:after="0"/>
        <w:tabs>
          <w:tab w:leader="none" w:pos="8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to add additional Events of Default with respect to Securities; and</w:t>
      </w:r>
    </w:p>
    <w:p>
      <w:pPr>
        <w:spacing w:after="0" w:line="86" w:lineRule="exact"/>
        <w:rPr>
          <w:rFonts w:ascii="Arial" w:cs="Arial" w:eastAsia="Arial" w:hAnsi="Arial"/>
          <w:sz w:val="13"/>
          <w:szCs w:val="13"/>
          <w:color w:val="auto"/>
        </w:rPr>
      </w:pPr>
    </w:p>
    <w:p>
      <w:pPr>
        <w:ind w:left="880" w:hanging="259"/>
        <w:spacing w:after="0"/>
        <w:tabs>
          <w:tab w:leader="none" w:pos="8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to make any change that does not adversely affect any of its outstanding Securities in any material respect.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9.2. </w:t>
      </w:r>
      <w:r>
        <w:rPr>
          <w:rFonts w:ascii="Arial" w:cs="Arial" w:eastAsia="Arial" w:hAnsi="Arial"/>
          <w:sz w:val="13"/>
          <w:szCs w:val="13"/>
          <w:u w:val="single" w:color="auto"/>
          <w:color w:val="auto"/>
        </w:rPr>
        <w:t>With Consent of Holders</w:t>
      </w:r>
      <w:r>
        <w:rPr>
          <w:rFonts w:ascii="Arial" w:cs="Arial" w:eastAsia="Arial" w:hAnsi="Arial"/>
          <w:sz w:val="13"/>
          <w:szCs w:val="13"/>
          <w:color w:val="auto"/>
        </w:rPr>
        <w:t>.</w:t>
      </w:r>
    </w:p>
    <w:p>
      <w:pPr>
        <w:spacing w:after="0" w:line="86" w:lineRule="exact"/>
        <w:rPr>
          <w:sz w:val="20"/>
          <w:szCs w:val="20"/>
          <w:color w:val="auto"/>
        </w:rPr>
      </w:pPr>
    </w:p>
    <w:p>
      <w:pPr>
        <w:ind w:firstLine="325"/>
        <w:spacing w:after="0" w:line="316" w:lineRule="auto"/>
        <w:rPr>
          <w:sz w:val="20"/>
          <w:szCs w:val="20"/>
          <w:color w:val="auto"/>
        </w:rPr>
      </w:pPr>
      <w:r>
        <w:rPr>
          <w:rFonts w:ascii="Arial" w:cs="Arial" w:eastAsia="Arial" w:hAnsi="Arial"/>
          <w:sz w:val="11"/>
          <w:szCs w:val="11"/>
          <w:color w:val="auto"/>
        </w:rPr>
        <w:t>This Indenture or the Securities of a Series may be amended or supplemented, and waivers may be obtained, with the consent of the Holders of at least a majority in aggregate principal amount of the then outstanding Securities of such Series voting as a single class (including consents obtained in connection with a tender offer or exchange offer for, or purchase of, such Securities of a Series), and any existing Default or Event of Default (other than a Default or Event of Default in the payment of the principal of, premium on, if any, interest or Additional Amounts, if any, on, such Securities of a Series, except a payment Default resulting from an acceleration that has been rescinded) or compliance with any provision of this Indenture or the Securities of such Series may be waived with the consent of the Holders of a majority in aggregate principal amount of the then outstanding Securities of such Series voting as a single class (including consents obtained in connection with a purchase of, or tender offer or exchange offer for, such Securities of a Series).</w:t>
      </w:r>
    </w:p>
    <w:p>
      <w:pPr>
        <w:spacing w:after="0" w:line="32" w:lineRule="exact"/>
        <w:rPr>
          <w:sz w:val="20"/>
          <w:szCs w:val="20"/>
          <w:color w:val="auto"/>
        </w:rPr>
      </w:pPr>
    </w:p>
    <w:p>
      <w:pPr>
        <w:ind w:right="120" w:firstLine="325"/>
        <w:spacing w:after="0" w:line="276" w:lineRule="auto"/>
        <w:rPr>
          <w:sz w:val="20"/>
          <w:szCs w:val="20"/>
          <w:color w:val="auto"/>
        </w:rPr>
      </w:pPr>
      <w:r>
        <w:rPr>
          <w:rFonts w:ascii="Arial" w:cs="Arial" w:eastAsia="Arial" w:hAnsi="Arial"/>
          <w:sz w:val="13"/>
          <w:szCs w:val="13"/>
          <w:color w:val="auto"/>
        </w:rPr>
        <w:t>The Holders of a majority in principal amount of the outstanding Securities of a Series issued by the Company may waive any existing or past Default or Event of Default with respect to those Securities. Those Holders may not, however, waive any Default or Event of Default in any payment on any Security.</w:t>
      </w:r>
    </w:p>
    <w:p>
      <w:pPr>
        <w:spacing w:after="0" w:line="49" w:lineRule="exact"/>
        <w:rPr>
          <w:sz w:val="20"/>
          <w:szCs w:val="20"/>
          <w:color w:val="auto"/>
        </w:rPr>
      </w:pPr>
    </w:p>
    <w:p>
      <w:pPr>
        <w:ind w:right="60" w:firstLine="328"/>
        <w:spacing w:after="0" w:line="276" w:lineRule="auto"/>
        <w:rPr>
          <w:sz w:val="20"/>
          <w:szCs w:val="20"/>
          <w:color w:val="auto"/>
        </w:rPr>
      </w:pPr>
      <w:r>
        <w:rPr>
          <w:rFonts w:ascii="Arial" w:cs="Arial" w:eastAsia="Arial" w:hAnsi="Arial"/>
          <w:sz w:val="13"/>
          <w:szCs w:val="13"/>
          <w:color w:val="auto"/>
        </w:rPr>
        <w:t>For the avoidance of doubt, any amendment, supplement or waiver to any Series of Securities made with the consent of Holders of such Series of Securities, shall be made with respect to that Series of Securities only, and not any other Series of Securities.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85" w:name="page86"/>
    <w:bookmarkEnd w:id="85"/>
    <w:p>
      <w:pPr>
        <w:ind w:left="160"/>
        <w:spacing w:after="0"/>
        <w:rPr>
          <w:sz w:val="20"/>
          <w:szCs w:val="20"/>
          <w:color w:val="auto"/>
        </w:rPr>
      </w:pPr>
      <w:r>
        <w:rPr>
          <w:rFonts w:ascii="Arial" w:cs="Arial" w:eastAsia="Arial" w:hAnsi="Arial"/>
          <w:sz w:val="13"/>
          <w:szCs w:val="13"/>
          <w:color w:val="auto"/>
        </w:rPr>
        <w:t xml:space="preserve">Section 9.3. </w:t>
      </w:r>
      <w:r>
        <w:rPr>
          <w:rFonts w:ascii="Arial" w:cs="Arial" w:eastAsia="Arial" w:hAnsi="Arial"/>
          <w:sz w:val="13"/>
          <w:szCs w:val="13"/>
          <w:u w:val="single" w:color="auto"/>
          <w:color w:val="auto"/>
        </w:rPr>
        <w:t>Limitations</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Without the consent of each Holder of Securities of a Series affected thereby, an amendment, supplement or waiver may not (with respect to any Securities of such Series held by a non-consenting Holder):</w:t>
      </w:r>
    </w:p>
    <w:p>
      <w:pPr>
        <w:spacing w:after="0" w:line="98" w:lineRule="exact"/>
        <w:rPr>
          <w:sz w:val="20"/>
          <w:szCs w:val="20"/>
          <w:color w:val="auto"/>
        </w:rPr>
      </w:pPr>
    </w:p>
    <w:p>
      <w:pPr>
        <w:ind w:left="800" w:hanging="179"/>
        <w:spacing w:after="0"/>
        <w:tabs>
          <w:tab w:leader="none" w:pos="8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reduce the amount of the Securities of such Series whose Holders must consent to an amendment, supplement or waiver;</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reduce the rate of or change the time for payment of interest on the Securities of such Series;</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reduce the principal of the Securities of such Series or change the Stated Maturity of the Securities of such Series;</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reduce any premium payable on the redemption of the Securities of such Series or change the time at which the Securities of such Series may or must be redeemed;</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change any obligation to pay Additional Amounts on the Securities of such Series;</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make payments on the Security of such Series payable in currency other than as originally stated in such Security;</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impair the Holder’s right to institute suit for the enforcement of any payment on the Security of such Series;</w:t>
      </w:r>
    </w:p>
    <w:p>
      <w:pPr>
        <w:spacing w:after="0" w:line="86" w:lineRule="exact"/>
        <w:rPr>
          <w:rFonts w:ascii="Arial" w:cs="Arial" w:eastAsia="Arial" w:hAnsi="Arial"/>
          <w:sz w:val="13"/>
          <w:szCs w:val="13"/>
          <w:color w:val="auto"/>
        </w:rPr>
      </w:pPr>
    </w:p>
    <w:p>
      <w:pPr>
        <w:ind w:left="460" w:right="500" w:firstLine="161"/>
        <w:spacing w:after="0" w:line="276" w:lineRule="auto"/>
        <w:tabs>
          <w:tab w:leader="none" w:pos="809" w:val="left"/>
        </w:tabs>
        <w:numPr>
          <w:ilvl w:val="0"/>
          <w:numId w:val="67"/>
        </w:numPr>
        <w:rPr>
          <w:rFonts w:ascii="Arial" w:cs="Arial" w:eastAsia="Arial" w:hAnsi="Arial"/>
          <w:sz w:val="13"/>
          <w:szCs w:val="13"/>
          <w:color w:val="auto"/>
        </w:rPr>
      </w:pPr>
      <w:r>
        <w:rPr>
          <w:rFonts w:ascii="Arial" w:cs="Arial" w:eastAsia="Arial" w:hAnsi="Arial"/>
          <w:sz w:val="13"/>
          <w:szCs w:val="13"/>
          <w:color w:val="auto"/>
        </w:rPr>
        <w:t>make any change in the percentage of principal amount of the Securities of such Series necessary to waive compliance with Sections 6.8 and 6.13 of this Indenture or to make any change in this Section 9.3(8); or</w:t>
      </w:r>
    </w:p>
    <w:p>
      <w:pPr>
        <w:spacing w:after="0" w:line="49" w:lineRule="exact"/>
        <w:rPr>
          <w:rFonts w:ascii="Arial" w:cs="Arial" w:eastAsia="Arial" w:hAnsi="Arial"/>
          <w:sz w:val="13"/>
          <w:szCs w:val="13"/>
          <w:color w:val="auto"/>
        </w:rPr>
      </w:pPr>
    </w:p>
    <w:p>
      <w:pPr>
        <w:ind w:left="800" w:hanging="179"/>
        <w:spacing w:after="0"/>
        <w:tabs>
          <w:tab w:leader="none" w:pos="8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waive a continuing Default or Event of Default regarding any payment on Securities of such Series.</w:t>
      </w:r>
    </w:p>
    <w:p>
      <w:pPr>
        <w:spacing w:after="0" w:line="86"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In the event that consent is obtained from some of the Holders but not from all of the Holders with respect to any amendments or waivers pursuant to clauses (1) through (9) of this Section 9.3, new Securities of such Series with such amendments or waivers will be issued to those consenting Holders. Such new Securities shall have separate CUSIP numbers and ISINs from those Securities of such Series held by non-consenting Holders.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9.4. </w:t>
      </w:r>
      <w:r>
        <w:rPr>
          <w:rFonts w:ascii="Arial" w:cs="Arial" w:eastAsia="Arial" w:hAnsi="Arial"/>
          <w:sz w:val="13"/>
          <w:szCs w:val="13"/>
          <w:u w:val="single" w:color="auto"/>
          <w:color w:val="auto"/>
        </w:rPr>
        <w:t>Form of Amendments</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Every amendment to this Indenture or the Securities of one or more Series shall be set forth in a supplemental indenture.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86" w:name="page87"/>
    <w:bookmarkEnd w:id="86"/>
    <w:p>
      <w:pPr>
        <w:ind w:left="160"/>
        <w:spacing w:after="0"/>
        <w:rPr>
          <w:sz w:val="20"/>
          <w:szCs w:val="20"/>
          <w:color w:val="auto"/>
        </w:rPr>
      </w:pPr>
      <w:r>
        <w:rPr>
          <w:rFonts w:ascii="Arial" w:cs="Arial" w:eastAsia="Arial" w:hAnsi="Arial"/>
          <w:sz w:val="13"/>
          <w:szCs w:val="13"/>
          <w:color w:val="auto"/>
        </w:rPr>
        <w:t xml:space="preserve">Section 9.5. </w:t>
      </w:r>
      <w:r>
        <w:rPr>
          <w:rFonts w:ascii="Arial" w:cs="Arial" w:eastAsia="Arial" w:hAnsi="Arial"/>
          <w:sz w:val="13"/>
          <w:szCs w:val="13"/>
          <w:u w:val="single" w:color="auto"/>
          <w:color w:val="auto"/>
        </w:rPr>
        <w:t>Revocation and Effect of Consents</w:t>
      </w:r>
      <w:r>
        <w:rPr>
          <w:rFonts w:ascii="Arial" w:cs="Arial" w:eastAsia="Arial" w:hAnsi="Arial"/>
          <w:sz w:val="13"/>
          <w:szCs w:val="13"/>
          <w:color w:val="auto"/>
        </w:rPr>
        <w:t>.</w:t>
      </w:r>
    </w:p>
    <w:p>
      <w:pPr>
        <w:spacing w:after="0" w:line="86" w:lineRule="exact"/>
        <w:rPr>
          <w:sz w:val="20"/>
          <w:szCs w:val="20"/>
          <w:color w:val="auto"/>
        </w:rPr>
      </w:pPr>
    </w:p>
    <w:p>
      <w:pPr>
        <w:ind w:firstLine="328"/>
        <w:spacing w:after="0" w:line="296" w:lineRule="auto"/>
        <w:rPr>
          <w:sz w:val="20"/>
          <w:szCs w:val="20"/>
          <w:color w:val="auto"/>
        </w:rPr>
      </w:pPr>
      <w:r>
        <w:rPr>
          <w:rFonts w:ascii="Arial" w:cs="Arial" w:eastAsia="Arial" w:hAnsi="Arial"/>
          <w:sz w:val="12"/>
          <w:szCs w:val="12"/>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written notice of revocation before the date of the supplemental indenture or the date the waiver becomes effective.</w:t>
      </w:r>
    </w:p>
    <w:p>
      <w:pPr>
        <w:spacing w:after="0" w:line="40" w:lineRule="exact"/>
        <w:rPr>
          <w:sz w:val="20"/>
          <w:szCs w:val="20"/>
          <w:color w:val="auto"/>
        </w:rPr>
      </w:pPr>
    </w:p>
    <w:p>
      <w:pPr>
        <w:ind w:right="100" w:firstLine="320"/>
        <w:spacing w:after="0" w:line="264" w:lineRule="auto"/>
        <w:rPr>
          <w:sz w:val="20"/>
          <w:szCs w:val="20"/>
          <w:color w:val="auto"/>
        </w:rPr>
      </w:pPr>
      <w:r>
        <w:rPr>
          <w:rFonts w:ascii="Arial" w:cs="Arial" w:eastAsia="Arial" w:hAnsi="Arial"/>
          <w:sz w:val="13"/>
          <w:szCs w:val="13"/>
          <w:color w:val="auto"/>
        </w:rPr>
        <w:t>Any amendment or waiver once effective shall bind every Securityholder of each Series affected by such amendment or waiver unless it is of the type described in any of clauses (1) through (9)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9.6. </w:t>
      </w:r>
      <w:r>
        <w:rPr>
          <w:rFonts w:ascii="Arial" w:cs="Arial" w:eastAsia="Arial" w:hAnsi="Arial"/>
          <w:sz w:val="13"/>
          <w:szCs w:val="13"/>
          <w:u w:val="single" w:color="auto"/>
          <w:color w:val="auto"/>
        </w:rPr>
        <w:t>Notation on or Exchange of Securities</w:t>
      </w:r>
      <w:r>
        <w:rPr>
          <w:rFonts w:ascii="Arial" w:cs="Arial" w:eastAsia="Arial" w:hAnsi="Arial"/>
          <w:sz w:val="13"/>
          <w:szCs w:val="13"/>
          <w:color w:val="auto"/>
        </w:rPr>
        <w:t>.</w:t>
      </w:r>
    </w:p>
    <w:p>
      <w:pPr>
        <w:spacing w:after="0" w:line="86" w:lineRule="exact"/>
        <w:rPr>
          <w:sz w:val="20"/>
          <w:szCs w:val="20"/>
          <w:color w:val="auto"/>
        </w:rPr>
      </w:pPr>
    </w:p>
    <w:p>
      <w:pPr>
        <w:ind w:right="100" w:firstLine="325"/>
        <w:spacing w:after="0" w:line="276" w:lineRule="auto"/>
        <w:rPr>
          <w:sz w:val="20"/>
          <w:szCs w:val="20"/>
          <w:color w:val="auto"/>
        </w:rPr>
      </w:pPr>
      <w:r>
        <w:rPr>
          <w:rFonts w:ascii="Arial" w:cs="Arial" w:eastAsia="Arial" w:hAnsi="Arial"/>
          <w:sz w:val="13"/>
          <w:szCs w:val="13"/>
          <w:color w:val="auto"/>
        </w:rPr>
        <w:t>The Trustee may place an appropriate notation about an amendment or waiver on any Security of any Series thereafter authenticated. The Company, in exchange for its Securities of that Series, may issue and the Trustee shall authenticate upon request new Securities of that Series that reflect the amendment or waiver.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9.7. </w:t>
      </w:r>
      <w:r>
        <w:rPr>
          <w:rFonts w:ascii="Arial" w:cs="Arial" w:eastAsia="Arial" w:hAnsi="Arial"/>
          <w:sz w:val="13"/>
          <w:szCs w:val="13"/>
          <w:u w:val="single" w:color="auto"/>
          <w:color w:val="auto"/>
        </w:rPr>
        <w:t>Trustee Protected</w:t>
      </w:r>
      <w:r>
        <w:rPr>
          <w:rFonts w:ascii="Arial" w:cs="Arial" w:eastAsia="Arial" w:hAnsi="Arial"/>
          <w:sz w:val="13"/>
          <w:szCs w:val="13"/>
          <w:color w:val="auto"/>
        </w:rPr>
        <w:t>.</w:t>
      </w:r>
    </w:p>
    <w:p>
      <w:pPr>
        <w:spacing w:after="0" w:line="86" w:lineRule="exact"/>
        <w:rPr>
          <w:sz w:val="20"/>
          <w:szCs w:val="20"/>
          <w:color w:val="auto"/>
        </w:rPr>
      </w:pPr>
    </w:p>
    <w:p>
      <w:pPr>
        <w:ind w:firstLine="328"/>
        <w:spacing w:after="0" w:line="296" w:lineRule="auto"/>
        <w:rPr>
          <w:sz w:val="20"/>
          <w:szCs w:val="20"/>
          <w:color w:val="auto"/>
        </w:rPr>
      </w:pPr>
      <w:r>
        <w:rPr>
          <w:rFonts w:ascii="Arial" w:cs="Arial" w:eastAsia="Arial" w:hAnsi="Arial"/>
          <w:sz w:val="12"/>
          <w:szCs w:val="12"/>
          <w:color w:val="auto"/>
        </w:rPr>
        <w:t>In executing, or accepting the additional trusts created by, any supplemental indenture permitted by this Article IX or the modifications thereby of the trusts created by this Indenture, the Trustee shall be entitled to receive, and (subject to Section 7.1) shall be fully protected in relying upon, an Opinion of Counsel stating that the execution of such supplemental indenture is authorized or permitted by this Indenture. The Trustee may, but shall not be obligated to, enter into any supplemental indentures which affect the Trustee’s own rights, duties, immunities, or indemnities under this Indenture, the Securities or otherwise.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MISCELLANEOUS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 </w:t>
      </w:r>
      <w:r>
        <w:rPr>
          <w:rFonts w:ascii="Arial" w:cs="Arial" w:eastAsia="Arial" w:hAnsi="Arial"/>
          <w:sz w:val="13"/>
          <w:szCs w:val="13"/>
          <w:u w:val="single" w:color="auto"/>
          <w:color w:val="auto"/>
        </w:rPr>
        <w:t>Notices</w:t>
      </w:r>
      <w:r>
        <w:rPr>
          <w:rFonts w:ascii="Arial" w:cs="Arial" w:eastAsia="Arial" w:hAnsi="Arial"/>
          <w:sz w:val="13"/>
          <w:szCs w:val="13"/>
          <w:color w:val="auto"/>
        </w:rPr>
        <w:t>.</w:t>
      </w:r>
    </w:p>
    <w:p>
      <w:pPr>
        <w:spacing w:after="0" w:line="86" w:lineRule="exact"/>
        <w:rPr>
          <w:sz w:val="20"/>
          <w:szCs w:val="20"/>
          <w:color w:val="auto"/>
        </w:rPr>
      </w:pPr>
    </w:p>
    <w:p>
      <w:pPr>
        <w:ind w:right="160" w:firstLine="320"/>
        <w:spacing w:after="0" w:line="276" w:lineRule="auto"/>
        <w:rPr>
          <w:sz w:val="20"/>
          <w:szCs w:val="20"/>
          <w:color w:val="auto"/>
        </w:rPr>
      </w:pPr>
      <w:r>
        <w:rPr>
          <w:rFonts w:ascii="Arial" w:cs="Arial" w:eastAsia="Arial" w:hAnsi="Arial"/>
          <w:sz w:val="13"/>
          <w:szCs w:val="13"/>
          <w:color w:val="auto"/>
        </w:rPr>
        <w:t>Any request, direction, instruction, demand, document, notice or communication by the Company or the Trustee to the other, or by a Holder to the Company or the Trustee, shall be in English and in writing and delivered in person, mailed by first-class mail, delivered via facsimile or delivered by overnight courier as follows: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7" w:name="page88"/>
    <w:bookmarkEnd w:id="87"/>
    <w:p>
      <w:pPr>
        <w:spacing w:after="0"/>
        <w:rPr>
          <w:sz w:val="20"/>
          <w:szCs w:val="20"/>
          <w:color w:val="auto"/>
        </w:rPr>
      </w:pPr>
      <w:r>
        <w:rPr>
          <w:rFonts w:ascii="Arial" w:cs="Arial" w:eastAsia="Arial" w:hAnsi="Arial"/>
          <w:sz w:val="13"/>
          <w:szCs w:val="13"/>
          <w:color w:val="auto"/>
        </w:rPr>
        <w:t>if to the Company:</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Schlumberger Limited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5599 San Felipe Street, 17th Floor</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 77056</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Fax: (713) 513-2006</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Vice President Treasurer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with a copy to:</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Gibson, Dunn &amp; Crutcher LLP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 Park Avenue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New York 10166</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Fax: (212) 351-4035</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Andrew L. Fabens</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if to the Trustee:</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[__________]</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[__________]</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[__________]</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[__________]</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with a copy to:</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[__________]</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[__________]</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[__________]</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[__________]</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Notices shall be effective upon the recipient’s actual receipt thereof. Any party by notice to the other parties may designate additional or different addresses for subsequent notices or communications.</w:t>
      </w:r>
    </w:p>
    <w:p>
      <w:pPr>
        <w:spacing w:after="0" w:line="98" w:lineRule="exact"/>
        <w:rPr>
          <w:sz w:val="20"/>
          <w:szCs w:val="20"/>
          <w:color w:val="auto"/>
        </w:rPr>
      </w:pPr>
    </w:p>
    <w:p>
      <w:pPr>
        <w:jc w:val="both"/>
        <w:ind w:firstLine="320"/>
        <w:spacing w:after="0" w:line="264" w:lineRule="auto"/>
        <w:rPr>
          <w:sz w:val="20"/>
          <w:szCs w:val="20"/>
          <w:color w:val="auto"/>
        </w:rPr>
      </w:pPr>
      <w:r>
        <w:rPr>
          <w:rFonts w:ascii="Arial" w:cs="Arial" w:eastAsia="Arial" w:hAnsi="Arial"/>
          <w:sz w:val="13"/>
          <w:szCs w:val="13"/>
          <w:color w:val="auto"/>
        </w:rPr>
        <w:t>Any notice or communication to (i) a Securityholder of a Certificated Security shall be mailed by first-class mail to his address shown on the register kept by the Registrar (ii) a Securityholder of a Global Security shall be delivered to the Depositary in accordance with its applicable procedures. Failure to mail a notice or communication to a Securityholder of any Series or any defect in it shall not affect its sufficiency with respect to other Securityholders of that or any other Series.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If a notice or communication to any Securityholder is mailed or published in the manner provided above, within the time prescribed, it is duly given, whether or not the Securityholder receives it.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88" w:name="page89"/>
    <w:bookmarkEnd w:id="88"/>
    <w:p>
      <w:pPr>
        <w:ind w:left="320"/>
        <w:spacing w:after="0"/>
        <w:rPr>
          <w:sz w:val="20"/>
          <w:szCs w:val="20"/>
          <w:color w:val="auto"/>
        </w:rPr>
      </w:pPr>
      <w:r>
        <w:rPr>
          <w:rFonts w:ascii="Arial" w:cs="Arial" w:eastAsia="Arial" w:hAnsi="Arial"/>
          <w:sz w:val="13"/>
          <w:szCs w:val="13"/>
          <w:color w:val="auto"/>
        </w:rPr>
        <w:t>If the Company mails a notice or communication to Securityholders, it shall mail a copy to the Trustee and each Agent at the same time.</w:t>
      </w:r>
    </w:p>
    <w:p>
      <w:pPr>
        <w:spacing w:after="0" w:line="86" w:lineRule="exact"/>
        <w:rPr>
          <w:sz w:val="20"/>
          <w:szCs w:val="20"/>
          <w:color w:val="auto"/>
        </w:rPr>
      </w:pPr>
    </w:p>
    <w:p>
      <w:pPr>
        <w:ind w:right="20" w:firstLine="325"/>
        <w:spacing w:after="0" w:line="316" w:lineRule="auto"/>
        <w:rPr>
          <w:sz w:val="20"/>
          <w:szCs w:val="20"/>
          <w:color w:val="auto"/>
        </w:rPr>
      </w:pPr>
      <w:r>
        <w:rPr>
          <w:rFonts w:ascii="Arial" w:cs="Arial" w:eastAsia="Arial" w:hAnsi="Arial"/>
          <w:sz w:val="11"/>
          <w:szCs w:val="11"/>
          <w:color w:val="auto"/>
        </w:rPr>
        <w:t>With respect to this Indenture, the Trustee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Trustee shall not have any liability for any losses, liabilities, costs or expenses incurred or sustained by any party as a result of such reliance upon or compliance with such instructions, directions, reports, notices or other communications or information. Each other party agrees to assume all risks arising out of the use of electronic methods to submit instructions, directions, reports, notices or other communications or information to the Trustee, including the risk of the Trustee acting on unauthorized instructions, notices, reports or other communications or information, and the risk of interception and misuse by third parties.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10.2. </w:t>
      </w:r>
      <w:r>
        <w:rPr>
          <w:rFonts w:ascii="Arial" w:cs="Arial" w:eastAsia="Arial" w:hAnsi="Arial"/>
          <w:sz w:val="13"/>
          <w:szCs w:val="13"/>
          <w:u w:val="single" w:color="auto"/>
          <w:color w:val="auto"/>
        </w:rPr>
        <w:t>Communication by Holders with Other Holders</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1"/>
          <w:szCs w:val="11"/>
          <w:color w:val="auto"/>
        </w:rPr>
        <w:t>Securityholders of a Series may communicate pursuant to TIA § 312(b), as if such section applied hereto, with other Securityholders of such Series with respect to their rights under this Indenture or the Securities.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10.3. </w:t>
      </w:r>
      <w:r>
        <w:rPr>
          <w:rFonts w:ascii="Arial" w:cs="Arial" w:eastAsia="Arial" w:hAnsi="Arial"/>
          <w:sz w:val="13"/>
          <w:szCs w:val="13"/>
          <w:u w:val="single" w:color="auto"/>
          <w:color w:val="auto"/>
        </w:rPr>
        <w:t>Certificate and Opinion as to Conditions Precedent</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Upon any request or application by the Company to the Trustee to take any action under this Indenture, the Company shall furnish to the Trustee:</w:t>
      </w:r>
    </w:p>
    <w:p>
      <w:pPr>
        <w:spacing w:after="0" w:line="86" w:lineRule="exact"/>
        <w:rPr>
          <w:sz w:val="20"/>
          <w:szCs w:val="20"/>
          <w:color w:val="auto"/>
        </w:rPr>
      </w:pPr>
    </w:p>
    <w:p>
      <w:pPr>
        <w:ind w:left="1600" w:hanging="461"/>
        <w:spacing w:after="0"/>
        <w:tabs>
          <w:tab w:leader="none" w:pos="1600" w:val="left"/>
        </w:tabs>
        <w:numPr>
          <w:ilvl w:val="0"/>
          <w:numId w:val="68"/>
        </w:numPr>
        <w:rPr>
          <w:rFonts w:ascii="Arial" w:cs="Arial" w:eastAsia="Arial" w:hAnsi="Arial"/>
          <w:sz w:val="12"/>
          <w:szCs w:val="12"/>
          <w:color w:val="auto"/>
        </w:rPr>
      </w:pPr>
      <w:r>
        <w:rPr>
          <w:rFonts w:ascii="Arial" w:cs="Arial" w:eastAsia="Arial" w:hAnsi="Arial"/>
          <w:sz w:val="12"/>
          <w:szCs w:val="12"/>
          <w:color w:val="auto"/>
        </w:rPr>
        <w:t>an Officer’s Certificate stating that, in the opinion of the signer, all conditions precedent, if any, provided for in this Indenture relating to the proposed action have been complied with; and</w:t>
      </w:r>
    </w:p>
    <w:p>
      <w:pPr>
        <w:spacing w:after="0" w:line="107" w:lineRule="exact"/>
        <w:rPr>
          <w:rFonts w:ascii="Arial" w:cs="Arial" w:eastAsia="Arial" w:hAnsi="Arial"/>
          <w:sz w:val="12"/>
          <w:szCs w:val="12"/>
          <w:color w:val="auto"/>
        </w:rPr>
      </w:pPr>
    </w:p>
    <w:p>
      <w:pPr>
        <w:ind w:left="1600" w:hanging="461"/>
        <w:spacing w:after="0"/>
        <w:tabs>
          <w:tab w:leader="none" w:pos="16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an Opinion of Counsel stating that, in the opinion of such counsel, all such conditions precedent have been complied with.</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10.4. </w:t>
      </w:r>
      <w:r>
        <w:rPr>
          <w:rFonts w:ascii="Arial" w:cs="Arial" w:eastAsia="Arial" w:hAnsi="Arial"/>
          <w:sz w:val="13"/>
          <w:szCs w:val="13"/>
          <w:u w:val="single" w:color="auto"/>
          <w:color w:val="auto"/>
        </w:rPr>
        <w:t>Statements Required in Certificate or Opinion</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Each certificate or opinion with respect to compliance with a condition or covenant provided for in this Indenture shall include:</w:t>
      </w:r>
    </w:p>
    <w:p>
      <w:pPr>
        <w:spacing w:after="0" w:line="86" w:lineRule="exact"/>
        <w:rPr>
          <w:sz w:val="20"/>
          <w:szCs w:val="20"/>
          <w:color w:val="auto"/>
        </w:rPr>
      </w:pPr>
    </w:p>
    <w:p>
      <w:pPr>
        <w:ind w:left="1600" w:hanging="461"/>
        <w:spacing w:after="0"/>
        <w:tabs>
          <w:tab w:leader="none" w:pos="16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 statement that the Person making such certificate or opinion has read such covenant or condition;</w:t>
      </w:r>
    </w:p>
    <w:p>
      <w:pPr>
        <w:spacing w:after="0" w:line="96" w:lineRule="exact"/>
        <w:rPr>
          <w:rFonts w:ascii="Arial" w:cs="Arial" w:eastAsia="Arial" w:hAnsi="Arial"/>
          <w:sz w:val="13"/>
          <w:szCs w:val="13"/>
          <w:color w:val="auto"/>
        </w:rPr>
      </w:pPr>
    </w:p>
    <w:p>
      <w:pPr>
        <w:ind w:left="1600" w:hanging="461"/>
        <w:spacing w:after="0"/>
        <w:tabs>
          <w:tab w:leader="none" w:pos="16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 brief statement as to the nature and scope of the examination or investigation upon which the statements or opinions contained in such certificate or opinion are based;</w:t>
      </w:r>
    </w:p>
    <w:p>
      <w:pPr>
        <w:spacing w:after="0" w:line="96" w:lineRule="exact"/>
        <w:rPr>
          <w:rFonts w:ascii="Arial" w:cs="Arial" w:eastAsia="Arial" w:hAnsi="Arial"/>
          <w:sz w:val="13"/>
          <w:szCs w:val="13"/>
          <w:color w:val="auto"/>
        </w:rPr>
      </w:pPr>
    </w:p>
    <w:p>
      <w:pPr>
        <w:ind w:left="1600" w:hanging="461"/>
        <w:spacing w:after="0"/>
        <w:tabs>
          <w:tab w:leader="none" w:pos="16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 statement that, in the opinion of such Person, he has made such examination or investigation as is necessary to enable him to</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9" w:name="page90"/>
    <w:bookmarkEnd w:id="89"/>
    <w:p>
      <w:pPr>
        <w:ind w:left="1600"/>
        <w:spacing w:after="0"/>
        <w:rPr>
          <w:sz w:val="20"/>
          <w:szCs w:val="20"/>
          <w:color w:val="auto"/>
        </w:rPr>
      </w:pPr>
      <w:r>
        <w:rPr>
          <w:rFonts w:ascii="Arial" w:cs="Arial" w:eastAsia="Arial" w:hAnsi="Arial"/>
          <w:sz w:val="13"/>
          <w:szCs w:val="13"/>
          <w:color w:val="auto"/>
        </w:rPr>
        <w:t>express an informed opinion as to whether or not such covenant or condition has been complied with; and</w:t>
      </w:r>
    </w:p>
    <w:p>
      <w:pPr>
        <w:spacing w:after="0" w:line="96" w:lineRule="exact"/>
        <w:rPr>
          <w:sz w:val="20"/>
          <w:szCs w:val="20"/>
          <w:color w:val="auto"/>
        </w:rPr>
      </w:pPr>
    </w:p>
    <w:p>
      <w:pPr>
        <w:ind w:left="160" w:right="3760" w:firstLine="979"/>
        <w:spacing w:after="0" w:line="378" w:lineRule="auto"/>
        <w:tabs>
          <w:tab w:leader="none" w:pos="1589" w:val="left"/>
        </w:tabs>
        <w:numPr>
          <w:ilvl w:val="0"/>
          <w:numId w:val="70"/>
        </w:numPr>
        <w:rPr>
          <w:rFonts w:ascii="Arial" w:cs="Arial" w:eastAsia="Arial" w:hAnsi="Arial"/>
          <w:sz w:val="13"/>
          <w:szCs w:val="13"/>
          <w:color w:val="auto"/>
        </w:rPr>
      </w:pPr>
      <w:r>
        <w:rPr>
          <w:rFonts w:ascii="Arial" w:cs="Arial" w:eastAsia="Arial" w:hAnsi="Arial"/>
          <w:sz w:val="13"/>
          <w:szCs w:val="13"/>
          <w:color w:val="auto"/>
        </w:rPr>
        <w:t xml:space="preserve">a statement as to whether or not, in the opinion of such Person, such condition or covenant has been complied with. Section 10.5. </w:t>
      </w:r>
      <w:r>
        <w:rPr>
          <w:rFonts w:ascii="Arial" w:cs="Arial" w:eastAsia="Arial" w:hAnsi="Arial"/>
          <w:sz w:val="13"/>
          <w:szCs w:val="13"/>
          <w:u w:val="single" w:color="auto"/>
          <w:color w:val="auto"/>
        </w:rPr>
        <w:t>Rules by Trustee and Agents</w:t>
      </w:r>
      <w:r>
        <w:rPr>
          <w:rFonts w:ascii="Arial" w:cs="Arial" w:eastAsia="Arial" w:hAnsi="Arial"/>
          <w:sz w:val="13"/>
          <w:szCs w:val="13"/>
          <w:color w:val="auto"/>
        </w:rPr>
        <w:t>.</w:t>
      </w:r>
    </w:p>
    <w:p>
      <w:pPr>
        <w:ind w:left="160" w:right="740" w:firstLine="161"/>
        <w:spacing w:after="0" w:line="378" w:lineRule="auto"/>
        <w:rPr>
          <w:rFonts w:ascii="Arial" w:cs="Arial" w:eastAsia="Arial" w:hAnsi="Arial"/>
          <w:sz w:val="13"/>
          <w:szCs w:val="13"/>
          <w:color w:val="auto"/>
        </w:rPr>
      </w:pPr>
      <w:r>
        <w:rPr>
          <w:rFonts w:ascii="Arial" w:cs="Arial" w:eastAsia="Arial" w:hAnsi="Arial"/>
          <w:sz w:val="13"/>
          <w:szCs w:val="13"/>
          <w:color w:val="auto"/>
        </w:rPr>
        <w:t xml:space="preserve">The Trustee may make reasonable rules for action by or a meeting of Securityholders of one or more Series. Any Agent may make reasonable rules and set reasonable requirements for its functions. Section 10.6. </w:t>
      </w:r>
      <w:r>
        <w:rPr>
          <w:rFonts w:ascii="Arial" w:cs="Arial" w:eastAsia="Arial" w:hAnsi="Arial"/>
          <w:sz w:val="13"/>
          <w:szCs w:val="13"/>
          <w:u w:val="single" w:color="auto"/>
          <w:color w:val="auto"/>
        </w:rPr>
        <w:t>Legal Holidays</w:t>
      </w:r>
      <w:r>
        <w:rPr>
          <w:rFonts w:ascii="Arial" w:cs="Arial" w:eastAsia="Arial" w:hAnsi="Arial"/>
          <w:sz w:val="13"/>
          <w:szCs w:val="13"/>
          <w:color w:val="auto"/>
        </w:rPr>
        <w:t>.</w:t>
      </w:r>
    </w:p>
    <w:p>
      <w:pPr>
        <w:spacing w:after="0" w:line="1" w:lineRule="exact"/>
        <w:rPr>
          <w:sz w:val="20"/>
          <w:szCs w:val="20"/>
          <w:color w:val="auto"/>
        </w:rPr>
      </w:pPr>
    </w:p>
    <w:p>
      <w:pPr>
        <w:ind w:right="380" w:firstLine="328"/>
        <w:spacing w:after="0" w:line="320" w:lineRule="auto"/>
        <w:rPr>
          <w:sz w:val="20"/>
          <w:szCs w:val="20"/>
          <w:color w:val="auto"/>
        </w:rPr>
      </w:pPr>
      <w:r>
        <w:rPr>
          <w:rFonts w:ascii="Arial" w:cs="Arial" w:eastAsia="Arial" w:hAnsi="Arial"/>
          <w:sz w:val="12"/>
          <w:szCs w:val="12"/>
          <w:color w:val="auto"/>
        </w:rPr>
        <w:t>Unless otherwise provided by Board Resolution, Officer’s Certificate or supplemental indenture for a particular Series, a “</w:t>
      </w:r>
      <w:r>
        <w:rPr>
          <w:rFonts w:ascii="Arial" w:cs="Arial" w:eastAsia="Arial" w:hAnsi="Arial"/>
          <w:sz w:val="12"/>
          <w:szCs w:val="12"/>
          <w:i w:val="1"/>
          <w:iCs w:val="1"/>
          <w:color w:val="auto"/>
        </w:rPr>
        <w:t>Legal Holiday</w:t>
      </w:r>
      <w:r>
        <w:rPr>
          <w:rFonts w:ascii="Arial" w:cs="Arial" w:eastAsia="Arial" w:hAnsi="Arial"/>
          <w:sz w:val="12"/>
          <w:szCs w:val="12"/>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10.7. </w:t>
      </w:r>
      <w:r>
        <w:rPr>
          <w:rFonts w:ascii="Arial" w:cs="Arial" w:eastAsia="Arial" w:hAnsi="Arial"/>
          <w:sz w:val="13"/>
          <w:szCs w:val="13"/>
          <w:u w:val="single" w:color="auto"/>
          <w:color w:val="auto"/>
        </w:rPr>
        <w:t>No Personal Liability of Directors, Officers, Employees and Certain Others</w:t>
      </w:r>
      <w:r>
        <w:rPr>
          <w:rFonts w:ascii="Arial" w:cs="Arial" w:eastAsia="Arial" w:hAnsi="Arial"/>
          <w:sz w:val="13"/>
          <w:szCs w:val="13"/>
          <w:color w:val="auto"/>
        </w:rPr>
        <w:t>.</w:t>
      </w:r>
    </w:p>
    <w:p>
      <w:pPr>
        <w:spacing w:after="0" w:line="86" w:lineRule="exact"/>
        <w:rPr>
          <w:sz w:val="20"/>
          <w:szCs w:val="20"/>
          <w:color w:val="auto"/>
        </w:rPr>
      </w:pPr>
    </w:p>
    <w:p>
      <w:pPr>
        <w:ind w:right="140" w:firstLine="328"/>
        <w:spacing w:after="0" w:line="264" w:lineRule="auto"/>
        <w:rPr>
          <w:sz w:val="20"/>
          <w:szCs w:val="20"/>
          <w:color w:val="auto"/>
        </w:rPr>
      </w:pPr>
      <w:r>
        <w:rPr>
          <w:rFonts w:ascii="Arial" w:cs="Arial" w:eastAsia="Arial" w:hAnsi="Arial"/>
          <w:sz w:val="13"/>
          <w:szCs w:val="13"/>
          <w:color w:val="auto"/>
        </w:rPr>
        <w:t>No director, officer, employee, incorporator or similar founder, stockholder or member of the Company will have any liability for or any obligations of the Company under this Indenture or the Securities or for any claim based on, with respect to or by reason of, such obligations or their creation. Each Holder of Securities by accepting a Security waives and releases all such liability. The waiver and release are part of the consideration for issuance of the Securities. The waiver may not be effective to waive liabilities under the federal securities laws.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10.8. </w:t>
      </w:r>
      <w:r>
        <w:rPr>
          <w:rFonts w:ascii="Arial" w:cs="Arial" w:eastAsia="Arial" w:hAnsi="Arial"/>
          <w:sz w:val="13"/>
          <w:szCs w:val="13"/>
          <w:u w:val="single" w:color="auto"/>
          <w:color w:val="auto"/>
        </w:rPr>
        <w:t>Counterparts</w:t>
      </w:r>
      <w:r>
        <w:rPr>
          <w:rFonts w:ascii="Arial" w:cs="Arial" w:eastAsia="Arial" w:hAnsi="Arial"/>
          <w:sz w:val="13"/>
          <w:szCs w:val="13"/>
          <w:color w:val="auto"/>
        </w:rPr>
        <w:t>.</w:t>
      </w:r>
    </w:p>
    <w:p>
      <w:pPr>
        <w:spacing w:after="0" w:line="86" w:lineRule="exact"/>
        <w:rPr>
          <w:sz w:val="20"/>
          <w:szCs w:val="20"/>
          <w:color w:val="auto"/>
        </w:rPr>
      </w:pPr>
    </w:p>
    <w:p>
      <w:pPr>
        <w:ind w:firstLine="325"/>
        <w:spacing w:after="0" w:line="276" w:lineRule="auto"/>
        <w:rPr>
          <w:sz w:val="20"/>
          <w:szCs w:val="20"/>
          <w:color w:val="auto"/>
        </w:rPr>
      </w:pPr>
      <w:r>
        <w:rPr>
          <w:rFonts w:ascii="Arial" w:cs="Arial" w:eastAsia="Arial" w:hAnsi="Arial"/>
          <w:sz w:val="13"/>
          <w:szCs w:val="13"/>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10.9. </w:t>
      </w:r>
      <w:r>
        <w:rPr>
          <w:rFonts w:ascii="Arial" w:cs="Arial" w:eastAsia="Arial" w:hAnsi="Arial"/>
          <w:sz w:val="13"/>
          <w:szCs w:val="13"/>
          <w:u w:val="single" w:color="auto"/>
          <w:color w:val="auto"/>
        </w:rPr>
        <w:t>Governing Laws</w:t>
      </w:r>
      <w:r>
        <w:rPr>
          <w:rFonts w:ascii="Arial" w:cs="Arial" w:eastAsia="Arial" w:hAnsi="Arial"/>
          <w:sz w:val="13"/>
          <w:szCs w:val="13"/>
          <w:color w:val="auto"/>
        </w:rPr>
        <w:t>.</w:t>
      </w:r>
    </w:p>
    <w:p>
      <w:pPr>
        <w:spacing w:after="0" w:line="82" w:lineRule="exact"/>
        <w:rPr>
          <w:sz w:val="20"/>
          <w:szCs w:val="20"/>
          <w:color w:val="auto"/>
        </w:rPr>
      </w:pPr>
    </w:p>
    <w:p>
      <w:pPr>
        <w:ind w:right="40" w:firstLine="327"/>
        <w:spacing w:after="0" w:line="267" w:lineRule="auto"/>
        <w:rPr>
          <w:sz w:val="20"/>
          <w:szCs w:val="20"/>
          <w:color w:val="auto"/>
        </w:rPr>
      </w:pPr>
      <w:r>
        <w:rPr>
          <w:rFonts w:ascii="Arial" w:cs="Arial" w:eastAsia="Arial" w:hAnsi="Arial"/>
          <w:sz w:val="13"/>
          <w:szCs w:val="13"/>
          <w:b w:val="1"/>
          <w:bCs w:val="1"/>
          <w:color w:val="auto"/>
        </w:rPr>
        <w:t>THIS INDENTURE AND THE SECURITIES, INCLUDING ANY CLAIM OR CONTROVERSY ARISING OUT OF OR RELATING TO THIS INDENTURE OR THE SECURITIES, SHALL BE GOVERNED BY THE LAWS OF THE STATE OF NEW YORK WITHOUT REGARD TO CONFLICT OF LAW PRINCIPLES THAT WOULD RESULT IN THE APPLICATION OF ANY LAW OTHER THAN THE LAW OF THE STATE OF NEW YORK.</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90" w:name="page91"/>
    <w:bookmarkEnd w:id="90"/>
    <w:p>
      <w:pPr>
        <w:ind w:left="160"/>
        <w:spacing w:after="0"/>
        <w:rPr>
          <w:sz w:val="20"/>
          <w:szCs w:val="20"/>
          <w:color w:val="auto"/>
        </w:rPr>
      </w:pPr>
      <w:r>
        <w:rPr>
          <w:rFonts w:ascii="Arial" w:cs="Arial" w:eastAsia="Arial" w:hAnsi="Arial"/>
          <w:sz w:val="13"/>
          <w:szCs w:val="13"/>
          <w:color w:val="auto"/>
        </w:rPr>
        <w:t xml:space="preserve">Section 10.10. </w:t>
      </w:r>
      <w:r>
        <w:rPr>
          <w:rFonts w:ascii="Arial" w:cs="Arial" w:eastAsia="Arial" w:hAnsi="Arial"/>
          <w:sz w:val="13"/>
          <w:szCs w:val="13"/>
          <w:u w:val="single" w:color="auto"/>
          <w:color w:val="auto"/>
        </w:rPr>
        <w:t>No Adverse Interpretation of Other Agreements</w:t>
      </w:r>
      <w:r>
        <w:rPr>
          <w:rFonts w:ascii="Arial" w:cs="Arial" w:eastAsia="Arial" w:hAnsi="Arial"/>
          <w:sz w:val="13"/>
          <w:szCs w:val="13"/>
          <w:color w:val="auto"/>
        </w:rPr>
        <w:t>.</w:t>
      </w:r>
    </w:p>
    <w:p>
      <w:pPr>
        <w:spacing w:after="0" w:line="86" w:lineRule="exact"/>
        <w:rPr>
          <w:sz w:val="20"/>
          <w:szCs w:val="20"/>
          <w:color w:val="auto"/>
        </w:rPr>
      </w:pPr>
    </w:p>
    <w:p>
      <w:pPr>
        <w:ind w:right="80" w:firstLine="325"/>
        <w:spacing w:after="0" w:line="276" w:lineRule="auto"/>
        <w:rPr>
          <w:sz w:val="20"/>
          <w:szCs w:val="20"/>
          <w:color w:val="auto"/>
        </w:rPr>
      </w:pPr>
      <w:r>
        <w:rPr>
          <w:rFonts w:ascii="Arial" w:cs="Arial" w:eastAsia="Arial" w:hAnsi="Arial"/>
          <w:sz w:val="13"/>
          <w:szCs w:val="13"/>
          <w:color w:val="auto"/>
        </w:rPr>
        <w:t>This Indenture may not be used to interpret another indenture, loan or debt agreement of the Company or any Subsidiary of the Company. Any such indenture, loan or debt agreement may not be used to interpret this Indenture.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10.11. </w:t>
      </w:r>
      <w:r>
        <w:rPr>
          <w:rFonts w:ascii="Arial" w:cs="Arial" w:eastAsia="Arial" w:hAnsi="Arial"/>
          <w:sz w:val="13"/>
          <w:szCs w:val="13"/>
          <w:u w:val="single" w:color="auto"/>
          <w:color w:val="auto"/>
        </w:rPr>
        <w:t>Successors</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All agreements of the Company in this Indenture and the Securities shall bind its respective successors. All agreements of the Trustee in this Indenture shall bind its successor.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10.12. </w:t>
      </w:r>
      <w:r>
        <w:rPr>
          <w:rFonts w:ascii="Arial" w:cs="Arial" w:eastAsia="Arial" w:hAnsi="Arial"/>
          <w:sz w:val="13"/>
          <w:szCs w:val="13"/>
          <w:u w:val="single" w:color="auto"/>
          <w:color w:val="auto"/>
        </w:rPr>
        <w:t>Severability</w:t>
      </w:r>
      <w:r>
        <w:rPr>
          <w:rFonts w:ascii="Arial" w:cs="Arial" w:eastAsia="Arial" w:hAnsi="Arial"/>
          <w:sz w:val="13"/>
          <w:szCs w:val="13"/>
          <w:color w:val="auto"/>
        </w:rPr>
        <w:t>.</w:t>
      </w:r>
    </w:p>
    <w:p>
      <w:pPr>
        <w:spacing w:after="0" w:line="86" w:lineRule="exact"/>
        <w:rPr>
          <w:sz w:val="20"/>
          <w:szCs w:val="20"/>
          <w:color w:val="auto"/>
        </w:rPr>
      </w:pPr>
    </w:p>
    <w:p>
      <w:pPr>
        <w:ind w:right="60" w:firstLine="328"/>
        <w:spacing w:after="0" w:line="276" w:lineRule="auto"/>
        <w:rPr>
          <w:sz w:val="20"/>
          <w:szCs w:val="20"/>
          <w:color w:val="auto"/>
        </w:rPr>
      </w:pPr>
      <w:r>
        <w:rPr>
          <w:rFonts w:ascii="Arial" w:cs="Arial" w:eastAsia="Arial" w:hAnsi="Arial"/>
          <w:sz w:val="13"/>
          <w:szCs w:val="13"/>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10.13. </w:t>
      </w:r>
      <w:r>
        <w:rPr>
          <w:rFonts w:ascii="Arial" w:cs="Arial" w:eastAsia="Arial" w:hAnsi="Arial"/>
          <w:sz w:val="13"/>
          <w:szCs w:val="13"/>
          <w:u w:val="single" w:color="auto"/>
          <w:color w:val="auto"/>
        </w:rPr>
        <w:t>Table of Contents, Headings, Etc.</w:t>
      </w:r>
    </w:p>
    <w:p>
      <w:pPr>
        <w:spacing w:after="0" w:line="86" w:lineRule="exact"/>
        <w:rPr>
          <w:sz w:val="20"/>
          <w:szCs w:val="20"/>
          <w:color w:val="auto"/>
        </w:rPr>
      </w:pPr>
    </w:p>
    <w:p>
      <w:pPr>
        <w:ind w:right="100" w:firstLine="325"/>
        <w:spacing w:after="0" w:line="276" w:lineRule="auto"/>
        <w:rPr>
          <w:sz w:val="20"/>
          <w:szCs w:val="20"/>
          <w:color w:val="auto"/>
        </w:rPr>
      </w:pPr>
      <w:r>
        <w:rPr>
          <w:rFonts w:ascii="Arial" w:cs="Arial" w:eastAsia="Arial" w:hAnsi="Arial"/>
          <w:sz w:val="13"/>
          <w:szCs w:val="13"/>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10.14. </w:t>
      </w:r>
      <w:r>
        <w:rPr>
          <w:rFonts w:ascii="Arial" w:cs="Arial" w:eastAsia="Arial" w:hAnsi="Arial"/>
          <w:sz w:val="13"/>
          <w:szCs w:val="13"/>
          <w:u w:val="single" w:color="auto"/>
          <w:color w:val="auto"/>
        </w:rPr>
        <w:t>Judgment Currency</w:t>
      </w:r>
      <w:r>
        <w:rPr>
          <w:rFonts w:ascii="Arial" w:cs="Arial" w:eastAsia="Arial" w:hAnsi="Arial"/>
          <w:sz w:val="13"/>
          <w:szCs w:val="13"/>
          <w:color w:val="auto"/>
        </w:rPr>
        <w:t>.</w:t>
      </w:r>
    </w:p>
    <w:p>
      <w:pPr>
        <w:spacing w:after="0" w:line="86" w:lineRule="exact"/>
        <w:rPr>
          <w:sz w:val="20"/>
          <w:szCs w:val="20"/>
          <w:color w:val="auto"/>
        </w:rPr>
      </w:pPr>
    </w:p>
    <w:p>
      <w:pPr>
        <w:ind w:firstLine="325"/>
        <w:spacing w:after="0" w:line="255" w:lineRule="auto"/>
        <w:rPr>
          <w:sz w:val="20"/>
          <w:szCs w:val="20"/>
          <w:color w:val="auto"/>
        </w:rPr>
      </w:pPr>
      <w:r>
        <w:rPr>
          <w:rFonts w:ascii="Arial" w:cs="Arial" w:eastAsia="Arial" w:hAnsi="Arial"/>
          <w:sz w:val="13"/>
          <w:szCs w:val="13"/>
          <w:color w:val="auto"/>
        </w:rPr>
        <w:t>The Company agrees, to the fullest extent that it may effectively do so under applicable law, that (a) if for the purpose of obtaining judgment in any court it is necessary to convert the sum due with respect to the principal of or interest or other amount on the Securities of any Series (the “</w:t>
      </w:r>
      <w:r>
        <w:rPr>
          <w:rFonts w:ascii="Arial" w:cs="Arial" w:eastAsia="Arial" w:hAnsi="Arial"/>
          <w:sz w:val="13"/>
          <w:szCs w:val="13"/>
          <w:i w:val="1"/>
          <w:iCs w:val="1"/>
          <w:color w:val="auto"/>
        </w:rPr>
        <w:t>Required Currency</w:t>
      </w:r>
      <w:r>
        <w:rPr>
          <w:rFonts w:ascii="Arial" w:cs="Arial" w:eastAsia="Arial" w:hAnsi="Arial"/>
          <w:sz w:val="13"/>
          <w:szCs w:val="13"/>
          <w:color w:val="auto"/>
        </w:rPr>
        <w:t>”) into a currency in which a judgment will be rendered (the “</w:t>
      </w:r>
      <w:r>
        <w:rPr>
          <w:rFonts w:ascii="Arial" w:cs="Arial" w:eastAsia="Arial" w:hAnsi="Arial"/>
          <w:sz w:val="13"/>
          <w:szCs w:val="13"/>
          <w:i w:val="1"/>
          <w:iCs w:val="1"/>
          <w:color w:val="auto"/>
        </w:rPr>
        <w:t>Judgment Currency</w:t>
      </w:r>
      <w:r>
        <w:rPr>
          <w:rFonts w:ascii="Arial" w:cs="Arial" w:eastAsia="Arial" w:hAnsi="Arial"/>
          <w:sz w:val="13"/>
          <w:szCs w:val="13"/>
          <w:color w:val="auto"/>
        </w:rPr>
        <w:t>”), the rate of exchange used shall be the rate at which in accordance with normal banking procedures the recipient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recipient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with respect to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3"/>
          <w:szCs w:val="13"/>
          <w:i w:val="1"/>
          <w:iCs w:val="1"/>
          <w:color w:val="auto"/>
        </w:rPr>
        <w:t>New York Banking Day</w:t>
      </w:r>
      <w:r>
        <w:rPr>
          <w:rFonts w:ascii="Arial" w:cs="Arial" w:eastAsia="Arial" w:hAnsi="Arial"/>
          <w:sz w:val="13"/>
          <w:szCs w:val="13"/>
          <w:color w:val="auto"/>
        </w:rPr>
        <w:t>” means any day except a Saturday, Sunday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1" w:name="page92"/>
    <w:bookmarkEnd w:id="91"/>
    <w:p>
      <w:pPr>
        <w:spacing w:after="0"/>
        <w:rPr>
          <w:sz w:val="20"/>
          <w:szCs w:val="20"/>
          <w:color w:val="auto"/>
        </w:rPr>
      </w:pPr>
      <w:r>
        <w:rPr>
          <w:rFonts w:ascii="Arial" w:cs="Arial" w:eastAsia="Arial" w:hAnsi="Arial"/>
          <w:sz w:val="13"/>
          <w:szCs w:val="13"/>
          <w:color w:val="auto"/>
        </w:rPr>
        <w:t>or a Legal Holiday in The City of New York on which banking institutions are authorized or required by law, regulation or executive order to close.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10.15. </w:t>
      </w:r>
      <w:r>
        <w:rPr>
          <w:rFonts w:ascii="Arial" w:cs="Arial" w:eastAsia="Arial" w:hAnsi="Arial"/>
          <w:sz w:val="13"/>
          <w:szCs w:val="13"/>
          <w:u w:val="single" w:color="auto"/>
          <w:color w:val="auto"/>
        </w:rPr>
        <w:t>English Language</w:t>
      </w:r>
      <w:r>
        <w:rPr>
          <w:rFonts w:ascii="Arial" w:cs="Arial" w:eastAsia="Arial" w:hAnsi="Arial"/>
          <w:sz w:val="13"/>
          <w:szCs w:val="13"/>
          <w:color w:val="auto"/>
        </w:rPr>
        <w:t>.</w:t>
      </w:r>
    </w:p>
    <w:p>
      <w:pPr>
        <w:spacing w:after="0" w:line="86" w:lineRule="exact"/>
        <w:rPr>
          <w:sz w:val="20"/>
          <w:szCs w:val="20"/>
          <w:color w:val="auto"/>
        </w:rPr>
      </w:pPr>
    </w:p>
    <w:p>
      <w:pPr>
        <w:ind w:right="20" w:firstLine="325"/>
        <w:spacing w:after="0" w:line="264" w:lineRule="auto"/>
        <w:rPr>
          <w:sz w:val="20"/>
          <w:szCs w:val="20"/>
          <w:color w:val="auto"/>
        </w:rPr>
      </w:pPr>
      <w:r>
        <w:rPr>
          <w:rFonts w:ascii="Arial" w:cs="Arial" w:eastAsia="Arial" w:hAnsi="Arial"/>
          <w:sz w:val="13"/>
          <w:szCs w:val="13"/>
          <w:color w:val="auto"/>
        </w:rPr>
        <w:t>This Indenture has been negotiated and executed in the English language. All certificates, reports, notices and other documents and communications delivered or delivered pursuant to this Indenture (including any modifications or supplements hereto), shall be in the English language, or accompanied by a certified English translation thereof. In the case of any document originally issued in a language other than English, the English language version of any such document shall for purposes of this Indenture, and absent manifest error, control the meaning of the matters set out therein.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10.16. </w:t>
      </w:r>
      <w:r>
        <w:rPr>
          <w:rFonts w:ascii="Arial" w:cs="Arial" w:eastAsia="Arial" w:hAnsi="Arial"/>
          <w:sz w:val="13"/>
          <w:szCs w:val="13"/>
          <w:u w:val="single" w:color="auto"/>
          <w:color w:val="auto"/>
        </w:rPr>
        <w:t>Submission to Jurisdiction; Appointment of Agent</w:t>
      </w:r>
      <w:r>
        <w:rPr>
          <w:rFonts w:ascii="Arial" w:cs="Arial" w:eastAsia="Arial" w:hAnsi="Arial"/>
          <w:sz w:val="13"/>
          <w:szCs w:val="13"/>
          <w:color w:val="auto"/>
        </w:rPr>
        <w:t>.</w:t>
      </w:r>
    </w:p>
    <w:p>
      <w:pPr>
        <w:spacing w:after="0" w:line="86" w:lineRule="exact"/>
        <w:rPr>
          <w:sz w:val="20"/>
          <w:szCs w:val="20"/>
          <w:color w:val="auto"/>
        </w:rPr>
      </w:pPr>
    </w:p>
    <w:p>
      <w:pPr>
        <w:ind w:right="20" w:firstLine="320"/>
        <w:spacing w:after="0" w:line="279" w:lineRule="auto"/>
        <w:rPr>
          <w:sz w:val="20"/>
          <w:szCs w:val="20"/>
          <w:color w:val="auto"/>
        </w:rPr>
      </w:pPr>
      <w:r>
        <w:rPr>
          <w:rFonts w:ascii="Arial" w:cs="Arial" w:eastAsia="Arial" w:hAnsi="Arial"/>
          <w:sz w:val="12"/>
          <w:szCs w:val="12"/>
          <w:color w:val="auto"/>
        </w:rPr>
        <w:t>Any suit, action or proceeding against the Company or its respective properties, assets or revenues with respect to this Indenture or the Securities (a “</w:t>
      </w:r>
      <w:r>
        <w:rPr>
          <w:rFonts w:ascii="Arial" w:cs="Arial" w:eastAsia="Arial" w:hAnsi="Arial"/>
          <w:sz w:val="12"/>
          <w:szCs w:val="12"/>
          <w:i w:val="1"/>
          <w:iCs w:val="1"/>
          <w:color w:val="auto"/>
        </w:rPr>
        <w:t>Related Proceeding</w:t>
      </w:r>
      <w:r>
        <w:rPr>
          <w:rFonts w:ascii="Arial" w:cs="Arial" w:eastAsia="Arial" w:hAnsi="Arial"/>
          <w:sz w:val="12"/>
          <w:szCs w:val="12"/>
          <w:color w:val="auto"/>
        </w:rPr>
        <w:t>”) may be brought in any state or Federal court in the Borough of Manhattan in The City of New York, New York, as the Person bringing such Related Proceeding may elect in its sole discretion. The Company hereby consents to the non-exclusive jurisdiction of each such court for the purpose of any Related Proceeding and has irrevocably waived any objection to the laying of venue of any Related Proceeding brought in any such court and to the fullest extent it may effectively do so and the defense of an inconvenient forum to the maintenance of any Related Proceeding or any such suit, action or proceeding in any such court. The Company hereby agrees that service of all writs, claims, process and summonses in any Related Proceeding brought against it in the State of New York may be made upon Schlumberger Limited, 5599 San Felipe Street, 17</w:t>
      </w:r>
      <w:r>
        <w:rPr>
          <w:rFonts w:ascii="Arial" w:cs="Arial" w:eastAsia="Arial" w:hAnsi="Arial"/>
          <w:sz w:val="10"/>
          <w:szCs w:val="10"/>
          <w:color w:val="auto"/>
        </w:rPr>
        <w:t>th</w:t>
      </w:r>
      <w:r>
        <w:rPr>
          <w:rFonts w:ascii="Arial" w:cs="Arial" w:eastAsia="Arial" w:hAnsi="Arial"/>
          <w:sz w:val="12"/>
          <w:szCs w:val="12"/>
          <w:color w:val="auto"/>
        </w:rPr>
        <w:t xml:space="preserve"> Floor, Houston, Texas 77057 Attention: Vice President Treasurer (the “</w:t>
      </w:r>
      <w:r>
        <w:rPr>
          <w:rFonts w:ascii="Arial" w:cs="Arial" w:eastAsia="Arial" w:hAnsi="Arial"/>
          <w:sz w:val="12"/>
          <w:szCs w:val="12"/>
          <w:i w:val="1"/>
          <w:iCs w:val="1"/>
          <w:color w:val="auto"/>
        </w:rPr>
        <w:t>Process Agent</w:t>
      </w:r>
      <w:r>
        <w:rPr>
          <w:rFonts w:ascii="Arial" w:cs="Arial" w:eastAsia="Arial" w:hAnsi="Arial"/>
          <w:sz w:val="12"/>
          <w:szCs w:val="12"/>
          <w:color w:val="auto"/>
        </w:rPr>
        <w:t>”). The Company irrevocably appointed the Process Agent as its agent and true and lawful attorney in fact in its name, place and stead to accept such service of any and all such writs, claims, process and summonses, and hereby agrees that the failure of the Process Agent to give any notice to it of any such service of process shall not impair or affect the validity of such service or of any judgment based thereon. The Company hereby agrees to have an office or to maintain at all times an agent with offices in the United States of America to act as Process Agent. Nothing in this Indenture shall in any way be deemed to limit the ability to serve any such writs, process or summonses in any other manner permitted by applicable law.</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10.17. </w:t>
      </w:r>
      <w:r>
        <w:rPr>
          <w:rFonts w:ascii="Arial" w:cs="Arial" w:eastAsia="Arial" w:hAnsi="Arial"/>
          <w:sz w:val="13"/>
          <w:szCs w:val="13"/>
          <w:u w:val="single" w:color="auto"/>
          <w:color w:val="auto"/>
        </w:rPr>
        <w:t>Waiver of Immunity</w:t>
      </w:r>
      <w:r>
        <w:rPr>
          <w:rFonts w:ascii="Arial" w:cs="Arial" w:eastAsia="Arial" w:hAnsi="Arial"/>
          <w:sz w:val="13"/>
          <w:szCs w:val="13"/>
          <w:color w:val="auto"/>
        </w:rPr>
        <w:t>.</w:t>
      </w:r>
    </w:p>
    <w:p>
      <w:pPr>
        <w:spacing w:after="0" w:line="86" w:lineRule="exact"/>
        <w:rPr>
          <w:sz w:val="20"/>
          <w:szCs w:val="20"/>
          <w:color w:val="auto"/>
        </w:rPr>
      </w:pPr>
    </w:p>
    <w:p>
      <w:pPr>
        <w:jc w:val="both"/>
        <w:ind w:firstLine="325"/>
        <w:spacing w:after="0" w:line="264" w:lineRule="auto"/>
        <w:rPr>
          <w:sz w:val="20"/>
          <w:szCs w:val="20"/>
          <w:color w:val="auto"/>
        </w:rPr>
      </w:pPr>
      <w:r>
        <w:rPr>
          <w:rFonts w:ascii="Arial" w:cs="Arial" w:eastAsia="Arial" w:hAnsi="Arial"/>
          <w:sz w:val="13"/>
          <w:szCs w:val="13"/>
          <w:color w:val="auto"/>
        </w:rPr>
        <w:t>To the extent that the Company has or hereafter may acquire any immunity from jurisdiction of any court or from any legal process (whether through service of notice, attachment prior to judgment, attachment in aid of execution or execution, on the ground of sovereignty or otherwise) with respect to itself or its property, it hereby irrevocably waives, to the fullest extent permitted by applicable law, such immunity with respect to its obligations under this Indenture, and, Securities.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2" w:name="page93"/>
    <w:bookmarkEnd w:id="92"/>
    <w:p>
      <w:pPr>
        <w:ind w:left="160"/>
        <w:spacing w:after="0"/>
        <w:rPr>
          <w:sz w:val="20"/>
          <w:szCs w:val="20"/>
          <w:color w:val="auto"/>
        </w:rPr>
      </w:pPr>
      <w:r>
        <w:rPr>
          <w:rFonts w:ascii="Arial" w:cs="Arial" w:eastAsia="Arial" w:hAnsi="Arial"/>
          <w:sz w:val="13"/>
          <w:szCs w:val="13"/>
          <w:color w:val="auto"/>
        </w:rPr>
        <w:t xml:space="preserve">Section 10.18. </w:t>
      </w:r>
      <w:r>
        <w:rPr>
          <w:rFonts w:ascii="Arial" w:cs="Arial" w:eastAsia="Arial" w:hAnsi="Arial"/>
          <w:sz w:val="13"/>
          <w:szCs w:val="13"/>
          <w:u w:val="single" w:color="auto"/>
          <w:color w:val="auto"/>
        </w:rPr>
        <w:t>Waiver of Jury Trial</w:t>
      </w:r>
      <w:r>
        <w:rPr>
          <w:rFonts w:ascii="Arial" w:cs="Arial" w:eastAsia="Arial" w:hAnsi="Arial"/>
          <w:sz w:val="13"/>
          <w:szCs w:val="13"/>
          <w:color w:val="auto"/>
        </w:rPr>
        <w:t>.</w:t>
      </w:r>
    </w:p>
    <w:p>
      <w:pPr>
        <w:spacing w:after="0" w:line="86" w:lineRule="exact"/>
        <w:rPr>
          <w:sz w:val="20"/>
          <w:szCs w:val="20"/>
          <w:color w:val="auto"/>
        </w:rPr>
      </w:pPr>
    </w:p>
    <w:p>
      <w:pPr>
        <w:ind w:firstLine="328"/>
        <w:spacing w:after="0" w:line="320" w:lineRule="auto"/>
        <w:rPr>
          <w:sz w:val="20"/>
          <w:szCs w:val="20"/>
          <w:color w:val="auto"/>
        </w:rPr>
      </w:pPr>
      <w:r>
        <w:rPr>
          <w:rFonts w:ascii="Arial" w:cs="Arial" w:eastAsia="Arial" w:hAnsi="Arial"/>
          <w:sz w:val="12"/>
          <w:szCs w:val="12"/>
          <w:color w:val="auto"/>
        </w:rPr>
        <w:t>EACH OF THE COMPANY AND THE TRUSTEE HERETO HEREBY IRREVOCABLY WAIVE ALL RIGHTS TO TRIAL BY JURY IN ANY ACTION, PROCEEDING OR COUNTERCLAIM (WHETHER BASED ON CONTRACT, TORT OR OTHERWISE) ARISING OUT OF OR RELATING TO THIS INDENTURE, THE SECURITIES, OR THE TRANSACTIONS CONTEMPLATED HEREBY OR THEREBY.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3" w:name="page94"/>
    <w:bookmarkEnd w:id="93"/>
    <w:p>
      <w:pPr>
        <w:spacing w:after="0"/>
        <w:rPr>
          <w:sz w:val="20"/>
          <w:szCs w:val="20"/>
          <w:color w:val="auto"/>
        </w:rPr>
      </w:pPr>
      <w:r>
        <w:rPr>
          <w:rFonts w:ascii="Arial" w:cs="Arial" w:eastAsia="Arial" w:hAnsi="Arial"/>
          <w:sz w:val="11"/>
          <w:szCs w:val="11"/>
          <w:color w:val="auto"/>
        </w:rPr>
        <w:t>IN WITNESS WHEREOF, the parties hereto have caused this Indenture to be duly executed as of the day and year first above written.</w:t>
      </w:r>
    </w:p>
    <w:p>
      <w:pPr>
        <w:spacing w:after="0" w:line="188"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Schlumberger N.V.</w:t>
      </w:r>
    </w:p>
    <w:p>
      <w:pPr>
        <w:spacing w:after="0" w:line="165"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10795</wp:posOffset>
            </wp:positionV>
            <wp:extent cx="272732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Its:</w:t>
      </w:r>
    </w:p>
    <w:p>
      <w:pPr>
        <w:spacing w:after="0" w:line="393"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Base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294640</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19"/>
          </w:cols>
          <w:pgMar w:left="540" w:top="720" w:right="1440" w:bottom="1440" w:gutter="0" w:footer="0" w:header="0"/>
        </w:sectPr>
      </w:pPr>
    </w:p>
    <w:bookmarkStart w:id="94" w:name="page95"/>
    <w:bookmarkEnd w:id="94"/>
    <w:p>
      <w:pPr>
        <w:ind w:left="4060"/>
        <w:spacing w:after="0"/>
        <w:rPr>
          <w:sz w:val="20"/>
          <w:szCs w:val="20"/>
          <w:color w:val="auto"/>
        </w:rPr>
      </w:pPr>
      <w:r>
        <w:rPr>
          <w:rFonts w:ascii="Arial" w:cs="Arial" w:eastAsia="Arial" w:hAnsi="Arial"/>
          <w:sz w:val="13"/>
          <w:szCs w:val="13"/>
          <w:color w:val="auto"/>
        </w:rPr>
        <w:t>[Trustee]</w:t>
      </w:r>
    </w:p>
    <w:p>
      <w:pPr>
        <w:spacing w:after="0" w:line="16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2738755</wp:posOffset>
            </wp:positionH>
            <wp:positionV relativeFrom="paragraph">
              <wp:posOffset>10795</wp:posOffset>
            </wp:positionV>
            <wp:extent cx="271526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15260" cy="635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Title: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Base Indenture</w:t>
      </w:r>
    </w:p>
    <w:p>
      <w:pPr>
        <w:sectPr>
          <w:pgSz w:w="11900" w:h="16838" w:orient="portrait"/>
          <w:cols w:equalWidth="0" w:num="1">
            <w:col w:w="9019"/>
          </w:cols>
          <w:pgMar w:left="1440" w:top="878"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13"/>
          <w:szCs w:val="13"/>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69215</wp:posOffset>
            </wp:positionV>
            <wp:extent cx="728408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165" w:lineRule="exact"/>
        <w:rPr>
          <w:sz w:val="20"/>
          <w:szCs w:val="20"/>
          <w:color w:val="auto"/>
        </w:rPr>
      </w:pPr>
    </w:p>
    <w:p>
      <w:pPr>
        <w:ind w:left="3980"/>
        <w:spacing w:after="0"/>
        <w:rPr>
          <w:sz w:val="20"/>
          <w:szCs w:val="20"/>
          <w:color w:val="auto"/>
        </w:rPr>
      </w:pPr>
      <w:r>
        <w:rPr>
          <w:rFonts w:ascii="Arial" w:cs="Arial" w:eastAsia="Arial" w:hAnsi="Arial"/>
          <w:sz w:val="13"/>
          <w:szCs w:val="13"/>
          <w:b w:val="1"/>
          <w:bCs w:val="1"/>
          <w:color w:val="auto"/>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144145</wp:posOffset>
            </wp:positionV>
            <wp:extent cx="189103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91030" cy="6350"/>
                    </a:xfrm>
                    <a:prstGeom prst="rect">
                      <a:avLst/>
                    </a:prstGeom>
                    <a:noFill/>
                  </pic:spPr>
                </pic:pic>
              </a:graphicData>
            </a:graphic>
          </wp:anchor>
        </w:drawing>
      </w:r>
    </w:p>
    <w:p>
      <w:pPr>
        <w:spacing w:after="0" w:line="332"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INDENTURE</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3"/>
          <w:szCs w:val="13"/>
          <w:color w:val="auto"/>
        </w:rPr>
        <w:t>Dated as of [__________],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147955</wp:posOffset>
            </wp:positionV>
            <wp:extent cx="189103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91030" cy="6350"/>
                    </a:xfrm>
                    <a:prstGeom prst="rect">
                      <a:avLst/>
                    </a:prstGeom>
                    <a:noFill/>
                  </pic:spPr>
                </pic:pic>
              </a:graphicData>
            </a:graphic>
          </wp:anchor>
        </w:drawing>
      </w:r>
    </w:p>
    <w:p>
      <w:pPr>
        <w:spacing w:after="0" w:line="342"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[Name of Trustee]</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as Trustee</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66675</wp:posOffset>
            </wp:positionV>
            <wp:extent cx="728408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350520</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9"/>
        </w:trPr>
        <w:tc>
          <w:tcPr>
            <w:tcW w:w="4460" w:type="dxa"/>
            <w:vAlign w:val="bottom"/>
          </w:tcPr>
          <w:p>
            <w:pPr>
              <w:spacing w:after="0"/>
              <w:rPr>
                <w:sz w:val="14"/>
                <w:szCs w:val="14"/>
                <w:color w:val="auto"/>
              </w:rPr>
            </w:pPr>
          </w:p>
        </w:tc>
        <w:tc>
          <w:tcPr>
            <w:tcW w:w="7000" w:type="dxa"/>
            <w:vAlign w:val="bottom"/>
            <w:gridSpan w:val="2"/>
          </w:tcPr>
          <w:p>
            <w:pPr>
              <w:jc w:val="right"/>
              <w:ind w:right="4961"/>
              <w:spacing w:after="0"/>
              <w:rPr>
                <w:sz w:val="20"/>
                <w:szCs w:val="20"/>
                <w:color w:val="auto"/>
              </w:rPr>
            </w:pPr>
            <w:r>
              <w:rPr>
                <w:rFonts w:ascii="Arial" w:cs="Arial" w:eastAsia="Arial" w:hAnsi="Arial"/>
                <w:sz w:val="13"/>
                <w:szCs w:val="13"/>
                <w:b w:val="1"/>
                <w:bCs w:val="1"/>
                <w:color w:val="auto"/>
              </w:rPr>
              <w:t>TABLE OF CONTENTS</w:t>
            </w:r>
          </w:p>
        </w:tc>
        <w:tc>
          <w:tcPr>
            <w:tcW w:w="0" w:type="dxa"/>
            <w:vAlign w:val="bottom"/>
          </w:tcPr>
          <w:p>
            <w:pPr>
              <w:spacing w:after="0"/>
              <w:rPr>
                <w:sz w:val="1"/>
                <w:szCs w:val="1"/>
                <w:color w:val="auto"/>
              </w:rPr>
            </w:pPr>
          </w:p>
        </w:tc>
      </w:tr>
      <w:tr>
        <w:trPr>
          <w:trHeight w:val="267"/>
        </w:trPr>
        <w:tc>
          <w:tcPr>
            <w:tcW w:w="4460" w:type="dxa"/>
            <w:vAlign w:val="bottom"/>
            <w:vMerge w:val="restart"/>
          </w:tcPr>
          <w:p>
            <w:pPr>
              <w:spacing w:after="0"/>
              <w:rPr>
                <w:sz w:val="20"/>
                <w:szCs w:val="20"/>
                <w:color w:val="auto"/>
              </w:rPr>
            </w:pPr>
            <w:r>
              <w:rPr>
                <w:rFonts w:ascii="Arial" w:cs="Arial" w:eastAsia="Arial" w:hAnsi="Arial"/>
                <w:sz w:val="13"/>
                <w:szCs w:val="13"/>
                <w:color w:val="auto"/>
              </w:rPr>
              <w:t>ARTICLE I. DEFINITIONS AND INCORPORATION BY REFERENCE</w:t>
            </w:r>
          </w:p>
        </w:tc>
        <w:tc>
          <w:tcPr>
            <w:tcW w:w="6180" w:type="dxa"/>
            <w:vAlign w:val="bottom"/>
          </w:tcPr>
          <w:p>
            <w:pPr>
              <w:spacing w:after="0"/>
              <w:rPr>
                <w:sz w:val="23"/>
                <w:szCs w:val="23"/>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38"/>
        </w:trPr>
        <w:tc>
          <w:tcPr>
            <w:tcW w:w="4460" w:type="dxa"/>
            <w:vAlign w:val="bottom"/>
            <w:vMerge w:val="continue"/>
          </w:tcPr>
          <w:p>
            <w:pPr>
              <w:spacing w:after="0"/>
              <w:rPr>
                <w:sz w:val="12"/>
                <w:szCs w:val="12"/>
                <w:color w:val="auto"/>
              </w:rPr>
            </w:pPr>
          </w:p>
        </w:tc>
        <w:tc>
          <w:tcPr>
            <w:tcW w:w="6180" w:type="dxa"/>
            <w:vAlign w:val="bottom"/>
          </w:tcPr>
          <w:p>
            <w:pPr>
              <w:spacing w:after="0"/>
              <w:rPr>
                <w:sz w:val="12"/>
                <w:szCs w:val="12"/>
                <w:color w:val="auto"/>
              </w:rPr>
            </w:pPr>
          </w:p>
        </w:tc>
        <w:tc>
          <w:tcPr>
            <w:tcW w:w="820" w:type="dxa"/>
            <w:vAlign w:val="bottom"/>
          </w:tcPr>
          <w:p>
            <w:pPr>
              <w:jc w:val="right"/>
              <w:ind w:right="281"/>
              <w:spacing w:after="0" w:line="139"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1.1. Definitions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1.2. Other Definitions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1.3. Rules of Construction</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4460" w:type="dxa"/>
            <w:vAlign w:val="bottom"/>
          </w:tcPr>
          <w:p>
            <w:pPr>
              <w:spacing w:after="0"/>
              <w:rPr>
                <w:sz w:val="20"/>
                <w:szCs w:val="20"/>
                <w:color w:val="auto"/>
              </w:rPr>
            </w:pPr>
            <w:r>
              <w:rPr>
                <w:rFonts w:ascii="Arial" w:cs="Arial" w:eastAsia="Arial" w:hAnsi="Arial"/>
                <w:sz w:val="13"/>
                <w:szCs w:val="13"/>
                <w:color w:val="auto"/>
              </w:rPr>
              <w:t>ARTICLE II. THE SECURITIES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2.1. Issuable in Series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2.2. Establishment of Terms of Series of Securities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2.3. Execution and Authentication</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2.4. Registrar, Paying Agent and Transfer Agent</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2.5. Paying Agent to Hold Money in Trust</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2.6. Securityholder Lists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2.7. Transfer and Exchange</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2.8. Mutilated, Destroyed, Lost and Stolen Securities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2.9. Outstanding Securities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2.10. Treasury Securities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2.11. Temporary Securities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2.12. Cancellation</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2.13. Defaulted Interest</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2.14. Global Securities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2.15. CUSIP Numbers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4460" w:type="dxa"/>
            <w:vAlign w:val="bottom"/>
          </w:tcPr>
          <w:p>
            <w:pPr>
              <w:spacing w:after="0"/>
              <w:rPr>
                <w:sz w:val="20"/>
                <w:szCs w:val="20"/>
                <w:color w:val="auto"/>
              </w:rPr>
            </w:pPr>
            <w:r>
              <w:rPr>
                <w:rFonts w:ascii="Arial" w:cs="Arial" w:eastAsia="Arial" w:hAnsi="Arial"/>
                <w:sz w:val="13"/>
                <w:szCs w:val="13"/>
                <w:color w:val="auto"/>
              </w:rPr>
              <w:t>ARTICLE III. REDEMPTION</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3.1. Notice to Trustee; No Liability for Calculations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3.2. Selection of Securities to be Redeemed</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3.3. Notice of Redemption</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3.4. Effect of Notice of Redemption</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3.5. Deposit of Redemption Price</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3.6. Securities Redeemed in Part</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3.7. Sinking Fund</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3.8. Satisfaction of Sinking Fund Payments with Securities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3.9. Redemption of Securities for Sinking Fund</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3.10. Redemption Upon Changes in Tax Law</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4460" w:type="dxa"/>
            <w:vAlign w:val="bottom"/>
          </w:tcPr>
          <w:p>
            <w:pPr>
              <w:spacing w:after="0"/>
              <w:rPr>
                <w:sz w:val="20"/>
                <w:szCs w:val="20"/>
                <w:color w:val="auto"/>
              </w:rPr>
            </w:pPr>
            <w:r>
              <w:rPr>
                <w:rFonts w:ascii="Arial" w:cs="Arial" w:eastAsia="Arial" w:hAnsi="Arial"/>
                <w:sz w:val="13"/>
                <w:szCs w:val="13"/>
                <w:color w:val="auto"/>
              </w:rPr>
              <w:t>ARTICLE IV. COVENANTS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4.1. Payment of Principal, Premium and Interest</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4.2. Compliance Certificate</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4.3. Stay, Extension and Usury Laws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4.4. Corporate Existence</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4.5. Limitation on Liens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4.6. Additional Amounts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4.7. Reports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4460" w:type="dxa"/>
            <w:vAlign w:val="bottom"/>
          </w:tcPr>
          <w:p>
            <w:pPr>
              <w:spacing w:after="0"/>
              <w:rPr>
                <w:sz w:val="20"/>
                <w:szCs w:val="20"/>
                <w:color w:val="auto"/>
              </w:rPr>
            </w:pPr>
            <w:r>
              <w:rPr>
                <w:rFonts w:ascii="Arial" w:cs="Arial" w:eastAsia="Arial" w:hAnsi="Arial"/>
                <w:sz w:val="13"/>
                <w:szCs w:val="13"/>
                <w:color w:val="auto"/>
              </w:rPr>
              <w:t>ARTICLE V. SUCCESSORS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5.1. Consolidation, Merger and Sale of Assets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4460" w:type="dxa"/>
            <w:vAlign w:val="bottom"/>
          </w:tcPr>
          <w:p>
            <w:pPr>
              <w:spacing w:after="0"/>
              <w:rPr>
                <w:sz w:val="20"/>
                <w:szCs w:val="20"/>
                <w:color w:val="auto"/>
              </w:rPr>
            </w:pPr>
            <w:r>
              <w:rPr>
                <w:rFonts w:ascii="Arial" w:cs="Arial" w:eastAsia="Arial" w:hAnsi="Arial"/>
                <w:sz w:val="13"/>
                <w:szCs w:val="13"/>
                <w:color w:val="auto"/>
              </w:rPr>
              <w:t>ARTICLE VI. DEFAULTS AND REMEDIES</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65"/>
        </w:trPr>
        <w:tc>
          <w:tcPr>
            <w:tcW w:w="4460" w:type="dxa"/>
            <w:vAlign w:val="bottom"/>
          </w:tcPr>
          <w:p>
            <w:pPr>
              <w:ind w:left="140"/>
              <w:spacing w:after="0"/>
              <w:rPr>
                <w:sz w:val="20"/>
                <w:szCs w:val="20"/>
                <w:color w:val="auto"/>
              </w:rPr>
            </w:pPr>
            <w:r>
              <w:rPr>
                <w:rFonts w:ascii="Arial" w:cs="Arial" w:eastAsia="Arial" w:hAnsi="Arial"/>
                <w:sz w:val="13"/>
                <w:szCs w:val="13"/>
                <w:color w:val="auto"/>
              </w:rPr>
              <w:t>Section 6.1. Events of Default</w:t>
            </w:r>
          </w:p>
        </w:tc>
        <w:tc>
          <w:tcPr>
            <w:tcW w:w="7000" w:type="dxa"/>
            <w:vAlign w:val="bottom"/>
            <w:gridSpan w:val="2"/>
          </w:tcPr>
          <w:p>
            <w:pPr>
              <w:jc w:val="right"/>
              <w:ind w:right="281"/>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21"/>
        </w:trPr>
        <w:tc>
          <w:tcPr>
            <w:tcW w:w="10640" w:type="dxa"/>
            <w:vAlign w:val="bottom"/>
            <w:vMerge w:val="restart"/>
          </w:tcPr>
          <w:p>
            <w:pPr>
              <w:ind w:left="140"/>
              <w:spacing w:after="0"/>
              <w:rPr>
                <w:sz w:val="20"/>
                <w:szCs w:val="20"/>
                <w:color w:val="auto"/>
              </w:rPr>
            </w:pPr>
            <w:r>
              <w:rPr>
                <w:rFonts w:ascii="Arial" w:cs="Arial" w:eastAsia="Arial" w:hAnsi="Arial"/>
                <w:sz w:val="13"/>
                <w:szCs w:val="13"/>
                <w:color w:val="auto"/>
              </w:rPr>
              <w:t>Section 6.2. Acceleration of Maturity; Rescission and Annulment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5"/>
              </w:rPr>
              <w:t>Page</w:t>
            </w:r>
          </w:p>
        </w:tc>
        <w:tc>
          <w:tcPr>
            <w:tcW w:w="0" w:type="dxa"/>
            <w:vAlign w:val="bottom"/>
          </w:tcPr>
          <w:p>
            <w:pPr>
              <w:spacing w:after="0"/>
              <w:rPr>
                <w:sz w:val="1"/>
                <w:szCs w:val="1"/>
                <w:color w:val="auto"/>
              </w:rPr>
            </w:pPr>
          </w:p>
        </w:tc>
      </w:tr>
      <w:tr>
        <w:trPr>
          <w:trHeight w:val="138"/>
        </w:trPr>
        <w:tc>
          <w:tcPr>
            <w:tcW w:w="10640" w:type="dxa"/>
            <w:vAlign w:val="bottom"/>
            <w:vMerge w:val="continue"/>
          </w:tcPr>
          <w:p>
            <w:pPr>
              <w:spacing w:after="0"/>
              <w:rPr>
                <w:sz w:val="12"/>
                <w:szCs w:val="12"/>
                <w:color w:val="auto"/>
              </w:rPr>
            </w:pPr>
          </w:p>
        </w:tc>
        <w:tc>
          <w:tcPr>
            <w:tcW w:w="820" w:type="dxa"/>
            <w:vAlign w:val="bottom"/>
          </w:tcPr>
          <w:p>
            <w:pPr>
              <w:jc w:val="center"/>
              <w:spacing w:after="0" w:line="139" w:lineRule="exact"/>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6.3. Collection of Indebtedness and Suits for Enforcement by Trustee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6.4. Trustee May File Proofs of Claim</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29</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6.5. Trustee May Enforce Claims Without Possession of Securities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29</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6.6. Application of Money Collected</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29</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6.7. Limitation on Suits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30</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6.8. Unconditional Right of Holders to Receive Principal and Interest</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30</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6.9. Restoration of Rights and Remedies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31</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6.10. Rights and Remedies Cumulative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31</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6.11. Delay or Omission Not Waiver</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31</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6.12. Control by Holders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31</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6.13. Waiver of Past Defaults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32</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6.14. Undertaking for Costs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32</w:t>
            </w:r>
          </w:p>
        </w:tc>
        <w:tc>
          <w:tcPr>
            <w:tcW w:w="0" w:type="dxa"/>
            <w:vAlign w:val="bottom"/>
          </w:tcPr>
          <w:p>
            <w:pPr>
              <w:spacing w:after="0"/>
              <w:rPr>
                <w:sz w:val="1"/>
                <w:szCs w:val="1"/>
                <w:color w:val="auto"/>
              </w:rPr>
            </w:pPr>
          </w:p>
        </w:tc>
      </w:tr>
      <w:tr>
        <w:trPr>
          <w:trHeight w:val="157"/>
        </w:trPr>
        <w:tc>
          <w:tcPr>
            <w:tcW w:w="10640" w:type="dxa"/>
            <w:vAlign w:val="bottom"/>
          </w:tcPr>
          <w:p>
            <w:pPr>
              <w:spacing w:after="0"/>
              <w:rPr>
                <w:sz w:val="20"/>
                <w:szCs w:val="20"/>
                <w:color w:val="auto"/>
              </w:rPr>
            </w:pPr>
            <w:r>
              <w:rPr>
                <w:rFonts w:ascii="Arial" w:cs="Arial" w:eastAsia="Arial" w:hAnsi="Arial"/>
                <w:sz w:val="13"/>
                <w:szCs w:val="13"/>
                <w:color w:val="auto"/>
              </w:rPr>
              <w:t>ARTICLE VII. TRUSTEE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32</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7.1. Duties of Trustee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32</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7.2. Rights of Trustee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33</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7.3. May Hold Securities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35</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7.4. Trustee’s Disclaimer</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35</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7.5. Notice of Defaults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35</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7.6. Compensation and Indemnity</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35</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7.7. Replacement of Trustee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36</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7.8. Successor Trustee by Merger, etc.</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38</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7.9. Eligibility; Disqualification</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38</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7.10. Preferential Collection of Claims Against Company</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38</w:t>
            </w:r>
          </w:p>
        </w:tc>
        <w:tc>
          <w:tcPr>
            <w:tcW w:w="0" w:type="dxa"/>
            <w:vAlign w:val="bottom"/>
          </w:tcPr>
          <w:p>
            <w:pPr>
              <w:spacing w:after="0"/>
              <w:rPr>
                <w:sz w:val="1"/>
                <w:szCs w:val="1"/>
                <w:color w:val="auto"/>
              </w:rPr>
            </w:pPr>
          </w:p>
        </w:tc>
      </w:tr>
      <w:tr>
        <w:trPr>
          <w:trHeight w:val="157"/>
        </w:trPr>
        <w:tc>
          <w:tcPr>
            <w:tcW w:w="10640" w:type="dxa"/>
            <w:vAlign w:val="bottom"/>
          </w:tcPr>
          <w:p>
            <w:pPr>
              <w:spacing w:after="0"/>
              <w:rPr>
                <w:sz w:val="20"/>
                <w:szCs w:val="20"/>
                <w:color w:val="auto"/>
              </w:rPr>
            </w:pPr>
            <w:r>
              <w:rPr>
                <w:rFonts w:ascii="Arial" w:cs="Arial" w:eastAsia="Arial" w:hAnsi="Arial"/>
                <w:sz w:val="13"/>
                <w:szCs w:val="13"/>
                <w:color w:val="auto"/>
              </w:rPr>
              <w:t>ARTICLE VIII. DISCHARGE OF INDENTURE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39</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8.1. Termination of Company’s Obligations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39</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8.2. Application of Trust Money</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42</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8.3. Repayment to Company</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42</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8.4. Reinstatement</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43</w:t>
            </w:r>
          </w:p>
        </w:tc>
        <w:tc>
          <w:tcPr>
            <w:tcW w:w="0" w:type="dxa"/>
            <w:vAlign w:val="bottom"/>
          </w:tcPr>
          <w:p>
            <w:pPr>
              <w:spacing w:after="0"/>
              <w:rPr>
                <w:sz w:val="1"/>
                <w:szCs w:val="1"/>
                <w:color w:val="auto"/>
              </w:rPr>
            </w:pPr>
          </w:p>
        </w:tc>
      </w:tr>
      <w:tr>
        <w:trPr>
          <w:trHeight w:val="157"/>
        </w:trPr>
        <w:tc>
          <w:tcPr>
            <w:tcW w:w="10640" w:type="dxa"/>
            <w:vAlign w:val="bottom"/>
          </w:tcPr>
          <w:p>
            <w:pPr>
              <w:spacing w:after="0"/>
              <w:rPr>
                <w:sz w:val="20"/>
                <w:szCs w:val="20"/>
                <w:color w:val="auto"/>
              </w:rPr>
            </w:pPr>
            <w:r>
              <w:rPr>
                <w:rFonts w:ascii="Arial" w:cs="Arial" w:eastAsia="Arial" w:hAnsi="Arial"/>
                <w:sz w:val="13"/>
                <w:szCs w:val="13"/>
                <w:color w:val="auto"/>
              </w:rPr>
              <w:t>ARTICLE IX. AMENDMENTS AND WAIVERS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43</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9.1. Without Consent of Holders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43</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9.2. With Consent of Holders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44</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9.3. Limitations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45</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9.4. Form of Amendments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45</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9.5. Revocation and Effect of Consents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46</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9.6. Notation on or Exchange of Securities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46</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9.7. Trustee Protected</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46</w:t>
            </w:r>
          </w:p>
        </w:tc>
        <w:tc>
          <w:tcPr>
            <w:tcW w:w="0" w:type="dxa"/>
            <w:vAlign w:val="bottom"/>
          </w:tcPr>
          <w:p>
            <w:pPr>
              <w:spacing w:after="0"/>
              <w:rPr>
                <w:sz w:val="1"/>
                <w:szCs w:val="1"/>
                <w:color w:val="auto"/>
              </w:rPr>
            </w:pPr>
          </w:p>
        </w:tc>
      </w:tr>
      <w:tr>
        <w:trPr>
          <w:trHeight w:val="157"/>
        </w:trPr>
        <w:tc>
          <w:tcPr>
            <w:tcW w:w="10640" w:type="dxa"/>
            <w:vAlign w:val="bottom"/>
          </w:tcPr>
          <w:p>
            <w:pPr>
              <w:spacing w:after="0"/>
              <w:rPr>
                <w:sz w:val="20"/>
                <w:szCs w:val="20"/>
                <w:color w:val="auto"/>
              </w:rPr>
            </w:pPr>
            <w:r>
              <w:rPr>
                <w:rFonts w:ascii="Arial" w:cs="Arial" w:eastAsia="Arial" w:hAnsi="Arial"/>
                <w:sz w:val="13"/>
                <w:szCs w:val="13"/>
                <w:color w:val="auto"/>
              </w:rPr>
              <w:t>ARTICLE X. MISCELLANEOUS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46</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10.1. Notices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46</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10.2. Communication by Holders with Other Holders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48</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10.3. Certificate and Opinion as to Conditions Precedent</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48</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10.4. Statements Required in Certificate or Opinion</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48</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10.5. Rules by Trustee and Agents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49</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10.6. Legal Holidays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49</w:t>
            </w:r>
          </w:p>
        </w:tc>
        <w:tc>
          <w:tcPr>
            <w:tcW w:w="0" w:type="dxa"/>
            <w:vAlign w:val="bottom"/>
          </w:tcPr>
          <w:p>
            <w:pPr>
              <w:spacing w:after="0"/>
              <w:rPr>
                <w:sz w:val="1"/>
                <w:szCs w:val="1"/>
                <w:color w:val="auto"/>
              </w:rPr>
            </w:pPr>
          </w:p>
        </w:tc>
      </w:tr>
      <w:tr>
        <w:trPr>
          <w:trHeight w:val="165"/>
        </w:trPr>
        <w:tc>
          <w:tcPr>
            <w:tcW w:w="10640" w:type="dxa"/>
            <w:vAlign w:val="bottom"/>
          </w:tcPr>
          <w:p>
            <w:pPr>
              <w:ind w:left="140"/>
              <w:spacing w:after="0"/>
              <w:rPr>
                <w:sz w:val="20"/>
                <w:szCs w:val="20"/>
                <w:color w:val="auto"/>
              </w:rPr>
            </w:pPr>
            <w:r>
              <w:rPr>
                <w:rFonts w:ascii="Arial" w:cs="Arial" w:eastAsia="Arial" w:hAnsi="Arial"/>
                <w:sz w:val="13"/>
                <w:szCs w:val="13"/>
                <w:color w:val="auto"/>
              </w:rPr>
              <w:t>Section 10.7. No Personal Liability of Directors, Officers, Employees and Certain Others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874" w:right="2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21"/>
        </w:trPr>
        <w:tc>
          <w:tcPr>
            <w:tcW w:w="10640" w:type="dxa"/>
            <w:vAlign w:val="bottom"/>
            <w:vMerge w:val="restart"/>
          </w:tcPr>
          <w:p>
            <w:pPr>
              <w:ind w:left="140"/>
              <w:spacing w:after="0"/>
              <w:rPr>
                <w:sz w:val="20"/>
                <w:szCs w:val="20"/>
                <w:color w:val="auto"/>
              </w:rPr>
            </w:pPr>
            <w:r>
              <w:rPr>
                <w:rFonts w:ascii="Arial" w:cs="Arial" w:eastAsia="Arial" w:hAnsi="Arial"/>
                <w:sz w:val="13"/>
                <w:szCs w:val="13"/>
                <w:color w:val="auto"/>
              </w:rPr>
              <w:t>Section 10.8. Counterparts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5"/>
              </w:rPr>
              <w:t>Page</w:t>
            </w:r>
          </w:p>
        </w:tc>
        <w:tc>
          <w:tcPr>
            <w:tcW w:w="0" w:type="dxa"/>
            <w:vAlign w:val="bottom"/>
          </w:tcPr>
          <w:p>
            <w:pPr>
              <w:spacing w:after="0"/>
              <w:rPr>
                <w:sz w:val="1"/>
                <w:szCs w:val="1"/>
                <w:color w:val="auto"/>
              </w:rPr>
            </w:pPr>
          </w:p>
        </w:tc>
      </w:tr>
      <w:tr>
        <w:trPr>
          <w:trHeight w:val="138"/>
        </w:trPr>
        <w:tc>
          <w:tcPr>
            <w:tcW w:w="10640" w:type="dxa"/>
            <w:vAlign w:val="bottom"/>
            <w:vMerge w:val="continue"/>
          </w:tcPr>
          <w:p>
            <w:pPr>
              <w:spacing w:after="0"/>
              <w:rPr>
                <w:sz w:val="12"/>
                <w:szCs w:val="12"/>
                <w:color w:val="auto"/>
              </w:rPr>
            </w:pPr>
          </w:p>
        </w:tc>
        <w:tc>
          <w:tcPr>
            <w:tcW w:w="820" w:type="dxa"/>
            <w:vAlign w:val="bottom"/>
          </w:tcPr>
          <w:p>
            <w:pPr>
              <w:jc w:val="center"/>
              <w:spacing w:after="0" w:line="139" w:lineRule="exact"/>
              <w:rPr>
                <w:sz w:val="20"/>
                <w:szCs w:val="20"/>
                <w:color w:val="auto"/>
              </w:rPr>
            </w:pPr>
            <w:r>
              <w:rPr>
                <w:rFonts w:ascii="Arial" w:cs="Arial" w:eastAsia="Arial" w:hAnsi="Arial"/>
                <w:sz w:val="13"/>
                <w:szCs w:val="13"/>
                <w:color w:val="auto"/>
                <w:w w:val="82"/>
              </w:rPr>
              <w:t>49</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10.9. Governing Laws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49</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10.10. No Adverse Interpretation of Other Agreements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50</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10.11. Successors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50</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10.12. Severability</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50</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10.13. Table of Contents, Headings, Etc.</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50</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10.14. Judgment Currency</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50</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10.15. English Language</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51</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10.16. Submission to Jurisdiction; Appointment of Agent</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51</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10.17. Waiver of Immunity</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51</w:t>
            </w:r>
          </w:p>
        </w:tc>
        <w:tc>
          <w:tcPr>
            <w:tcW w:w="0" w:type="dxa"/>
            <w:vAlign w:val="bottom"/>
          </w:tcPr>
          <w:p>
            <w:pPr>
              <w:spacing w:after="0"/>
              <w:rPr>
                <w:sz w:val="1"/>
                <w:szCs w:val="1"/>
                <w:color w:val="auto"/>
              </w:rPr>
            </w:pPr>
          </w:p>
        </w:tc>
      </w:tr>
      <w:tr>
        <w:trPr>
          <w:trHeight w:val="157"/>
        </w:trPr>
        <w:tc>
          <w:tcPr>
            <w:tcW w:w="10640" w:type="dxa"/>
            <w:vAlign w:val="bottom"/>
          </w:tcPr>
          <w:p>
            <w:pPr>
              <w:ind w:left="140"/>
              <w:spacing w:after="0"/>
              <w:rPr>
                <w:sz w:val="20"/>
                <w:szCs w:val="20"/>
                <w:color w:val="auto"/>
              </w:rPr>
            </w:pPr>
            <w:r>
              <w:rPr>
                <w:rFonts w:ascii="Arial" w:cs="Arial" w:eastAsia="Arial" w:hAnsi="Arial"/>
                <w:sz w:val="13"/>
                <w:szCs w:val="13"/>
                <w:color w:val="auto"/>
              </w:rPr>
              <w:t>Section 10.18. Waiver of Jury Trial</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52</w:t>
            </w:r>
          </w:p>
        </w:tc>
        <w:tc>
          <w:tcPr>
            <w:tcW w:w="0" w:type="dxa"/>
            <w:vAlign w:val="bottom"/>
          </w:tcPr>
          <w:p>
            <w:pPr>
              <w:spacing w:after="0"/>
              <w:rPr>
                <w:sz w:val="1"/>
                <w:szCs w:val="1"/>
                <w:color w:val="auto"/>
              </w:rPr>
            </w:pPr>
          </w:p>
        </w:tc>
      </w:tr>
      <w:tr>
        <w:trPr>
          <w:trHeight w:val="157"/>
        </w:trPr>
        <w:tc>
          <w:tcPr>
            <w:tcW w:w="10640" w:type="dxa"/>
            <w:vAlign w:val="bottom"/>
          </w:tcPr>
          <w:p>
            <w:pPr>
              <w:spacing w:after="0"/>
              <w:rPr>
                <w:sz w:val="20"/>
                <w:szCs w:val="20"/>
                <w:color w:val="auto"/>
              </w:rPr>
            </w:pPr>
            <w:r>
              <w:rPr>
                <w:rFonts w:ascii="Arial" w:cs="Arial" w:eastAsia="Arial" w:hAnsi="Arial"/>
                <w:sz w:val="13"/>
                <w:szCs w:val="13"/>
                <w:color w:val="auto"/>
              </w:rPr>
              <w:t>ARTICLE XI. SUBORDINATION OF SECURITIES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52</w:t>
            </w:r>
          </w:p>
        </w:tc>
        <w:tc>
          <w:tcPr>
            <w:tcW w:w="0" w:type="dxa"/>
            <w:vAlign w:val="bottom"/>
          </w:tcPr>
          <w:p>
            <w:pPr>
              <w:spacing w:after="0"/>
              <w:rPr>
                <w:sz w:val="1"/>
                <w:szCs w:val="1"/>
                <w:color w:val="auto"/>
              </w:rPr>
            </w:pPr>
          </w:p>
        </w:tc>
      </w:tr>
      <w:tr>
        <w:trPr>
          <w:trHeight w:val="165"/>
        </w:trPr>
        <w:tc>
          <w:tcPr>
            <w:tcW w:w="10640" w:type="dxa"/>
            <w:vAlign w:val="bottom"/>
          </w:tcPr>
          <w:p>
            <w:pPr>
              <w:ind w:left="140"/>
              <w:spacing w:after="0"/>
              <w:rPr>
                <w:sz w:val="20"/>
                <w:szCs w:val="20"/>
                <w:color w:val="auto"/>
              </w:rPr>
            </w:pPr>
            <w:r>
              <w:rPr>
                <w:rFonts w:ascii="Arial" w:cs="Arial" w:eastAsia="Arial" w:hAnsi="Arial"/>
                <w:sz w:val="13"/>
                <w:szCs w:val="13"/>
                <w:color w:val="auto"/>
              </w:rPr>
              <w:t>Section 11.1. Subordination Terms</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52</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873" w:right="219" w:bottom="1440" w:gutter="0" w:footer="0" w:header="0"/>
        </w:sectPr>
      </w:pPr>
    </w:p>
    <w:bookmarkStart w:id="99" w:name="page100"/>
    <w:bookmarkEnd w:id="99"/>
    <w:p>
      <w:pPr>
        <w:ind w:left="320"/>
        <w:spacing w:after="0"/>
        <w:rPr>
          <w:sz w:val="20"/>
          <w:szCs w:val="20"/>
          <w:color w:val="auto"/>
        </w:rPr>
      </w:pPr>
      <w:r>
        <w:rPr>
          <w:rFonts w:ascii="Arial" w:cs="Arial" w:eastAsia="Arial" w:hAnsi="Arial"/>
          <w:sz w:val="13"/>
          <w:szCs w:val="13"/>
          <w:color w:val="auto"/>
        </w:rPr>
        <w:t>Indenture dated as of [__________], 2011 between Schlumberger N.V. (the “</w:t>
      </w:r>
      <w:r>
        <w:rPr>
          <w:rFonts w:ascii="Arial" w:cs="Arial" w:eastAsia="Arial" w:hAnsi="Arial"/>
          <w:sz w:val="13"/>
          <w:szCs w:val="13"/>
          <w:i w:val="1"/>
          <w:iCs w:val="1"/>
          <w:color w:val="auto"/>
        </w:rPr>
        <w:t>Company</w:t>
      </w:r>
      <w:r>
        <w:rPr>
          <w:rFonts w:ascii="Arial" w:cs="Arial" w:eastAsia="Arial" w:hAnsi="Arial"/>
          <w:sz w:val="13"/>
          <w:szCs w:val="13"/>
          <w:color w:val="auto"/>
        </w:rPr>
        <w:t>”) and [__________], as trustee (the “</w:t>
      </w:r>
      <w:r>
        <w:rPr>
          <w:rFonts w:ascii="Arial" w:cs="Arial" w:eastAsia="Arial" w:hAnsi="Arial"/>
          <w:sz w:val="13"/>
          <w:szCs w:val="13"/>
          <w:i w:val="1"/>
          <w:iCs w:val="1"/>
          <w:color w:val="auto"/>
        </w:rPr>
        <w:t>Trustee</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Each party agrees as follows for the benefit of the other parties and for the equal and ratable benefit of the Holders (as defined below) of the Securities (as defined below) issued under this Indenture.</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DEFINITIONS AND INCORPORATION BY REFERENCE</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1.1. </w:t>
      </w:r>
      <w:r>
        <w:rPr>
          <w:rFonts w:ascii="Arial" w:cs="Arial" w:eastAsia="Arial" w:hAnsi="Arial"/>
          <w:sz w:val="13"/>
          <w:szCs w:val="13"/>
          <w:u w:val="single" w:color="auto"/>
          <w:color w:val="auto"/>
        </w:rPr>
        <w:t>Definitions</w:t>
      </w:r>
      <w:r>
        <w:rPr>
          <w:rFonts w:ascii="Arial" w:cs="Arial" w:eastAsia="Arial" w:hAnsi="Arial"/>
          <w:sz w:val="13"/>
          <w:szCs w:val="13"/>
          <w:color w:val="auto"/>
        </w:rPr>
        <w:t>.</w:t>
      </w:r>
    </w:p>
    <w:p>
      <w:pPr>
        <w:spacing w:after="0" w:line="86" w:lineRule="exact"/>
        <w:rPr>
          <w:sz w:val="20"/>
          <w:szCs w:val="20"/>
          <w:color w:val="auto"/>
        </w:rPr>
      </w:pPr>
    </w:p>
    <w:p>
      <w:pPr>
        <w:ind w:right="14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Affiliate</w:t>
      </w:r>
      <w:r>
        <w:rPr>
          <w:rFonts w:ascii="Arial" w:cs="Arial" w:eastAsia="Arial" w:hAnsi="Arial"/>
          <w:sz w:val="13"/>
          <w:szCs w:val="13"/>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Agent</w:t>
      </w:r>
      <w:r>
        <w:rPr>
          <w:rFonts w:ascii="Arial" w:cs="Arial" w:eastAsia="Arial" w:hAnsi="Arial"/>
          <w:sz w:val="13"/>
          <w:szCs w:val="13"/>
          <w:color w:val="auto"/>
        </w:rPr>
        <w:t>” means any Registrar, Paying Agent or Transfer Agent or any other agent appointed pursuant to this Indenture.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Board of Directors</w:t>
      </w:r>
      <w:r>
        <w:rPr>
          <w:rFonts w:ascii="Arial" w:cs="Arial" w:eastAsia="Arial" w:hAnsi="Arial"/>
          <w:sz w:val="13"/>
          <w:szCs w:val="13"/>
          <w:color w:val="auto"/>
        </w:rPr>
        <w:t>” means the Board of Directors of the Company, or any duly authorized committee thereof.</w:t>
      </w:r>
    </w:p>
    <w:p>
      <w:pPr>
        <w:spacing w:after="0" w:line="86" w:lineRule="exact"/>
        <w:rPr>
          <w:sz w:val="20"/>
          <w:szCs w:val="20"/>
          <w:color w:val="auto"/>
        </w:rPr>
      </w:pPr>
    </w:p>
    <w:p>
      <w:pPr>
        <w:ind w:right="12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Board Resolution</w:t>
      </w:r>
      <w:r>
        <w:rPr>
          <w:rFonts w:ascii="Arial" w:cs="Arial" w:eastAsia="Arial" w:hAnsi="Arial"/>
          <w:sz w:val="13"/>
          <w:szCs w:val="13"/>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certification and delivered to the Trustee.</w:t>
      </w:r>
    </w:p>
    <w:p>
      <w:pPr>
        <w:spacing w:after="0" w:line="49"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Business Day</w:t>
      </w:r>
      <w:r>
        <w:rPr>
          <w:rFonts w:ascii="Arial" w:cs="Arial" w:eastAsia="Arial" w:hAnsi="Arial"/>
          <w:sz w:val="13"/>
          <w:szCs w:val="13"/>
          <w:color w:val="auto"/>
        </w:rPr>
        <w:t>” means, unless otherwise provided by Board Resolution, Officer’s Certificate or supplemental indenture for a particular Series, any day except a Saturday, Sunday or a Legal Holiday in The City of New York on which banking institutions are authorized or required by law, regulation or executive order to close.</w:t>
      </w:r>
    </w:p>
    <w:p>
      <w:pPr>
        <w:spacing w:after="0" w:line="49" w:lineRule="exact"/>
        <w:rPr>
          <w:sz w:val="20"/>
          <w:szCs w:val="20"/>
          <w:color w:val="auto"/>
        </w:rPr>
      </w:pPr>
    </w:p>
    <w:p>
      <w:pPr>
        <w:ind w:right="320" w:firstLine="328"/>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Capital Stock</w:t>
      </w:r>
      <w:r>
        <w:rPr>
          <w:rFonts w:ascii="Arial" w:cs="Arial" w:eastAsia="Arial" w:hAnsi="Arial"/>
          <w:sz w:val="13"/>
          <w:szCs w:val="13"/>
          <w:color w:val="auto"/>
        </w:rPr>
        <w:t>” means (1) in the case of a corporation, corporate stock; (2) in the case of an association or business entity, any and all shares, interests, participations, rights or other equivalents (however designated) of corporate stock; (3) in the case of a partnership or limited liability company, partnership interests (whether general or limited) or membership interests; and (4)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Certificated Securities</w:t>
      </w:r>
      <w:r>
        <w:rPr>
          <w:rFonts w:ascii="Arial" w:cs="Arial" w:eastAsia="Arial" w:hAnsi="Arial"/>
          <w:sz w:val="13"/>
          <w:szCs w:val="13"/>
          <w:color w:val="auto"/>
        </w:rPr>
        <w:t>” means definitive Securities in registered non-global certificated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00" w:name="page101"/>
    <w:bookmarkEnd w:id="100"/>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Company</w:t>
      </w:r>
      <w:r>
        <w:rPr>
          <w:rFonts w:ascii="Arial" w:cs="Arial" w:eastAsia="Arial" w:hAnsi="Arial"/>
          <w:sz w:val="13"/>
          <w:szCs w:val="13"/>
          <w:color w:val="auto"/>
        </w:rPr>
        <w:t>” means Schlumberger N.V. until a successor replaces it and thereafter means the successor.</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Company Order</w:t>
      </w:r>
      <w:r>
        <w:rPr>
          <w:rFonts w:ascii="Arial" w:cs="Arial" w:eastAsia="Arial" w:hAnsi="Arial"/>
          <w:sz w:val="13"/>
          <w:szCs w:val="13"/>
          <w:color w:val="auto"/>
        </w:rPr>
        <w:t>” or “</w:t>
      </w:r>
      <w:r>
        <w:rPr>
          <w:rFonts w:ascii="Arial" w:cs="Arial" w:eastAsia="Arial" w:hAnsi="Arial"/>
          <w:sz w:val="13"/>
          <w:szCs w:val="13"/>
          <w:i w:val="1"/>
          <w:iCs w:val="1"/>
          <w:color w:val="auto"/>
        </w:rPr>
        <w:t>Company Request</w:t>
      </w:r>
      <w:r>
        <w:rPr>
          <w:rFonts w:ascii="Arial" w:cs="Arial" w:eastAsia="Arial" w:hAnsi="Arial"/>
          <w:sz w:val="13"/>
          <w:szCs w:val="13"/>
          <w:color w:val="auto"/>
        </w:rPr>
        <w:t>” means a written order signed in the name of the Company by one of the Company’s Officers.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Consolidated Net Worth</w:t>
      </w:r>
      <w:r>
        <w:rPr>
          <w:rFonts w:ascii="Arial" w:cs="Arial" w:eastAsia="Arial" w:hAnsi="Arial"/>
          <w:sz w:val="13"/>
          <w:szCs w:val="13"/>
          <w:color w:val="auto"/>
        </w:rPr>
        <w:t>” means the amount of total stockholders’ equity shown in the Company’s most recent quarterly consolidated statement of financial position.</w:t>
      </w:r>
    </w:p>
    <w:p>
      <w:pPr>
        <w:spacing w:after="0" w:line="86" w:lineRule="exact"/>
        <w:rPr>
          <w:sz w:val="20"/>
          <w:szCs w:val="20"/>
          <w:color w:val="auto"/>
        </w:rPr>
      </w:pPr>
    </w:p>
    <w:p>
      <w:pPr>
        <w:ind w:right="48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Corporate Trust Office</w:t>
      </w:r>
      <w:r>
        <w:rPr>
          <w:rFonts w:ascii="Arial" w:cs="Arial" w:eastAsia="Arial" w:hAnsi="Arial"/>
          <w:sz w:val="13"/>
          <w:szCs w:val="13"/>
          <w:color w:val="auto"/>
        </w:rPr>
        <w:t>” means the office of the Trustee at which at any particular time its corporate trust business shall be principally administered, which, as of the date hereof is the address set forth in Section 10.1.</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Default</w:t>
      </w:r>
      <w:r>
        <w:rPr>
          <w:rFonts w:ascii="Arial" w:cs="Arial" w:eastAsia="Arial" w:hAnsi="Arial"/>
          <w:sz w:val="13"/>
          <w:szCs w:val="13"/>
          <w:color w:val="auto"/>
        </w:rPr>
        <w:t>” means any event which is, or after notice or passage of time or both would be, an Event of Default.</w:t>
      </w:r>
    </w:p>
    <w:p>
      <w:pPr>
        <w:spacing w:after="0" w:line="86" w:lineRule="exact"/>
        <w:rPr>
          <w:sz w:val="20"/>
          <w:szCs w:val="20"/>
          <w:color w:val="auto"/>
        </w:rPr>
      </w:pPr>
    </w:p>
    <w:p>
      <w:pPr>
        <w:ind w:right="16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Depositary</w:t>
      </w:r>
      <w:r>
        <w:rPr>
          <w:rFonts w:ascii="Arial" w:cs="Arial" w:eastAsia="Arial" w:hAnsi="Arial"/>
          <w:sz w:val="13"/>
          <w:szCs w:val="13"/>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w:t>
      </w:r>
      <w:r>
        <w:rPr>
          <w:rFonts w:ascii="Arial" w:cs="Arial" w:eastAsia="Arial" w:hAnsi="Arial"/>
          <w:sz w:val="13"/>
          <w:szCs w:val="13"/>
          <w:i w:val="1"/>
          <w:iCs w:val="1"/>
          <w:color w:val="auto"/>
        </w:rPr>
        <w:t>Depositary</w:t>
      </w:r>
      <w:r>
        <w:rPr>
          <w:rFonts w:ascii="Arial" w:cs="Arial" w:eastAsia="Arial" w:hAnsi="Arial"/>
          <w:sz w:val="13"/>
          <w:szCs w:val="13"/>
          <w:color w:val="auto"/>
        </w:rPr>
        <w:t>” as used with respect to the Securities of any Series shall mean the Depositary with respect to the Securities of such Series.</w:t>
      </w:r>
    </w:p>
    <w:p>
      <w:pPr>
        <w:spacing w:after="0" w:line="57" w:lineRule="exact"/>
        <w:rPr>
          <w:sz w:val="20"/>
          <w:szCs w:val="20"/>
          <w:color w:val="auto"/>
        </w:rPr>
      </w:pPr>
    </w:p>
    <w:p>
      <w:pPr>
        <w:ind w:right="44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Discount Security</w:t>
      </w:r>
      <w:r>
        <w:rPr>
          <w:rFonts w:ascii="Arial" w:cs="Arial" w:eastAsia="Arial" w:hAnsi="Arial"/>
          <w:sz w:val="13"/>
          <w:szCs w:val="13"/>
          <w:color w:val="auto"/>
        </w:rPr>
        <w:t>” means any Security that provides for an amount less than the stated principal amount thereof to be due and payable upon declaration of acceleration of the maturity thereof pursuant to Section 6.2.</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Dollars</w:t>
      </w:r>
      <w:r>
        <w:rPr>
          <w:rFonts w:ascii="Arial" w:cs="Arial" w:eastAsia="Arial" w:hAnsi="Arial"/>
          <w:sz w:val="13"/>
          <w:szCs w:val="13"/>
          <w:color w:val="auto"/>
        </w:rPr>
        <w:t>” or “</w:t>
      </w:r>
      <w:r>
        <w:rPr>
          <w:rFonts w:ascii="Arial" w:cs="Arial" w:eastAsia="Arial" w:hAnsi="Arial"/>
          <w:sz w:val="13"/>
          <w:szCs w:val="13"/>
          <w:i w:val="1"/>
          <w:iCs w:val="1"/>
          <w:color w:val="auto"/>
        </w:rPr>
        <w:t>$</w:t>
      </w:r>
      <w:r>
        <w:rPr>
          <w:rFonts w:ascii="Arial" w:cs="Arial" w:eastAsia="Arial" w:hAnsi="Arial"/>
          <w:sz w:val="13"/>
          <w:szCs w:val="13"/>
          <w:color w:val="auto"/>
        </w:rPr>
        <w:t>” means the currency of The United States of America.</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Exchange Act</w:t>
      </w:r>
      <w:r>
        <w:rPr>
          <w:rFonts w:ascii="Arial" w:cs="Arial" w:eastAsia="Arial" w:hAnsi="Arial"/>
          <w:sz w:val="13"/>
          <w:szCs w:val="13"/>
          <w:color w:val="auto"/>
        </w:rPr>
        <w:t>” means the Securities Exchange Act of 1934, as amended.</w:t>
      </w:r>
    </w:p>
    <w:p>
      <w:pPr>
        <w:spacing w:after="0" w:line="86" w:lineRule="exact"/>
        <w:rPr>
          <w:sz w:val="20"/>
          <w:szCs w:val="20"/>
          <w:color w:val="auto"/>
        </w:rPr>
      </w:pPr>
    </w:p>
    <w:p>
      <w:pPr>
        <w:jc w:val="both"/>
        <w:ind w:right="100" w:firstLine="327"/>
        <w:spacing w:after="0" w:line="264" w:lineRule="auto"/>
        <w:rPr>
          <w:sz w:val="20"/>
          <w:szCs w:val="20"/>
          <w:color w:val="auto"/>
        </w:rPr>
      </w:pPr>
      <w:r>
        <w:rPr>
          <w:rFonts w:ascii="Arial" w:cs="Arial" w:eastAsia="Arial" w:hAnsi="Arial"/>
          <w:sz w:val="13"/>
          <w:szCs w:val="13"/>
          <w:i w:val="1"/>
          <w:iCs w:val="1"/>
          <w:color w:val="auto"/>
        </w:rPr>
        <w:t xml:space="preserve">“GAAP” </w:t>
      </w:r>
      <w:r>
        <w:rPr>
          <w:rFonts w:ascii="Arial" w:cs="Arial" w:eastAsia="Arial" w:hAnsi="Arial"/>
          <w:sz w:val="13"/>
          <w:szCs w:val="13"/>
          <w:color w:val="auto"/>
        </w:rPr>
        <w:t>means accounting principles generally accepted in the United States of America set forth in the opinions and pronouncements of the Accounting Principles Board of the American Institute of Certified</w:t>
      </w:r>
      <w:r>
        <w:rPr>
          <w:rFonts w:ascii="Arial" w:cs="Arial" w:eastAsia="Arial" w:hAnsi="Arial"/>
          <w:sz w:val="13"/>
          <w:szCs w:val="13"/>
          <w:i w:val="1"/>
          <w:iCs w:val="1"/>
          <w:color w:val="auto"/>
        </w:rPr>
        <w:t xml:space="preserve"> </w:t>
      </w:r>
      <w:r>
        <w:rPr>
          <w:rFonts w:ascii="Arial" w:cs="Arial" w:eastAsia="Arial" w:hAnsi="Arial"/>
          <w:sz w:val="13"/>
          <w:szCs w:val="13"/>
          <w:color w:val="auto"/>
        </w:rPr>
        <w:t>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57"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Global Security</w:t>
      </w:r>
      <w:r>
        <w:rPr>
          <w:rFonts w:ascii="Arial" w:cs="Arial" w:eastAsia="Arial" w:hAnsi="Arial"/>
          <w:sz w:val="13"/>
          <w:szCs w:val="13"/>
          <w:color w:val="auto"/>
        </w:rPr>
        <w:t>” or “</w:t>
      </w:r>
      <w:r>
        <w:rPr>
          <w:rFonts w:ascii="Arial" w:cs="Arial" w:eastAsia="Arial" w:hAnsi="Arial"/>
          <w:sz w:val="13"/>
          <w:szCs w:val="13"/>
          <w:i w:val="1"/>
          <w:iCs w:val="1"/>
          <w:color w:val="auto"/>
        </w:rPr>
        <w:t>Global Securities</w:t>
      </w:r>
      <w:r>
        <w:rPr>
          <w:rFonts w:ascii="Arial" w:cs="Arial" w:eastAsia="Arial" w:hAnsi="Arial"/>
          <w:sz w:val="13"/>
          <w:szCs w:val="13"/>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49"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Government Obligations</w:t>
      </w:r>
      <w:r>
        <w:rPr>
          <w:rFonts w:ascii="Arial" w:cs="Arial" w:eastAsia="Arial" w:hAnsi="Arial"/>
          <w:sz w:val="13"/>
          <w:szCs w:val="13"/>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01" w:name="page102"/>
    <w:bookmarkEnd w:id="101"/>
    <w:p>
      <w:pPr>
        <w:ind w:right="60"/>
        <w:spacing w:after="0" w:line="260" w:lineRule="auto"/>
        <w:rPr>
          <w:sz w:val="20"/>
          <w:szCs w:val="20"/>
          <w:color w:val="auto"/>
        </w:rPr>
      </w:pPr>
      <w:r>
        <w:rPr>
          <w:rFonts w:ascii="Arial" w:cs="Arial" w:eastAsia="Arial" w:hAnsi="Arial"/>
          <w:sz w:val="13"/>
          <w:szCs w:val="13"/>
          <w:color w:val="auto"/>
        </w:rPr>
        <w:t xml:space="preserve">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(except as required by law) such custodian is not authorized to make any deduction from the amount payable to the holder of such depository receipt from any amount received by the custodian with respect to the Government Obligation evidenced by such depository receipt.</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Holder</w:t>
      </w:r>
      <w:r>
        <w:rPr>
          <w:rFonts w:ascii="Arial" w:cs="Arial" w:eastAsia="Arial" w:hAnsi="Arial"/>
          <w:sz w:val="13"/>
          <w:szCs w:val="13"/>
          <w:color w:val="auto"/>
        </w:rPr>
        <w:t>” or “</w:t>
      </w:r>
      <w:r>
        <w:rPr>
          <w:rFonts w:ascii="Arial" w:cs="Arial" w:eastAsia="Arial" w:hAnsi="Arial"/>
          <w:sz w:val="13"/>
          <w:szCs w:val="13"/>
          <w:i w:val="1"/>
          <w:iCs w:val="1"/>
          <w:color w:val="auto"/>
        </w:rPr>
        <w:t>Securityholder</w:t>
      </w:r>
      <w:r>
        <w:rPr>
          <w:rFonts w:ascii="Arial" w:cs="Arial" w:eastAsia="Arial" w:hAnsi="Arial"/>
          <w:sz w:val="13"/>
          <w:szCs w:val="13"/>
          <w:color w:val="auto"/>
        </w:rPr>
        <w:t>” means a Person in whose name a Security is registered in the register maintained by the Registrar.</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Indenture</w:t>
      </w:r>
      <w:r>
        <w:rPr>
          <w:rFonts w:ascii="Arial" w:cs="Arial" w:eastAsia="Arial" w:hAnsi="Arial"/>
          <w:sz w:val="13"/>
          <w:szCs w:val="13"/>
          <w:color w:val="auto"/>
        </w:rPr>
        <w:t>” means this Indenture as amended or supplemented from time to time and shall include the form and terms of particular Series of Securities established as contemplated hereunder.</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Issue Date</w:t>
      </w:r>
      <w:r>
        <w:rPr>
          <w:rFonts w:ascii="Arial" w:cs="Arial" w:eastAsia="Arial" w:hAnsi="Arial"/>
          <w:sz w:val="13"/>
          <w:szCs w:val="13"/>
          <w:color w:val="auto"/>
        </w:rPr>
        <w:t>” means, with respect to any Security, the date of original issuance of such Security.</w:t>
      </w:r>
    </w:p>
    <w:p>
      <w:pPr>
        <w:spacing w:after="0" w:line="86"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Maturity</w:t>
      </w:r>
      <w:r>
        <w:rPr>
          <w:rFonts w:ascii="Arial" w:cs="Arial" w:eastAsia="Arial" w:hAnsi="Arial"/>
          <w:sz w:val="13"/>
          <w:szCs w:val="13"/>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Mortgage</w:t>
      </w:r>
      <w:r>
        <w:rPr>
          <w:rFonts w:ascii="Arial" w:cs="Arial" w:eastAsia="Arial" w:hAnsi="Arial"/>
          <w:sz w:val="13"/>
          <w:szCs w:val="13"/>
          <w:color w:val="auto"/>
        </w:rPr>
        <w:t>” means and includes any mortgage, pledge, lien, security interest, conditional sale or other title retention agreement or other similar encumbrance.</w:t>
      </w:r>
    </w:p>
    <w:p>
      <w:pPr>
        <w:spacing w:after="0" w:line="86"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Non-recourse Debt</w:t>
      </w:r>
      <w:r>
        <w:rPr>
          <w:rFonts w:ascii="Arial" w:cs="Arial" w:eastAsia="Arial" w:hAnsi="Arial"/>
          <w:sz w:val="13"/>
          <w:szCs w:val="13"/>
          <w:color w:val="auto"/>
        </w:rPr>
        <w:t>” means indebtedness as to which (a) neither the Company, nor any of its Subsidiaries (x) provides credit support of any kind or (y) is directly or indirectly liable as a guarantor or otherwise and (b) as to which the lenders have been notified in writing that they will not have any recourse to the stock or assets of the Company or any of its Subsidiaries.</w:t>
      </w:r>
    </w:p>
    <w:p>
      <w:pPr>
        <w:spacing w:after="0" w:line="49" w:lineRule="exact"/>
        <w:rPr>
          <w:sz w:val="20"/>
          <w:szCs w:val="20"/>
          <w:color w:val="auto"/>
        </w:rPr>
      </w:pPr>
    </w:p>
    <w:p>
      <w:pPr>
        <w:ind w:right="6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Officer</w:t>
      </w:r>
      <w:r>
        <w:rPr>
          <w:rFonts w:ascii="Arial" w:cs="Arial" w:eastAsia="Arial" w:hAnsi="Arial"/>
          <w:sz w:val="13"/>
          <w:szCs w:val="13"/>
          <w:color w:val="auto"/>
        </w:rPr>
        <w:t>” means the Chief Executive Officer, Chief Operating Officer, Chief Financial Officer, President, any Vice-President, the Treasurer, a Director, the Chairman, the Secretary, any Assistant Treasurer or any Assistant Secretary of the Company.</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Officer’s Certificate</w:t>
      </w:r>
      <w:r>
        <w:rPr>
          <w:rFonts w:ascii="Arial" w:cs="Arial" w:eastAsia="Arial" w:hAnsi="Arial"/>
          <w:sz w:val="13"/>
          <w:szCs w:val="13"/>
          <w:color w:val="auto"/>
        </w:rPr>
        <w:t>” means a certificate signed by an Officer of the Company.</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Opinion of Counsel</w:t>
      </w:r>
      <w:r>
        <w:rPr>
          <w:rFonts w:ascii="Arial" w:cs="Arial" w:eastAsia="Arial" w:hAnsi="Arial"/>
          <w:sz w:val="13"/>
          <w:szCs w:val="13"/>
          <w:color w:val="auto"/>
        </w:rPr>
        <w:t>” means a written opinion of legal counsel who is acceptable to the Trustee. The counsel may be a direct or indirect employee of or counsel to the Company.</w:t>
      </w:r>
    </w:p>
    <w:p>
      <w:pPr>
        <w:spacing w:after="0" w:line="86" w:lineRule="exact"/>
        <w:rPr>
          <w:sz w:val="20"/>
          <w:szCs w:val="20"/>
          <w:color w:val="auto"/>
        </w:rPr>
      </w:pPr>
    </w:p>
    <w:p>
      <w:pPr>
        <w:ind w:right="10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Periodic Offering</w:t>
      </w:r>
      <w:r>
        <w:rPr>
          <w:rFonts w:ascii="Arial" w:cs="Arial" w:eastAsia="Arial" w:hAnsi="Arial"/>
          <w:sz w:val="13"/>
          <w:szCs w:val="13"/>
          <w:color w:val="auto"/>
        </w:rPr>
        <w:t>” means an offering of Securities of a Series from time to time, during which any or all of the specific terms of the Securities, including the rate or rates of interest, if any, thereon, the maturity or maturities thereof and the redemption provisions, if any, with respect thereto, are to be determined by the Company or its agents upon the issuance of such Securities in accordance with the terms of the relevant supplemental indenture.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Person</w:t>
      </w:r>
      <w:r>
        <w:rPr>
          <w:rFonts w:ascii="Arial" w:cs="Arial" w:eastAsia="Arial" w:hAnsi="Arial"/>
          <w:sz w:val="13"/>
          <w:szCs w:val="13"/>
          <w:color w:val="auto"/>
        </w:rPr>
        <w:t>” means any individual, corporation, partnership, limited liability company, association, joint venture, trust, joint stock company or any other entity or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color w:val="auto"/>
        </w:rPr>
        <w:t>organization, including a government or political subdivision or an agency or instrumentality thereof.</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principal</w:t>
      </w:r>
      <w:r>
        <w:rPr>
          <w:rFonts w:ascii="Arial" w:cs="Arial" w:eastAsia="Arial" w:hAnsi="Arial"/>
          <w:sz w:val="13"/>
          <w:szCs w:val="13"/>
          <w:color w:val="auto"/>
        </w:rPr>
        <w:t>” of a Security means the principal of the Security plus, when appropriate, the premium, if any, on, and any Additional Amounts with respect to, the Security.</w:t>
      </w:r>
    </w:p>
    <w:p>
      <w:pPr>
        <w:spacing w:after="0" w:line="86"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Responsible Officer</w:t>
      </w:r>
      <w:r>
        <w:rPr>
          <w:rFonts w:ascii="Arial" w:cs="Arial" w:eastAsia="Arial" w:hAnsi="Arial"/>
          <w:sz w:val="13"/>
          <w:szCs w:val="13"/>
          <w:color w:val="auto"/>
        </w:rPr>
        <w:t>” means any officer of the Trustee in its Corporate Trust Office responsible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49" w:lineRule="exact"/>
        <w:rPr>
          <w:sz w:val="20"/>
          <w:szCs w:val="20"/>
          <w:color w:val="auto"/>
        </w:rPr>
      </w:pPr>
    </w:p>
    <w:p>
      <w:pPr>
        <w:ind w:right="6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Restricted Property</w:t>
      </w:r>
      <w:r>
        <w:rPr>
          <w:rFonts w:ascii="Arial" w:cs="Arial" w:eastAsia="Arial" w:hAnsi="Arial"/>
          <w:sz w:val="13"/>
          <w:szCs w:val="13"/>
          <w:color w:val="auto"/>
        </w:rPr>
        <w:t>” means any real property, manufacturing plant, warehouse, office building or other physical facility, or any item of marine, transportation or construction equipment or other like depreciable assets of the Company or any of its Restricted Subsidiaries, whether owned on or acquired after the Issue Date of the Securities of any Series, unless, in the opinion of the Board of Directors, such plant or facility or other asset is not of material importance to the total business conducted by the Company and its Restricted Subsidiaries taken as a whole.</w:t>
      </w:r>
    </w:p>
    <w:p>
      <w:pPr>
        <w:spacing w:after="0" w:line="57" w:lineRule="exact"/>
        <w:rPr>
          <w:sz w:val="20"/>
          <w:szCs w:val="20"/>
          <w:color w:val="auto"/>
        </w:rPr>
      </w:pPr>
    </w:p>
    <w:p>
      <w:pPr>
        <w:ind w:right="20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Restricted Security</w:t>
      </w:r>
      <w:r>
        <w:rPr>
          <w:rFonts w:ascii="Arial" w:cs="Arial" w:eastAsia="Arial" w:hAnsi="Arial"/>
          <w:sz w:val="13"/>
          <w:szCs w:val="13"/>
          <w:color w:val="auto"/>
        </w:rPr>
        <w:t>”, with respect to any Series of Securities, means a Security of such Series, unless or until it has been (i) effectively registered under the Securities Act and disposed of in accordance with a registration statement with respect to such Series or (ii) distributed to the public pursuant to Rule 144 under the Securities Act or any similar provision then in force.</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Restricted Subsidiary</w:t>
      </w:r>
      <w:r>
        <w:rPr>
          <w:rFonts w:ascii="Arial" w:cs="Arial" w:eastAsia="Arial" w:hAnsi="Arial"/>
          <w:sz w:val="13"/>
          <w:szCs w:val="13"/>
          <w:color w:val="auto"/>
        </w:rPr>
        <w:t>” means any Subsidiary of the Company which owns a Restricted Property.</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SEC</w:t>
      </w:r>
      <w:r>
        <w:rPr>
          <w:rFonts w:ascii="Arial" w:cs="Arial" w:eastAsia="Arial" w:hAnsi="Arial"/>
          <w:sz w:val="13"/>
          <w:szCs w:val="13"/>
          <w:color w:val="auto"/>
        </w:rPr>
        <w:t>” means the Securities and Exchange Commission.</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Securities</w:t>
      </w:r>
      <w:r>
        <w:rPr>
          <w:rFonts w:ascii="Arial" w:cs="Arial" w:eastAsia="Arial" w:hAnsi="Arial"/>
          <w:sz w:val="13"/>
          <w:szCs w:val="13"/>
          <w:color w:val="auto"/>
        </w:rPr>
        <w:t>” means the debentures, notes or other debt instruments of the Company of any Series authenticated and delivered under this Indenture.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Securities Act</w:t>
      </w:r>
      <w:r>
        <w:rPr>
          <w:rFonts w:ascii="Arial" w:cs="Arial" w:eastAsia="Arial" w:hAnsi="Arial"/>
          <w:sz w:val="13"/>
          <w:szCs w:val="13"/>
          <w:color w:val="auto"/>
        </w:rPr>
        <w:t>” means the Securities Act of 1933, as amended.</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Series</w:t>
      </w:r>
      <w:r>
        <w:rPr>
          <w:rFonts w:ascii="Arial" w:cs="Arial" w:eastAsia="Arial" w:hAnsi="Arial"/>
          <w:sz w:val="13"/>
          <w:szCs w:val="13"/>
          <w:color w:val="auto"/>
        </w:rPr>
        <w:t>” or “</w:t>
      </w:r>
      <w:r>
        <w:rPr>
          <w:rFonts w:ascii="Arial" w:cs="Arial" w:eastAsia="Arial" w:hAnsi="Arial"/>
          <w:sz w:val="13"/>
          <w:szCs w:val="13"/>
          <w:i w:val="1"/>
          <w:iCs w:val="1"/>
          <w:color w:val="auto"/>
        </w:rPr>
        <w:t>Series of Securities</w:t>
      </w:r>
      <w:r>
        <w:rPr>
          <w:rFonts w:ascii="Arial" w:cs="Arial" w:eastAsia="Arial" w:hAnsi="Arial"/>
          <w:sz w:val="13"/>
          <w:szCs w:val="13"/>
          <w:color w:val="auto"/>
        </w:rPr>
        <w:t>” means each series of Securities of the Company created pursuant to Sections 2.1 and 2.2 hereof.</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Stated Maturity</w:t>
      </w:r>
      <w:r>
        <w:rPr>
          <w:rFonts w:ascii="Arial" w:cs="Arial" w:eastAsia="Arial" w:hAnsi="Arial"/>
          <w:sz w:val="13"/>
          <w:szCs w:val="13"/>
          <w:color w:val="auto"/>
        </w:rPr>
        <w:t>” when used with respect to any Security, means the date specified in such Security as the fixed date on which the principal of such Security or interest is due and payable.</w:t>
      </w:r>
    </w:p>
    <w:p>
      <w:pPr>
        <w:spacing w:after="0" w:line="86"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Subsidiary</w:t>
      </w:r>
      <w:r>
        <w:rPr>
          <w:rFonts w:ascii="Arial" w:cs="Arial" w:eastAsia="Arial" w:hAnsi="Arial"/>
          <w:sz w:val="13"/>
          <w:szCs w:val="13"/>
          <w:color w:val="auto"/>
        </w:rPr>
        <w:t>”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03" w:name="page104"/>
    <w:bookmarkEnd w:id="103"/>
    <w:p>
      <w:pPr>
        <w:ind w:right="80"/>
        <w:spacing w:after="0" w:line="260" w:lineRule="auto"/>
        <w:rPr>
          <w:sz w:val="20"/>
          <w:szCs w:val="20"/>
          <w:color w:val="auto"/>
        </w:rPr>
      </w:pPr>
      <w:r>
        <w:rPr>
          <w:rFonts w:ascii="Arial" w:cs="Arial" w:eastAsia="Arial" w:hAnsi="Arial"/>
          <w:sz w:val="13"/>
          <w:szCs w:val="13"/>
          <w:color w:val="auto"/>
        </w:rPr>
        <w:t>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60" w:lineRule="exact"/>
        <w:rPr>
          <w:sz w:val="20"/>
          <w:szCs w:val="20"/>
          <w:color w:val="auto"/>
        </w:rPr>
      </w:pPr>
    </w:p>
    <w:p>
      <w:pPr>
        <w:jc w:val="both"/>
        <w:ind w:right="100" w:firstLine="328"/>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Trustee</w:t>
      </w:r>
      <w:r>
        <w:rPr>
          <w:rFonts w:ascii="Arial" w:cs="Arial" w:eastAsia="Arial" w:hAnsi="Arial"/>
          <w:sz w:val="13"/>
          <w:szCs w:val="13"/>
          <w:color w:val="auto"/>
        </w:rPr>
        <w:t>” means the Person named as the “</w:t>
      </w:r>
      <w:r>
        <w:rPr>
          <w:rFonts w:ascii="Arial" w:cs="Arial" w:eastAsia="Arial" w:hAnsi="Arial"/>
          <w:sz w:val="13"/>
          <w:szCs w:val="13"/>
          <w:i w:val="1"/>
          <w:iCs w:val="1"/>
          <w:color w:val="auto"/>
        </w:rPr>
        <w:t>Trustee</w:t>
      </w:r>
      <w:r>
        <w:rPr>
          <w:rFonts w:ascii="Arial" w:cs="Arial" w:eastAsia="Arial" w:hAnsi="Arial"/>
          <w:sz w:val="13"/>
          <w:szCs w:val="13"/>
          <w:color w:val="auto"/>
        </w:rPr>
        <w:t>” in the first paragraph of this instrument until a successor Trustee shall have become such pursuant to the applicable provisions of this Indenture, and thereafter “</w:t>
      </w:r>
      <w:r>
        <w:rPr>
          <w:rFonts w:ascii="Arial" w:cs="Arial" w:eastAsia="Arial" w:hAnsi="Arial"/>
          <w:sz w:val="13"/>
          <w:szCs w:val="13"/>
          <w:i w:val="1"/>
          <w:iCs w:val="1"/>
          <w:color w:val="auto"/>
        </w:rPr>
        <w:t>Trustee</w:t>
      </w:r>
      <w:r>
        <w:rPr>
          <w:rFonts w:ascii="Arial" w:cs="Arial" w:eastAsia="Arial" w:hAnsi="Arial"/>
          <w:sz w:val="13"/>
          <w:szCs w:val="13"/>
          <w:color w:val="auto"/>
        </w:rPr>
        <w:t>” shall mean or include each Person who is then a Trustee hereunder, and if at any time there is more than one such Person, “</w:t>
      </w:r>
      <w:r>
        <w:rPr>
          <w:rFonts w:ascii="Arial" w:cs="Arial" w:eastAsia="Arial" w:hAnsi="Arial"/>
          <w:sz w:val="13"/>
          <w:szCs w:val="13"/>
          <w:i w:val="1"/>
          <w:iCs w:val="1"/>
          <w:color w:val="auto"/>
        </w:rPr>
        <w:t>Trustee</w:t>
      </w:r>
      <w:r>
        <w:rPr>
          <w:rFonts w:ascii="Arial" w:cs="Arial" w:eastAsia="Arial" w:hAnsi="Arial"/>
          <w:sz w:val="13"/>
          <w:szCs w:val="13"/>
          <w:color w:val="auto"/>
        </w:rPr>
        <w:t>” as used with respect to the Securities of any Series shall mean the Trustee with respect to Securities of that Series.</w:t>
      </w:r>
    </w:p>
    <w:p>
      <w:pPr>
        <w:spacing w:after="0" w:line="57" w:lineRule="exact"/>
        <w:rPr>
          <w:sz w:val="20"/>
          <w:szCs w:val="20"/>
          <w:color w:val="auto"/>
        </w:rPr>
      </w:pPr>
    </w:p>
    <w:p>
      <w:pPr>
        <w:ind w:right="220" w:firstLine="32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Unrestricted Securities</w:t>
      </w:r>
      <w:r>
        <w:rPr>
          <w:rFonts w:ascii="Arial" w:cs="Arial" w:eastAsia="Arial" w:hAnsi="Arial"/>
          <w:sz w:val="13"/>
          <w:szCs w:val="13"/>
          <w:color w:val="auto"/>
        </w:rPr>
        <w:t>”, with respect to any Series of Securities, means a Security (i) effectively registered under the Securities Act and disposed of in accordance with a registration statement with respect to such Series or (ii) distributed to the public pursuant to Rule 144 under the Securities Act or any similar provision then in force.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1.2. </w:t>
      </w:r>
      <w:r>
        <w:rPr>
          <w:rFonts w:ascii="Arial" w:cs="Arial" w:eastAsia="Arial" w:hAnsi="Arial"/>
          <w:sz w:val="13"/>
          <w:szCs w:val="13"/>
          <w:u w:val="single" w:color="auto"/>
          <w:color w:val="auto"/>
        </w:rPr>
        <w:t>Other Definitions</w:t>
      </w:r>
      <w:r>
        <w:rPr>
          <w:rFonts w:ascii="Arial" w:cs="Arial" w:eastAsia="Arial" w:hAnsi="Arial"/>
          <w:sz w:val="13"/>
          <w:szCs w:val="13"/>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0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jc w:val="right"/>
              <w:ind w:right="118"/>
              <w:spacing w:after="0"/>
              <w:rPr>
                <w:sz w:val="20"/>
                <w:szCs w:val="20"/>
                <w:color w:val="auto"/>
              </w:rPr>
            </w:pPr>
            <w:r>
              <w:rPr>
                <w:rFonts w:ascii="Arial" w:cs="Arial" w:eastAsia="Arial" w:hAnsi="Arial"/>
                <w:sz w:val="10"/>
                <w:szCs w:val="10"/>
                <w:color w:val="auto"/>
              </w:rPr>
              <w:t>DEFINED IN</w:t>
            </w:r>
          </w:p>
        </w:tc>
      </w:tr>
      <w:tr>
        <w:trPr>
          <w:trHeight w:val="121"/>
        </w:trPr>
        <w:tc>
          <w:tcPr>
            <w:tcW w:w="36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TERM</w:t>
            </w:r>
          </w:p>
        </w:tc>
        <w:tc>
          <w:tcPr>
            <w:tcW w:w="632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color w:val="auto"/>
              </w:rPr>
              <w:t>SECTION</w:t>
            </w:r>
          </w:p>
        </w:tc>
      </w:tr>
      <w:tr>
        <w:trPr>
          <w:trHeight w:val="138"/>
        </w:trPr>
        <w:tc>
          <w:tcPr>
            <w:tcW w:w="3600" w:type="dxa"/>
            <w:vAlign w:val="bottom"/>
          </w:tcPr>
          <w:p>
            <w:pPr>
              <w:spacing w:after="0" w:line="139" w:lineRule="exact"/>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Additional Amounts</w:t>
            </w:r>
            <w:r>
              <w:rPr>
                <w:rFonts w:ascii="Arial" w:cs="Arial" w:eastAsia="Arial" w:hAnsi="Arial"/>
                <w:sz w:val="13"/>
                <w:szCs w:val="13"/>
                <w:color w:val="auto"/>
              </w:rPr>
              <w:t>”</w:t>
            </w: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jc w:val="right"/>
              <w:ind w:right="118"/>
              <w:spacing w:after="0" w:line="139" w:lineRule="exact"/>
              <w:rPr>
                <w:sz w:val="20"/>
                <w:szCs w:val="20"/>
                <w:color w:val="auto"/>
              </w:rPr>
            </w:pPr>
            <w:r>
              <w:rPr>
                <w:rFonts w:ascii="Arial" w:cs="Arial" w:eastAsia="Arial" w:hAnsi="Arial"/>
                <w:sz w:val="13"/>
                <w:szCs w:val="13"/>
                <w:color w:val="auto"/>
              </w:rPr>
              <w:t>4.6(a)</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Bankruptcy Law”</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6.1</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Company Tax Jurisdiction</w:t>
            </w:r>
            <w:r>
              <w:rPr>
                <w:rFonts w:ascii="Arial" w:cs="Arial" w:eastAsia="Arial" w:hAnsi="Arial"/>
                <w:sz w:val="13"/>
                <w:szCs w:val="13"/>
                <w:color w:val="auto"/>
              </w:rPr>
              <w:t>”</w:t>
            </w:r>
          </w:p>
        </w:tc>
        <w:tc>
          <w:tcPr>
            <w:tcW w:w="6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jc w:val="right"/>
              <w:ind w:right="118"/>
              <w:spacing w:after="0"/>
              <w:rPr>
                <w:sz w:val="20"/>
                <w:szCs w:val="20"/>
                <w:color w:val="auto"/>
              </w:rPr>
            </w:pPr>
            <w:r>
              <w:rPr>
                <w:rFonts w:ascii="Arial" w:cs="Arial" w:eastAsia="Arial" w:hAnsi="Arial"/>
                <w:sz w:val="13"/>
                <w:szCs w:val="13"/>
                <w:color w:val="auto"/>
              </w:rPr>
              <w:t>4.6(a)</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covenant defeasance</w:t>
            </w:r>
            <w:r>
              <w:rPr>
                <w:rFonts w:ascii="Arial" w:cs="Arial" w:eastAsia="Arial" w:hAnsi="Arial"/>
                <w:sz w:val="13"/>
                <w:szCs w:val="13"/>
                <w:color w:val="auto"/>
              </w:rPr>
              <w:t>”</w:t>
            </w:r>
          </w:p>
        </w:tc>
        <w:tc>
          <w:tcPr>
            <w:tcW w:w="6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jc w:val="right"/>
              <w:ind w:right="118"/>
              <w:spacing w:after="0"/>
              <w:rPr>
                <w:sz w:val="20"/>
                <w:szCs w:val="20"/>
                <w:color w:val="auto"/>
              </w:rPr>
            </w:pPr>
            <w:r>
              <w:rPr>
                <w:rFonts w:ascii="Arial" w:cs="Arial" w:eastAsia="Arial" w:hAnsi="Arial"/>
                <w:sz w:val="13"/>
                <w:szCs w:val="13"/>
                <w:color w:val="auto"/>
              </w:rPr>
              <w:t>8.1(b)</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Custodian</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6.1</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Event of Default</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6.1</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Judgment Currency</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10.14</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legal defeasance</w:t>
            </w:r>
            <w:r>
              <w:rPr>
                <w:rFonts w:ascii="Arial" w:cs="Arial" w:eastAsia="Arial" w:hAnsi="Arial"/>
                <w:sz w:val="13"/>
                <w:szCs w:val="13"/>
                <w:color w:val="auto"/>
              </w:rPr>
              <w:t>”</w:t>
            </w:r>
          </w:p>
        </w:tc>
        <w:tc>
          <w:tcPr>
            <w:tcW w:w="6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jc w:val="right"/>
              <w:ind w:right="118"/>
              <w:spacing w:after="0"/>
              <w:rPr>
                <w:sz w:val="20"/>
                <w:szCs w:val="20"/>
                <w:color w:val="auto"/>
              </w:rPr>
            </w:pPr>
            <w:r>
              <w:rPr>
                <w:rFonts w:ascii="Arial" w:cs="Arial" w:eastAsia="Arial" w:hAnsi="Arial"/>
                <w:sz w:val="13"/>
                <w:szCs w:val="13"/>
                <w:color w:val="auto"/>
              </w:rPr>
              <w:t>8.1(c)</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Legal Holiday</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10.6</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New York Banking Day</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10.14</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Paying Agent</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2.4</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Process Agent</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10.16</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Registrar</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2.4</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Related Proceeding</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10.16</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Required Currency</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10.14</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Taxes</w:t>
            </w:r>
            <w:r>
              <w:rPr>
                <w:rFonts w:ascii="Arial" w:cs="Arial" w:eastAsia="Arial" w:hAnsi="Arial"/>
                <w:sz w:val="13"/>
                <w:szCs w:val="13"/>
                <w:color w:val="auto"/>
              </w:rPr>
              <w:t>”</w:t>
            </w:r>
          </w:p>
        </w:tc>
        <w:tc>
          <w:tcPr>
            <w:tcW w:w="6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jc w:val="right"/>
              <w:ind w:right="118"/>
              <w:spacing w:after="0"/>
              <w:rPr>
                <w:sz w:val="20"/>
                <w:szCs w:val="20"/>
                <w:color w:val="auto"/>
              </w:rPr>
            </w:pPr>
            <w:r>
              <w:rPr>
                <w:rFonts w:ascii="Arial" w:cs="Arial" w:eastAsia="Arial" w:hAnsi="Arial"/>
                <w:sz w:val="13"/>
                <w:szCs w:val="13"/>
                <w:color w:val="auto"/>
              </w:rPr>
              <w:t>4.6(a)</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Tax Redemption Date</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3.10</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Tax Jurisdiction</w:t>
            </w:r>
            <w:r>
              <w:rPr>
                <w:rFonts w:ascii="Arial" w:cs="Arial" w:eastAsia="Arial" w:hAnsi="Arial"/>
                <w:sz w:val="13"/>
                <w:szCs w:val="13"/>
                <w:color w:val="auto"/>
              </w:rPr>
              <w:t>”</w:t>
            </w:r>
          </w:p>
        </w:tc>
        <w:tc>
          <w:tcPr>
            <w:tcW w:w="6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jc w:val="right"/>
              <w:ind w:right="118"/>
              <w:spacing w:after="0"/>
              <w:rPr>
                <w:sz w:val="20"/>
                <w:szCs w:val="20"/>
                <w:color w:val="auto"/>
              </w:rPr>
            </w:pPr>
            <w:r>
              <w:rPr>
                <w:rFonts w:ascii="Arial" w:cs="Arial" w:eastAsia="Arial" w:hAnsi="Arial"/>
                <w:sz w:val="13"/>
                <w:szCs w:val="13"/>
                <w:color w:val="auto"/>
              </w:rPr>
              <w:t>4.6(a)</w:t>
            </w: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TIA</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7.10</w:t>
            </w:r>
          </w:p>
        </w:tc>
      </w:tr>
      <w:tr>
        <w:trPr>
          <w:trHeight w:val="165"/>
        </w:trPr>
        <w:tc>
          <w:tcPr>
            <w:tcW w:w="36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Transfer Agent</w:t>
            </w:r>
            <w:r>
              <w:rPr>
                <w:rFonts w:ascii="Arial" w:cs="Arial" w:eastAsia="Arial" w:hAnsi="Arial"/>
                <w:sz w:val="13"/>
                <w:szCs w:val="13"/>
                <w:color w:val="auto"/>
              </w:rPr>
              <w:t>”</w:t>
            </w:r>
          </w:p>
        </w:tc>
        <w:tc>
          <w:tcPr>
            <w:tcW w:w="7860" w:type="dxa"/>
            <w:vAlign w:val="bottom"/>
            <w:gridSpan w:val="3"/>
          </w:tcPr>
          <w:p>
            <w:pPr>
              <w:jc w:val="right"/>
              <w:ind w:right="278"/>
              <w:spacing w:after="0"/>
              <w:rPr>
                <w:sz w:val="20"/>
                <w:szCs w:val="20"/>
                <w:color w:val="auto"/>
              </w:rPr>
            </w:pPr>
            <w:r>
              <w:rPr>
                <w:rFonts w:ascii="Arial" w:cs="Arial" w:eastAsia="Arial" w:hAnsi="Arial"/>
                <w:sz w:val="13"/>
                <w:szCs w:val="13"/>
                <w:color w:val="auto"/>
              </w:rPr>
              <w:t>2.4</w:t>
            </w:r>
          </w:p>
        </w:tc>
      </w:tr>
      <w:tr>
        <w:trPr>
          <w:trHeight w:val="295"/>
        </w:trPr>
        <w:tc>
          <w:tcPr>
            <w:tcW w:w="3600" w:type="dxa"/>
            <w:vAlign w:val="bottom"/>
          </w:tcPr>
          <w:p>
            <w:pPr>
              <w:spacing w:after="0"/>
              <w:rPr>
                <w:sz w:val="24"/>
                <w:szCs w:val="24"/>
                <w:color w:val="auto"/>
              </w:rPr>
            </w:pPr>
          </w:p>
        </w:tc>
        <w:tc>
          <w:tcPr>
            <w:tcW w:w="6320" w:type="dxa"/>
            <w:vAlign w:val="bottom"/>
          </w:tcPr>
          <w:p>
            <w:pPr>
              <w:jc w:val="right"/>
              <w:ind w:right="4094"/>
              <w:spacing w:after="0"/>
              <w:rPr>
                <w:sz w:val="20"/>
                <w:szCs w:val="20"/>
                <w:color w:val="auto"/>
              </w:rPr>
            </w:pPr>
            <w:r>
              <w:rPr>
                <w:rFonts w:ascii="Arial" w:cs="Arial" w:eastAsia="Arial" w:hAnsi="Arial"/>
                <w:sz w:val="13"/>
                <w:szCs w:val="13"/>
                <w:color w:val="auto"/>
              </w:rPr>
              <w:t>5</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3600" w:type="dxa"/>
            <w:vAlign w:val="bottom"/>
            <w:tcBorders>
              <w:bottom w:val="single" w:sz="8" w:color="808080"/>
            </w:tcBorders>
          </w:tcPr>
          <w:p>
            <w:pPr>
              <w:spacing w:after="0"/>
              <w:rPr>
                <w:sz w:val="14"/>
                <w:szCs w:val="14"/>
                <w:color w:val="auto"/>
              </w:rPr>
            </w:pPr>
          </w:p>
        </w:tc>
        <w:tc>
          <w:tcPr>
            <w:tcW w:w="63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4" w:name="page105"/>
    <w:bookmarkEnd w:id="104"/>
    <w:p>
      <w:pPr>
        <w:ind w:left="160"/>
        <w:spacing w:after="0"/>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Rules of Construction</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Unless the context otherwise requires:</w:t>
      </w:r>
    </w:p>
    <w:p>
      <w:pPr>
        <w:spacing w:after="0" w:line="86" w:lineRule="exact"/>
        <w:rPr>
          <w:sz w:val="20"/>
          <w:szCs w:val="20"/>
          <w:color w:val="auto"/>
        </w:rPr>
      </w:pPr>
    </w:p>
    <w:p>
      <w:pPr>
        <w:ind w:left="560" w:hanging="168"/>
        <w:spacing w:after="0"/>
        <w:tabs>
          <w:tab w:leader="none" w:pos="5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a term has the meaning assigned to it;</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an accounting term not otherwise defined has the meaning assigned to it in accordance with GAAP;</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or</w:t>
      </w:r>
      <w:r>
        <w:rPr>
          <w:rFonts w:ascii="Arial" w:cs="Arial" w:eastAsia="Arial" w:hAnsi="Arial"/>
          <w:sz w:val="13"/>
          <w:szCs w:val="13"/>
          <w:color w:val="auto"/>
        </w:rPr>
        <w:t>” is not exclusive and “</w:t>
      </w:r>
      <w:r>
        <w:rPr>
          <w:rFonts w:ascii="Arial" w:cs="Arial" w:eastAsia="Arial" w:hAnsi="Arial"/>
          <w:sz w:val="13"/>
          <w:szCs w:val="13"/>
          <w:i w:val="1"/>
          <w:iCs w:val="1"/>
          <w:color w:val="auto"/>
        </w:rPr>
        <w:t>including</w:t>
      </w:r>
      <w:r>
        <w:rPr>
          <w:rFonts w:ascii="Arial" w:cs="Arial" w:eastAsia="Arial" w:hAnsi="Arial"/>
          <w:sz w:val="13"/>
          <w:szCs w:val="13"/>
          <w:color w:val="auto"/>
        </w:rPr>
        <w:t>” means including without limitation;</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words in the singular include the plural, and in the plural include the singular; and</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provisions apply to successive events and transactions.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SECURITIES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2.1. </w:t>
      </w:r>
      <w:r>
        <w:rPr>
          <w:rFonts w:ascii="Arial" w:cs="Arial" w:eastAsia="Arial" w:hAnsi="Arial"/>
          <w:sz w:val="13"/>
          <w:szCs w:val="13"/>
          <w:u w:val="single" w:color="auto"/>
          <w:color w:val="auto"/>
        </w:rPr>
        <w:t>Issuable in Series</w:t>
      </w:r>
      <w:r>
        <w:rPr>
          <w:rFonts w:ascii="Arial" w:cs="Arial" w:eastAsia="Arial" w:hAnsi="Arial"/>
          <w:sz w:val="13"/>
          <w:szCs w:val="13"/>
          <w:color w:val="auto"/>
        </w:rPr>
        <w:t>.</w:t>
      </w:r>
    </w:p>
    <w:p>
      <w:pPr>
        <w:spacing w:after="0" w:line="86" w:lineRule="exact"/>
        <w:rPr>
          <w:sz w:val="20"/>
          <w:szCs w:val="20"/>
          <w:color w:val="auto"/>
        </w:rPr>
      </w:pPr>
    </w:p>
    <w:p>
      <w:pPr>
        <w:ind w:right="340" w:firstLine="325"/>
        <w:spacing w:after="0" w:line="276" w:lineRule="auto"/>
        <w:rPr>
          <w:sz w:val="20"/>
          <w:szCs w:val="20"/>
          <w:color w:val="auto"/>
        </w:rPr>
      </w:pPr>
      <w:r>
        <w:rPr>
          <w:rFonts w:ascii="Arial" w:cs="Arial" w:eastAsia="Arial" w:hAnsi="Arial"/>
          <w:sz w:val="13"/>
          <w:szCs w:val="13"/>
          <w:color w:val="auto"/>
        </w:rPr>
        <w:t>The aggregate principal amount of Securities that may be authenticated and delivered under this Indenture is unlimited. The Securities may be issued in one or more Series. All Securities of a Series shall be identical except as may be set forth in, or pursuant to a Board Resolution, Officer’s Certificate or supplemental indenture establishing the terms of such Series of Securities.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2.2. </w:t>
      </w:r>
      <w:r>
        <w:rPr>
          <w:rFonts w:ascii="Arial" w:cs="Arial" w:eastAsia="Arial" w:hAnsi="Arial"/>
          <w:sz w:val="13"/>
          <w:szCs w:val="13"/>
          <w:u w:val="single" w:color="auto"/>
          <w:color w:val="auto"/>
        </w:rPr>
        <w:t>Establishment of Terms of Series of Securities</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1"/>
          <w:szCs w:val="11"/>
          <w:color w:val="auto"/>
        </w:rPr>
        <w:t>At or prior to the issuance of any Securities within a Series, the following shall be established (as to the Series generally, in the case of Subsection 2.2.1 and either as to such Securities within the Series or as to the</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Series generally in the case of Subsections 2.2.2 through 2.2.29) by or pursuant to a Board Resolution, Officer’s Certificate or supplemental indenture:</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2.2.1. the title of the Series of Securities (which shall distinguish the Securities of that particular Series from the Securities of any other Series);</w:t>
      </w:r>
    </w:p>
    <w:p>
      <w:pPr>
        <w:spacing w:after="0" w:line="86" w:lineRule="exact"/>
        <w:rPr>
          <w:sz w:val="20"/>
          <w:szCs w:val="20"/>
          <w:color w:val="auto"/>
        </w:rPr>
      </w:pPr>
    </w:p>
    <w:p>
      <w:pPr>
        <w:ind w:right="540" w:firstLine="328"/>
        <w:spacing w:after="0" w:line="276" w:lineRule="auto"/>
        <w:rPr>
          <w:sz w:val="20"/>
          <w:szCs w:val="20"/>
          <w:color w:val="auto"/>
        </w:rPr>
      </w:pPr>
      <w:r>
        <w:rPr>
          <w:rFonts w:ascii="Arial" w:cs="Arial" w:eastAsia="Arial" w:hAnsi="Arial"/>
          <w:sz w:val="13"/>
          <w:szCs w:val="13"/>
          <w:color w:val="auto"/>
        </w:rPr>
        <w:t>2.2.2.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2.2.3. the date or dates on which the principal and premium, if any, of the Securities of the Series is payable;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2.2.4. the rate or rates, which may be fixed or variable, at which the Securities of the Series shall bear interest or the manner of calculation of such rate or rates, if</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color w:val="auto"/>
        </w:rPr>
        <w:t>any, including any procedures to vary or reset such rate or rates, and the basis upon which interest will be calculated if other than that of a 360-day year or twelve 30-day months;</w:t>
      </w:r>
    </w:p>
    <w:p>
      <w:pPr>
        <w:spacing w:after="0" w:line="86"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2.2.5. the date or dates from which interest shall accrue, the dates on which such interest will be payable or the manner of determination of such dates, and the record date for the determination of holders to whom interest is payable on any such dates;</w:t>
      </w:r>
    </w:p>
    <w:p>
      <w:pPr>
        <w:spacing w:after="0" w:line="49" w:lineRule="exact"/>
        <w:rPr>
          <w:sz w:val="20"/>
          <w:szCs w:val="20"/>
          <w:color w:val="auto"/>
        </w:rPr>
      </w:pPr>
    </w:p>
    <w:p>
      <w:pPr>
        <w:jc w:val="both"/>
        <w:ind w:right="60" w:firstLine="328"/>
        <w:spacing w:after="0" w:line="264" w:lineRule="auto"/>
        <w:rPr>
          <w:sz w:val="20"/>
          <w:szCs w:val="20"/>
          <w:color w:val="auto"/>
        </w:rPr>
      </w:pPr>
      <w:r>
        <w:rPr>
          <w:rFonts w:ascii="Arial" w:cs="Arial" w:eastAsia="Arial" w:hAnsi="Arial"/>
          <w:sz w:val="13"/>
          <w:szCs w:val="13"/>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with respect to the Securities of such Series and this Indenture may be served, and the method of such payment, if by wire transfer, mail or other means if other than as set forth in this Indenture;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2.2.7. the right, if any, to extend the interest payment periods or defer the payment of interest and the duration of such extension or deferral;</w:t>
      </w:r>
    </w:p>
    <w:p>
      <w:pPr>
        <w:spacing w:after="0" w:line="86" w:lineRule="exact"/>
        <w:rPr>
          <w:sz w:val="20"/>
          <w:szCs w:val="20"/>
          <w:color w:val="auto"/>
        </w:rPr>
      </w:pPr>
    </w:p>
    <w:p>
      <w:pPr>
        <w:jc w:val="both"/>
        <w:ind w:right="100" w:firstLine="328"/>
        <w:spacing w:after="0" w:line="276" w:lineRule="auto"/>
        <w:rPr>
          <w:sz w:val="20"/>
          <w:szCs w:val="20"/>
          <w:color w:val="auto"/>
        </w:rPr>
      </w:pPr>
      <w:r>
        <w:rPr>
          <w:rFonts w:ascii="Arial" w:cs="Arial" w:eastAsia="Arial" w:hAnsi="Arial"/>
          <w:sz w:val="13"/>
          <w:szCs w:val="13"/>
          <w:color w:val="auto"/>
        </w:rPr>
        <w:t>2.2.8. if applicable, the period or periods within which, the price or prices at which and the terms and conditions upon which the Securities of the Series may be redeemed, in whole or in part, at the option of the Company if other than as set forth in this Indenture;</w:t>
      </w:r>
    </w:p>
    <w:p>
      <w:pPr>
        <w:spacing w:after="0" w:line="49" w:lineRule="exact"/>
        <w:rPr>
          <w:sz w:val="20"/>
          <w:szCs w:val="20"/>
          <w:color w:val="auto"/>
        </w:rPr>
      </w:pPr>
    </w:p>
    <w:p>
      <w:pPr>
        <w:jc w:val="both"/>
        <w:ind w:right="80" w:firstLine="328"/>
        <w:spacing w:after="0" w:line="264" w:lineRule="auto"/>
        <w:rPr>
          <w:sz w:val="20"/>
          <w:szCs w:val="20"/>
          <w:color w:val="auto"/>
        </w:rPr>
      </w:pPr>
      <w:r>
        <w:rPr>
          <w:rFonts w:ascii="Arial" w:cs="Arial" w:eastAsia="Arial" w:hAnsi="Arial"/>
          <w:sz w:val="13"/>
          <w:szCs w:val="13"/>
          <w:color w:val="auto"/>
        </w:rPr>
        <w:t>2.2.9. the obligation, if any, of the Company to redeem or purchase, if other than as set forth herein, the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Securities of the Series shall be redeemed, purchased or repaid, in whole or in part, pursuant to such obligation;</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2.2.10. the terms of any repurchase or remarketing rights;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2.2.11. if other than denominations of $2,000 or integral multiples of $1,000 in excess thereof, the denominations in which the Securities of the Series shall be issuable;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2.2.12. the forms of the Securities of the Series including the form of the Trustee’s certificate of authentication for such Series;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2.2.13. any trustees, authenticating agents or paying agents with respect to the Securities of the Series, if different from those set forth in this Indenture;</w:t>
      </w:r>
    </w:p>
    <w:p>
      <w:pPr>
        <w:spacing w:after="0" w:line="86" w:lineRule="exact"/>
        <w:rPr>
          <w:sz w:val="20"/>
          <w:szCs w:val="20"/>
          <w:color w:val="auto"/>
        </w:rPr>
      </w:pPr>
    </w:p>
    <w:p>
      <w:pPr>
        <w:ind w:right="100" w:firstLine="328"/>
        <w:spacing w:after="0" w:line="296" w:lineRule="auto"/>
        <w:rPr>
          <w:sz w:val="20"/>
          <w:szCs w:val="20"/>
          <w:color w:val="auto"/>
        </w:rPr>
      </w:pPr>
      <w:r>
        <w:rPr>
          <w:rFonts w:ascii="Arial" w:cs="Arial" w:eastAsia="Arial" w:hAnsi="Arial"/>
          <w:sz w:val="12"/>
          <w:szCs w:val="12"/>
          <w:color w:val="auto"/>
        </w:rPr>
        <w:t>2.2.14. if the Securities of the Series shall be issued in whole or in part in the form of a Global Security or Securities, the type of Global Security to be issued; the terms and conditions, if different from those contained in this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 referred to in Section 2.14.2;</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2.2.15. any provisions granting special rights to Holders when a specified event occurs;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06" w:name="page107"/>
    <w:bookmarkEnd w:id="106"/>
    <w:p>
      <w:pPr>
        <w:ind w:right="360" w:firstLine="328"/>
        <w:spacing w:after="0" w:line="276" w:lineRule="auto"/>
        <w:rPr>
          <w:sz w:val="20"/>
          <w:szCs w:val="20"/>
          <w:color w:val="auto"/>
        </w:rPr>
      </w:pPr>
      <w:r>
        <w:rPr>
          <w:rFonts w:ascii="Arial" w:cs="Arial" w:eastAsia="Arial" w:hAnsi="Arial"/>
          <w:sz w:val="13"/>
          <w:szCs w:val="13"/>
          <w:color w:val="auto"/>
        </w:rPr>
        <w:t>2.2.16. if the amount of principal of or any premium or interest on Securities of any Series may be determined with reference to an index or pursuant to a formula, the manner in which such amounts will be determined;</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2.2.17. any special tax implications of the Securities, including provisions for original issue discount securities, if offered;</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2.2.18. whether and upon what terms Securities of the Series may be defeased if different from the provisions set forth in this Indenture;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2.2.19. with regard to the Securities of any Series that do not bear interest, the dates for certain required reports to the Trustee;</w:t>
      </w:r>
    </w:p>
    <w:p>
      <w:pPr>
        <w:spacing w:after="0" w:line="86"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2.2.20. whether the Securities of any Series will be issued as Unrestricted Securities or Restricted Securities, and, if issued as Restricted Securities, the rule or regulation promulgated under the Securities Act in reliance on which they will be sold;</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2.2.21. any guarantees on the Securities of the Series;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2.2.22. the currency or currencies in which payment of the principal of, premium, if any, and interest on, the Securities of the Series shall be payable;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2.2.23. if the principal amount payable at the Stated Maturity of Securities of the Series will not be determinable as of any one or more dates prior to such Stated Maturity, the amount which will be deemed to be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such principal amount as of any such date for any purpose, including the portion of the principal amount thereof that will be due and payable upon declaration of acceleration of the maturity thereof pursuant to</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Section 6.2 or upon any maturity other than the Stated Maturity or that will be deemed to be outstanding as of any such date, or, in any such case, the manner in which such deemed principal amount is to be determined;</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2.2.24. the provisions, if any, relating to any security provided for the Securities of the Series;</w:t>
      </w:r>
    </w:p>
    <w:p>
      <w:pPr>
        <w:spacing w:after="0" w:line="86" w:lineRule="exact"/>
        <w:rPr>
          <w:sz w:val="20"/>
          <w:szCs w:val="20"/>
          <w:color w:val="auto"/>
        </w:rPr>
      </w:pPr>
    </w:p>
    <w:p>
      <w:pPr>
        <w:jc w:val="both"/>
        <w:ind w:firstLine="328"/>
        <w:spacing w:after="0" w:line="264" w:lineRule="auto"/>
        <w:rPr>
          <w:sz w:val="20"/>
          <w:szCs w:val="20"/>
          <w:color w:val="auto"/>
        </w:rPr>
      </w:pPr>
      <w:r>
        <w:rPr>
          <w:rFonts w:ascii="Arial" w:cs="Arial" w:eastAsia="Arial" w:hAnsi="Arial"/>
          <w:sz w:val="13"/>
          <w:szCs w:val="13"/>
          <w:color w:val="auto"/>
        </w:rPr>
        <w:t>2.2.25. any additional restrictive covenants or Events of Default that will apply to the Securities of the Series, or any changes to the restrictive covenants set forth in Article IV or the Events of Default set forth in Section 6.01 that will apply to the Securities of the Series, which may consist of establishing different terms or provisions from those set forth in Article IV or Section 6.01 or eliminating any such restrictive covenant or Event of Default with respect to the Securities of the Series;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2.2.26. any Depositaries, interest rate calculation agents, exchange rate calculation agents or other agents with respect to Securities of such Series if other than those appointed herein;</w:t>
      </w:r>
    </w:p>
    <w:p>
      <w:pPr>
        <w:spacing w:after="0" w:line="86"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2.2.27. whether the Securities of the Series will be convertible into or exchangeable for other Securities, common shares or other securities of any kind of the Company or another obligor, and, if so, the terms and conditions upon which such Securities will be so convertible or exchangeable, including the initial conversion or exchange price or rate or</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07" w:name="page108"/>
    <w:bookmarkEnd w:id="107"/>
    <w:p>
      <w:pPr>
        <w:ind w:right="40"/>
        <w:spacing w:after="0" w:line="276" w:lineRule="auto"/>
        <w:rPr>
          <w:sz w:val="20"/>
          <w:szCs w:val="20"/>
          <w:color w:val="auto"/>
        </w:rPr>
      </w:pPr>
      <w:r>
        <w:rPr>
          <w:rFonts w:ascii="Arial" w:cs="Arial" w:eastAsia="Arial" w:hAnsi="Arial"/>
          <w:sz w:val="13"/>
          <w:szCs w:val="13"/>
          <w:color w:val="auto"/>
        </w:rPr>
        <w:t>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2.2.28. the subordination terms of the Securities of the Series; and</w:t>
      </w:r>
    </w:p>
    <w:p>
      <w:pPr>
        <w:spacing w:after="0" w:line="86" w:lineRule="exact"/>
        <w:rPr>
          <w:sz w:val="20"/>
          <w:szCs w:val="20"/>
          <w:color w:val="auto"/>
        </w:rPr>
      </w:pPr>
    </w:p>
    <w:p>
      <w:pPr>
        <w:ind w:right="460" w:firstLine="328"/>
        <w:spacing w:after="0" w:line="276" w:lineRule="auto"/>
        <w:rPr>
          <w:sz w:val="20"/>
          <w:szCs w:val="20"/>
          <w:color w:val="auto"/>
        </w:rPr>
      </w:pPr>
      <w:r>
        <w:rPr>
          <w:rFonts w:ascii="Arial" w:cs="Arial" w:eastAsia="Arial" w:hAnsi="Arial"/>
          <w:sz w:val="13"/>
          <w:szCs w:val="13"/>
          <w:color w:val="auto"/>
        </w:rPr>
        <w:t>2.2.29. any and all additional, eliminated or changed terms that shall apply to the Securities of the Series, including any terms that may be required by or advisable under United States laws or regulations, including the Securities Act and the rules and regulations promulgated thereunder, or advisable in connection with the marketing of Securities of that Series.</w:t>
      </w:r>
    </w:p>
    <w:p>
      <w:pPr>
        <w:spacing w:after="0" w:line="49" w:lineRule="exact"/>
        <w:rPr>
          <w:sz w:val="20"/>
          <w:szCs w:val="20"/>
          <w:color w:val="auto"/>
        </w:rPr>
      </w:pPr>
    </w:p>
    <w:p>
      <w:pPr>
        <w:ind w:right="460" w:firstLine="320"/>
        <w:spacing w:after="0" w:line="276" w:lineRule="auto"/>
        <w:rPr>
          <w:sz w:val="20"/>
          <w:szCs w:val="20"/>
          <w:color w:val="auto"/>
        </w:rPr>
      </w:pPr>
      <w:r>
        <w:rPr>
          <w:rFonts w:ascii="Arial" w:cs="Arial" w:eastAsia="Arial" w:hAnsi="Arial"/>
          <w:sz w:val="13"/>
          <w:szCs w:val="13"/>
          <w:color w:val="auto"/>
        </w:rPr>
        <w:t>All Securities of any one Series need not be issued at the same time and may be issued from time to time, consistent with the terms of this Indenture, if so provided by or pursuant to the Board Resolution, Officer’s Certificate or supplemental indenture referred to above.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2.3. </w:t>
      </w:r>
      <w:r>
        <w:rPr>
          <w:rFonts w:ascii="Arial" w:cs="Arial" w:eastAsia="Arial" w:hAnsi="Arial"/>
          <w:sz w:val="13"/>
          <w:szCs w:val="13"/>
          <w:u w:val="single" w:color="auto"/>
          <w:color w:val="auto"/>
        </w:rPr>
        <w:t>Execution and Authentication</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An Officer of the Company shall sign the Securities for the Company by manual or facsimile signature.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If an Officer whose signature is on a Security no longer holds that office at the time the Security is authenticated, the Security shall nevertheless be valid.</w:t>
      </w:r>
    </w:p>
    <w:p>
      <w:pPr>
        <w:spacing w:after="0" w:line="86" w:lineRule="exact"/>
        <w:rPr>
          <w:sz w:val="20"/>
          <w:szCs w:val="20"/>
          <w:color w:val="auto"/>
        </w:rPr>
      </w:pPr>
    </w:p>
    <w:p>
      <w:pPr>
        <w:ind w:right="220" w:firstLine="320"/>
        <w:spacing w:after="0" w:line="276" w:lineRule="auto"/>
        <w:rPr>
          <w:sz w:val="20"/>
          <w:szCs w:val="20"/>
          <w:color w:val="auto"/>
        </w:rPr>
      </w:pPr>
      <w:r>
        <w:rPr>
          <w:rFonts w:ascii="Arial" w:cs="Arial" w:eastAsia="Arial" w:hAnsi="Arial"/>
          <w:sz w:val="13"/>
          <w:szCs w:val="13"/>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49" w:lineRule="exact"/>
        <w:rPr>
          <w:sz w:val="20"/>
          <w:szCs w:val="20"/>
          <w:color w:val="auto"/>
        </w:rPr>
      </w:pPr>
    </w:p>
    <w:p>
      <w:pPr>
        <w:ind w:right="340" w:firstLine="325"/>
        <w:spacing w:after="0" w:line="371" w:lineRule="auto"/>
        <w:rPr>
          <w:sz w:val="20"/>
          <w:szCs w:val="20"/>
          <w:color w:val="auto"/>
        </w:rPr>
      </w:pPr>
      <w:r>
        <w:rPr>
          <w:rFonts w:ascii="Arial" w:cs="Arial" w:eastAsia="Arial" w:hAnsi="Arial"/>
          <w:sz w:val="11"/>
          <w:szCs w:val="11"/>
          <w:color w:val="auto"/>
        </w:rPr>
        <w:t>The Trustee shall at any time, and from time to time, authenticate Securities for original issue in the principal amount provided in the Board Resolution, Officer’s Certificate or supplemental indenture, upon receipt by the Trustee of a Company Order. Each Security shall be dated the date of its authentication unless otherwise provided by the relevant Board Resolution, Officer’s Certificate or supplemental indenture.</w:t>
      </w:r>
    </w:p>
    <w:p>
      <w:pPr>
        <w:spacing w:after="0" w:line="2"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Notwithstanding the provisions of Section 2.2 and the preceding paragraph, in the case of Securities offered in a Periodic Offering, the Trustee shall authenticate and deliver such Securities from time to time in accordance with a Company Order or such other procedures acceptable to the Trustee as may be specified by or pursuant to a supplemental indenture or the written order of the Company delivered to the Trustee prior to the time of the first authentication of Securities of such Series.</w:t>
      </w:r>
    </w:p>
    <w:p>
      <w:pPr>
        <w:spacing w:after="0" w:line="57" w:lineRule="exact"/>
        <w:rPr>
          <w:sz w:val="20"/>
          <w:szCs w:val="20"/>
          <w:color w:val="auto"/>
        </w:rPr>
      </w:pPr>
    </w:p>
    <w:p>
      <w:pPr>
        <w:ind w:right="360" w:firstLine="325"/>
        <w:spacing w:after="0" w:line="276" w:lineRule="auto"/>
        <w:rPr>
          <w:sz w:val="20"/>
          <w:szCs w:val="20"/>
          <w:color w:val="auto"/>
        </w:rPr>
      </w:pPr>
      <w:r>
        <w:rPr>
          <w:rFonts w:ascii="Arial" w:cs="Arial" w:eastAsia="Arial" w:hAnsi="Arial"/>
          <w:sz w:val="13"/>
          <w:szCs w:val="13"/>
          <w:color w:val="auto"/>
        </w:rPr>
        <w:t>The aggregate principal amount of Securities of any Series outstanding at any time may not exceed any limit upon the maximum principal amount for such Series set forth in the Board Resolution, Officer’s Certificate or supplemental indenture delivered pursuant to Section 2.2.</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08" w:name="page109"/>
    <w:bookmarkEnd w:id="108"/>
    <w:p>
      <w:pPr>
        <w:ind w:right="80" w:firstLine="328"/>
        <w:spacing w:after="0" w:line="282" w:lineRule="auto"/>
        <w:rPr>
          <w:sz w:val="20"/>
          <w:szCs w:val="20"/>
          <w:color w:val="auto"/>
        </w:rPr>
      </w:pPr>
      <w:r>
        <w:rPr>
          <w:rFonts w:ascii="Arial" w:cs="Arial" w:eastAsia="Arial" w:hAnsi="Arial"/>
          <w:sz w:val="12"/>
          <w:szCs w:val="12"/>
          <w:color w:val="auto"/>
        </w:rPr>
        <w:t>Prior to the issuance of Securities of any Series, the Trustee shall have received and (subject to Section 7.2) shall be fully protected in relying on: (a) the Board Resolution, Officer’s Certificate or supplemental indenture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 With respect to Securities of a Series subject to a Periodic Offering, the Trustee conclusively may rely, as to the authorization by the Company of any of such Securities, the forms and terms thereof and the legality, validity, binding effect and enforceability thereof, upon the written order of the Company, Opinion of Counsel, Officer’s Certificate and other documents delivered pursuant to this Section 2.3 at or prior to the time of the first authentication of Securities of such Series unless and until such written order, Opinion of Counsel, Officer’s Certificate or other documents have been superseded or revoked, and written notice thereof is provided to Trustee, or expire by their terms.</w:t>
      </w:r>
    </w:p>
    <w:p>
      <w:pPr>
        <w:spacing w:after="0" w:line="49" w:lineRule="exact"/>
        <w:rPr>
          <w:sz w:val="20"/>
          <w:szCs w:val="20"/>
          <w:color w:val="auto"/>
        </w:rPr>
      </w:pPr>
    </w:p>
    <w:p>
      <w:pPr>
        <w:ind w:right="60" w:firstLine="325"/>
        <w:spacing w:after="0" w:line="320" w:lineRule="auto"/>
        <w:rPr>
          <w:sz w:val="20"/>
          <w:szCs w:val="20"/>
          <w:color w:val="auto"/>
        </w:rPr>
      </w:pPr>
      <w:r>
        <w:rPr>
          <w:rFonts w:ascii="Arial" w:cs="Arial" w:eastAsia="Arial" w:hAnsi="Arial"/>
          <w:sz w:val="12"/>
          <w:szCs w:val="12"/>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committee of Responsible Officers shall determine that such action would expose the Trustee to personal liability.</w:t>
      </w:r>
    </w:p>
    <w:p>
      <w:pPr>
        <w:spacing w:after="0" w:line="25" w:lineRule="exact"/>
        <w:rPr>
          <w:sz w:val="20"/>
          <w:szCs w:val="20"/>
          <w:color w:val="auto"/>
        </w:rPr>
      </w:pPr>
    </w:p>
    <w:p>
      <w:pPr>
        <w:ind w:right="40" w:firstLine="325"/>
        <w:spacing w:after="0" w:line="276" w:lineRule="auto"/>
        <w:rPr>
          <w:sz w:val="20"/>
          <w:szCs w:val="20"/>
          <w:color w:val="auto"/>
        </w:rPr>
      </w:pPr>
      <w:r>
        <w:rPr>
          <w:rFonts w:ascii="Arial" w:cs="Arial" w:eastAsia="Arial" w:hAnsi="Arial"/>
          <w:sz w:val="13"/>
          <w:szCs w:val="13"/>
          <w:color w:val="auto"/>
        </w:rPr>
        <w:t>The Trustee may appoint an authenticating agent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2.4. </w:t>
      </w:r>
      <w:r>
        <w:rPr>
          <w:rFonts w:ascii="Arial" w:cs="Arial" w:eastAsia="Arial" w:hAnsi="Arial"/>
          <w:sz w:val="13"/>
          <w:szCs w:val="13"/>
          <w:u w:val="single" w:color="auto"/>
          <w:color w:val="auto"/>
        </w:rPr>
        <w:t>Registrar, Paying Agent and Transfer Agent</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will maintain one or more paying agents (each, a “</w:t>
      </w:r>
      <w:r>
        <w:rPr>
          <w:rFonts w:ascii="Arial" w:cs="Arial" w:eastAsia="Arial" w:hAnsi="Arial"/>
          <w:sz w:val="12"/>
          <w:szCs w:val="12"/>
          <w:i w:val="1"/>
          <w:iCs w:val="1"/>
          <w:color w:val="auto"/>
        </w:rPr>
        <w:t>Paying Agent</w:t>
      </w:r>
      <w:r>
        <w:rPr>
          <w:rFonts w:ascii="Arial" w:cs="Arial" w:eastAsia="Arial" w:hAnsi="Arial"/>
          <w:sz w:val="12"/>
          <w:szCs w:val="12"/>
          <w:color w:val="auto"/>
        </w:rPr>
        <w:t>”) for the Securities in the Borough of Manhattan, City of New York. The initial Paying Agents will be [__________] and thereafter</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Paying Agent</w:t>
      </w:r>
      <w:r>
        <w:rPr>
          <w:rFonts w:ascii="Arial" w:cs="Arial" w:eastAsia="Arial" w:hAnsi="Arial"/>
          <w:sz w:val="13"/>
          <w:szCs w:val="13"/>
          <w:color w:val="auto"/>
        </w:rPr>
        <w:t>” shall mean or include each Person who is then a Paying Agent hereunder, and if at any time there is more than one such Person, “</w:t>
      </w:r>
      <w:r>
        <w:rPr>
          <w:rFonts w:ascii="Arial" w:cs="Arial" w:eastAsia="Arial" w:hAnsi="Arial"/>
          <w:sz w:val="13"/>
          <w:szCs w:val="13"/>
          <w:i w:val="1"/>
          <w:iCs w:val="1"/>
          <w:color w:val="auto"/>
        </w:rPr>
        <w:t>Paying Agent</w:t>
      </w:r>
      <w:r>
        <w:rPr>
          <w:rFonts w:ascii="Arial" w:cs="Arial" w:eastAsia="Arial" w:hAnsi="Arial"/>
          <w:sz w:val="13"/>
          <w:szCs w:val="13"/>
          <w:color w:val="auto"/>
        </w:rPr>
        <w:t>” as used with respect to the Securities of any Series shall mean the Paying Agent with respect to Securities of that Series. The Company, upon written notice to the Trustee accompanied by an Officer’s Certificate, may appoint one or more paying agents, other than the Trustee, for all or any series of the Securities. If the Company fails to appoint or maintain another entity as paying agent, the Trustee shall act as such. The Company or any of its Subsidiaries, upon notice to the Trustee, may act as paying agent.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will maintain one or more registrars (each, a “</w:t>
      </w:r>
      <w:r>
        <w:rPr>
          <w:rFonts w:ascii="Arial" w:cs="Arial" w:eastAsia="Arial" w:hAnsi="Arial"/>
          <w:sz w:val="12"/>
          <w:szCs w:val="12"/>
          <w:i w:val="1"/>
          <w:iCs w:val="1"/>
          <w:color w:val="auto"/>
        </w:rPr>
        <w:t>Registrar</w:t>
      </w:r>
      <w:r>
        <w:rPr>
          <w:rFonts w:ascii="Arial" w:cs="Arial" w:eastAsia="Arial" w:hAnsi="Arial"/>
          <w:sz w:val="12"/>
          <w:szCs w:val="12"/>
          <w:color w:val="auto"/>
        </w:rPr>
        <w:t>”) for the Securities in the Borough of Manhattan, City of New York. The initial Registrar will be [__________] and thereafter “</w:t>
      </w:r>
      <w:r>
        <w:rPr>
          <w:rFonts w:ascii="Arial" w:cs="Arial" w:eastAsia="Arial" w:hAnsi="Arial"/>
          <w:sz w:val="12"/>
          <w:szCs w:val="12"/>
          <w:i w:val="1"/>
          <w:iCs w:val="1"/>
          <w:color w:val="auto"/>
        </w:rPr>
        <w:t>Registrar</w:t>
      </w:r>
      <w:r>
        <w:rPr>
          <w:rFonts w:ascii="Arial" w:cs="Arial" w:eastAsia="Arial" w:hAnsi="Arial"/>
          <w:sz w:val="12"/>
          <w:szCs w:val="12"/>
          <w:color w:val="auto"/>
        </w:rPr>
        <w:t>”</w:t>
      </w:r>
    </w:p>
    <w:p>
      <w:pPr>
        <w:spacing w:after="0" w:line="27" w:lineRule="exact"/>
        <w:rPr>
          <w:sz w:val="20"/>
          <w:szCs w:val="20"/>
          <w:color w:val="auto"/>
        </w:rPr>
      </w:pPr>
    </w:p>
    <w:p>
      <w:pPr>
        <w:ind w:right="100"/>
        <w:spacing w:after="0" w:line="258" w:lineRule="auto"/>
        <w:rPr>
          <w:sz w:val="20"/>
          <w:szCs w:val="20"/>
          <w:color w:val="auto"/>
        </w:rPr>
      </w:pPr>
      <w:r>
        <w:rPr>
          <w:rFonts w:ascii="Arial" w:cs="Arial" w:eastAsia="Arial" w:hAnsi="Arial"/>
          <w:sz w:val="13"/>
          <w:szCs w:val="13"/>
          <w:color w:val="auto"/>
        </w:rPr>
        <w:t>shall mean or include each Person who is then a Registrar hereunder, and if at any time there is more than one such Person, “</w:t>
      </w:r>
      <w:r>
        <w:rPr>
          <w:rFonts w:ascii="Arial" w:cs="Arial" w:eastAsia="Arial" w:hAnsi="Arial"/>
          <w:sz w:val="13"/>
          <w:szCs w:val="13"/>
          <w:i w:val="1"/>
          <w:iCs w:val="1"/>
          <w:color w:val="auto"/>
        </w:rPr>
        <w:t>Registrar</w:t>
      </w:r>
      <w:r>
        <w:rPr>
          <w:rFonts w:ascii="Arial" w:cs="Arial" w:eastAsia="Arial" w:hAnsi="Arial"/>
          <w:sz w:val="13"/>
          <w:szCs w:val="13"/>
          <w:color w:val="auto"/>
        </w:rPr>
        <w:t>” as used with respect to the Securities of any Series shall mean the Registrar with respect to Securities of that Series. The Company, upon written notice to the Trustee accompanied by an Officer’s Certificate, may appoint one or more registrars, other than the Trustee, for all or any series of the Securities. If the Company fails to appoint or maintain another entity as registrar, the Trustee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color w:val="auto"/>
        </w:rPr>
        <w:t>shall act as such. The Company or any of its Subsidiaries, upon notice to the Trustee, may act as registrar.</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will also maintain a transfer agent (each, a “</w:t>
      </w:r>
      <w:r>
        <w:rPr>
          <w:rFonts w:ascii="Arial" w:cs="Arial" w:eastAsia="Arial" w:hAnsi="Arial"/>
          <w:sz w:val="12"/>
          <w:szCs w:val="12"/>
          <w:i w:val="1"/>
          <w:iCs w:val="1"/>
          <w:color w:val="auto"/>
        </w:rPr>
        <w:t>Transfer Agent</w:t>
      </w:r>
      <w:r>
        <w:rPr>
          <w:rFonts w:ascii="Arial" w:cs="Arial" w:eastAsia="Arial" w:hAnsi="Arial"/>
          <w:sz w:val="12"/>
          <w:szCs w:val="12"/>
          <w:color w:val="auto"/>
        </w:rPr>
        <w:t>”) for the Securities in the Borough of Manhattan, City of New York. The initial Transfer Agent will be [__________] and thereafter</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Transfer Agent</w:t>
      </w:r>
      <w:r>
        <w:rPr>
          <w:rFonts w:ascii="Arial" w:cs="Arial" w:eastAsia="Arial" w:hAnsi="Arial"/>
          <w:sz w:val="13"/>
          <w:szCs w:val="13"/>
          <w:color w:val="auto"/>
        </w:rPr>
        <w:t>” shall mean or include each Person who is then a Transfer Agent hereunder, and if at any time there is more than one such Person, “</w:t>
      </w:r>
      <w:r>
        <w:rPr>
          <w:rFonts w:ascii="Arial" w:cs="Arial" w:eastAsia="Arial" w:hAnsi="Arial"/>
          <w:sz w:val="13"/>
          <w:szCs w:val="13"/>
          <w:i w:val="1"/>
          <w:iCs w:val="1"/>
          <w:color w:val="auto"/>
        </w:rPr>
        <w:t>Transfer Agent</w:t>
      </w:r>
      <w:r>
        <w:rPr>
          <w:rFonts w:ascii="Arial" w:cs="Arial" w:eastAsia="Arial" w:hAnsi="Arial"/>
          <w:sz w:val="13"/>
          <w:szCs w:val="13"/>
          <w:color w:val="auto"/>
        </w:rPr>
        <w:t>” as used with respect to the Securities of any Series shall mean the Transfer Agent with respect to Securities of that Series. The Company, upon written notice to the Trustee accompanied by an Officer’s Certificate, may appoint one or more transfer agents, other than the Trustee, for all or any series of the Securities. If the Company fails to appoint or maintain another entity as transfer agent, the Trustee shall act as such. The Company or any of its Subsidiaries, upon notice to the Trustee, may act as transfer agent.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Company may change any Paying Agent, Registrar or Transfer Agent for its Securities without prior notice to the Holders.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2.5. </w:t>
      </w:r>
      <w:r>
        <w:rPr>
          <w:rFonts w:ascii="Arial" w:cs="Arial" w:eastAsia="Arial" w:hAnsi="Arial"/>
          <w:sz w:val="13"/>
          <w:szCs w:val="13"/>
          <w:u w:val="single" w:color="auto"/>
          <w:color w:val="auto"/>
        </w:rPr>
        <w:t>Paying Agent to Hold Money in Trust</w:t>
      </w:r>
      <w:r>
        <w:rPr>
          <w:rFonts w:ascii="Arial" w:cs="Arial" w:eastAsia="Arial" w:hAnsi="Arial"/>
          <w:sz w:val="13"/>
          <w:szCs w:val="13"/>
          <w:color w:val="auto"/>
        </w:rPr>
        <w:t>.</w:t>
      </w:r>
    </w:p>
    <w:p>
      <w:pPr>
        <w:spacing w:after="0" w:line="86" w:lineRule="exact"/>
        <w:rPr>
          <w:sz w:val="20"/>
          <w:szCs w:val="20"/>
          <w:color w:val="auto"/>
        </w:rPr>
      </w:pPr>
    </w:p>
    <w:p>
      <w:pPr>
        <w:ind w:firstLine="325"/>
        <w:spacing w:after="0" w:line="285" w:lineRule="auto"/>
        <w:rPr>
          <w:sz w:val="20"/>
          <w:szCs w:val="20"/>
          <w:color w:val="auto"/>
        </w:rPr>
      </w:pPr>
      <w:r>
        <w:rPr>
          <w:rFonts w:ascii="Arial" w:cs="Arial" w:eastAsia="Arial" w:hAnsi="Arial"/>
          <w:sz w:val="12"/>
          <w:szCs w:val="12"/>
          <w:color w:val="auto"/>
        </w:rPr>
        <w:t>The Company shall require each Paying Agent appointed by it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2.6. </w:t>
      </w:r>
      <w:r>
        <w:rPr>
          <w:rFonts w:ascii="Arial" w:cs="Arial" w:eastAsia="Arial" w:hAnsi="Arial"/>
          <w:sz w:val="13"/>
          <w:szCs w:val="13"/>
          <w:u w:val="single" w:color="auto"/>
          <w:color w:val="auto"/>
        </w:rPr>
        <w:t>Securityholder Lists</w:t>
      </w:r>
      <w:r>
        <w:rPr>
          <w:rFonts w:ascii="Arial" w:cs="Arial" w:eastAsia="Arial" w:hAnsi="Arial"/>
          <w:sz w:val="13"/>
          <w:szCs w:val="13"/>
          <w:color w:val="auto"/>
        </w:rPr>
        <w:t>.</w:t>
      </w:r>
    </w:p>
    <w:p>
      <w:pPr>
        <w:spacing w:after="0" w:line="86" w:lineRule="exact"/>
        <w:rPr>
          <w:sz w:val="20"/>
          <w:szCs w:val="20"/>
          <w:color w:val="auto"/>
        </w:rPr>
      </w:pPr>
    </w:p>
    <w:p>
      <w:pPr>
        <w:ind w:right="100" w:firstLine="325"/>
        <w:spacing w:after="0" w:line="264" w:lineRule="auto"/>
        <w:rPr>
          <w:sz w:val="20"/>
          <w:szCs w:val="20"/>
          <w:color w:val="auto"/>
        </w:rPr>
      </w:pPr>
      <w:r>
        <w:rPr>
          <w:rFonts w:ascii="Arial" w:cs="Arial" w:eastAsia="Arial" w:hAnsi="Arial"/>
          <w:sz w:val="13"/>
          <w:szCs w:val="13"/>
          <w:color w:val="auto"/>
        </w:rPr>
        <w:t>The Trustee shall preserve in as current a form as is reasonably practicable the most recent list available to it of the names and addresses of Securityholders of each Series of Securities.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2.7. </w:t>
      </w:r>
      <w:r>
        <w:rPr>
          <w:rFonts w:ascii="Arial" w:cs="Arial" w:eastAsia="Arial" w:hAnsi="Arial"/>
          <w:sz w:val="13"/>
          <w:szCs w:val="13"/>
          <w:u w:val="single" w:color="auto"/>
          <w:color w:val="auto"/>
        </w:rPr>
        <w:t>Transfer and Exchange</w:t>
      </w:r>
      <w:r>
        <w:rPr>
          <w:rFonts w:ascii="Arial" w:cs="Arial" w:eastAsia="Arial" w:hAnsi="Arial"/>
          <w:sz w:val="13"/>
          <w:szCs w:val="13"/>
          <w:color w:val="auto"/>
        </w:rPr>
        <w:t>.</w:t>
      </w:r>
    </w:p>
    <w:p>
      <w:pPr>
        <w:spacing w:after="0" w:line="86" w:lineRule="exact"/>
        <w:rPr>
          <w:sz w:val="20"/>
          <w:szCs w:val="20"/>
          <w:color w:val="auto"/>
        </w:rPr>
      </w:pPr>
    </w:p>
    <w:p>
      <w:pPr>
        <w:ind w:right="100" w:firstLine="325"/>
        <w:spacing w:after="0" w:line="264" w:lineRule="auto"/>
        <w:rPr>
          <w:sz w:val="20"/>
          <w:szCs w:val="20"/>
          <w:color w:val="auto"/>
        </w:rPr>
      </w:pPr>
      <w:r>
        <w:rPr>
          <w:rFonts w:ascii="Arial" w:cs="Arial" w:eastAsia="Arial" w:hAnsi="Arial"/>
          <w:sz w:val="13"/>
          <w:szCs w:val="13"/>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the requirements for such transactions set forth in this Indenture are met. To permit registrations of transfers and exchanges, the Trustee shall authenticate Securities at the Registrar’s request upon the Trustee’s receipt of a Company Order from the Company. No service charge shall be made for 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0" w:name="page111"/>
    <w:bookmarkEnd w:id="110"/>
    <w:p>
      <w:pPr>
        <w:ind w:right="340"/>
        <w:spacing w:after="0" w:line="276" w:lineRule="auto"/>
        <w:rPr>
          <w:sz w:val="20"/>
          <w:szCs w:val="20"/>
          <w:color w:val="auto"/>
        </w:rPr>
      </w:pPr>
      <w:r>
        <w:rPr>
          <w:rFonts w:ascii="Arial" w:cs="Arial" w:eastAsia="Arial" w:hAnsi="Arial"/>
          <w:sz w:val="13"/>
          <w:szCs w:val="13"/>
          <w:color w:val="auto"/>
        </w:rPr>
        <w:t>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49" w:lineRule="exact"/>
        <w:rPr>
          <w:sz w:val="20"/>
          <w:szCs w:val="20"/>
          <w:color w:val="auto"/>
        </w:rPr>
      </w:pPr>
    </w:p>
    <w:p>
      <w:pPr>
        <w:ind w:firstLine="328"/>
        <w:spacing w:after="0" w:line="296" w:lineRule="auto"/>
        <w:rPr>
          <w:sz w:val="20"/>
          <w:szCs w:val="20"/>
          <w:color w:val="auto"/>
        </w:rPr>
      </w:pPr>
      <w:r>
        <w:rPr>
          <w:rFonts w:ascii="Arial" w:cs="Arial" w:eastAsia="Arial" w:hAnsi="Arial"/>
          <w:sz w:val="12"/>
          <w:szCs w:val="12"/>
          <w:color w:val="auto"/>
        </w:rPr>
        <w:t>Neither the Company nor the Registrar shall be required (a) to issue, register the transfer of, or exchange Securities of any Series for the period beginning at the opening of business fifteen days immediately preceding the delivery of a notice of redemption of Securities of that Series selected for redemption and ending at the close of business on the day of such delivery, or (b) to register the transfer of or exchange Securities of any Series selected, called or being called for redemption as a whole or the portion being redeemed of any such Securities selected, called or being called for redemption in part.</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2.8. </w:t>
      </w:r>
      <w:r>
        <w:rPr>
          <w:rFonts w:ascii="Arial" w:cs="Arial" w:eastAsia="Arial" w:hAnsi="Arial"/>
          <w:sz w:val="13"/>
          <w:szCs w:val="13"/>
          <w:u w:val="single" w:color="auto"/>
          <w:color w:val="auto"/>
        </w:rPr>
        <w:t>Mutilated, Destroyed, Lost and Stolen Securities</w:t>
      </w:r>
      <w:r>
        <w:rPr>
          <w:rFonts w:ascii="Arial" w:cs="Arial" w:eastAsia="Arial" w:hAnsi="Arial"/>
          <w:sz w:val="13"/>
          <w:szCs w:val="13"/>
          <w:color w:val="auto"/>
        </w:rPr>
        <w:t>.</w:t>
      </w:r>
    </w:p>
    <w:p>
      <w:pPr>
        <w:spacing w:after="0" w:line="86" w:lineRule="exact"/>
        <w:rPr>
          <w:sz w:val="20"/>
          <w:szCs w:val="20"/>
          <w:color w:val="auto"/>
        </w:rPr>
      </w:pPr>
    </w:p>
    <w:p>
      <w:pPr>
        <w:ind w:right="360" w:firstLine="328"/>
        <w:spacing w:after="0" w:line="276" w:lineRule="auto"/>
        <w:rPr>
          <w:sz w:val="20"/>
          <w:szCs w:val="20"/>
          <w:color w:val="auto"/>
        </w:rPr>
      </w:pPr>
      <w:r>
        <w:rPr>
          <w:rFonts w:ascii="Arial" w:cs="Arial" w:eastAsia="Arial" w:hAnsi="Arial"/>
          <w:sz w:val="13"/>
          <w:szCs w:val="13"/>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49" w:lineRule="exact"/>
        <w:rPr>
          <w:sz w:val="20"/>
          <w:szCs w:val="20"/>
          <w:color w:val="auto"/>
        </w:rPr>
      </w:pPr>
    </w:p>
    <w:p>
      <w:pPr>
        <w:ind w:right="20" w:firstLine="328"/>
        <w:spacing w:after="0" w:line="260" w:lineRule="auto"/>
        <w:rPr>
          <w:sz w:val="20"/>
          <w:szCs w:val="20"/>
          <w:color w:val="auto"/>
        </w:rPr>
      </w:pPr>
      <w:r>
        <w:rPr>
          <w:rFonts w:ascii="Arial" w:cs="Arial" w:eastAsia="Arial" w:hAnsi="Arial"/>
          <w:sz w:val="13"/>
          <w:szCs w:val="13"/>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protected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 case any such mutilated, destroyed, lost or stolen Security has become or is about to become due and payable, the Company in its discretion may, instead of issuing a new Security, pay such Security.</w:t>
      </w:r>
    </w:p>
    <w:p>
      <w:pPr>
        <w:spacing w:after="0" w:line="98"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Upon the issuance of any new Security under this Section 2.8, the Company may require the payment of a sum sufficient to cover any tax or other governmental charge that may be imposed in relation thereto and any other expenses (including the fees and expenses of the Trustee) connected therewith.</w:t>
      </w:r>
    </w:p>
    <w:p>
      <w:pPr>
        <w:spacing w:after="0" w:line="49" w:lineRule="exact"/>
        <w:rPr>
          <w:sz w:val="20"/>
          <w:szCs w:val="20"/>
          <w:color w:val="auto"/>
        </w:rPr>
      </w:pPr>
    </w:p>
    <w:p>
      <w:pPr>
        <w:ind w:right="20" w:firstLine="328"/>
        <w:spacing w:after="0" w:line="264" w:lineRule="auto"/>
        <w:rPr>
          <w:sz w:val="20"/>
          <w:szCs w:val="20"/>
          <w:color w:val="auto"/>
        </w:rPr>
      </w:pPr>
      <w:r>
        <w:rPr>
          <w:rFonts w:ascii="Arial" w:cs="Arial" w:eastAsia="Arial" w:hAnsi="Arial"/>
          <w:sz w:val="13"/>
          <w:szCs w:val="13"/>
          <w:color w:val="auto"/>
        </w:rPr>
        <w:t>Every new Security of any Series issued pursuant to this Section 2.8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57"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The provisions of this Section 2.8 are exclusive and shall preclude (to the extent lawful) all other rights and remedies with respect to the replacement or payment of mutilated, destroyed, lost or stolen Securities.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11" w:name="page112"/>
    <w:bookmarkEnd w:id="111"/>
    <w:p>
      <w:pPr>
        <w:ind w:left="160"/>
        <w:spacing w:after="0"/>
        <w:rPr>
          <w:sz w:val="20"/>
          <w:szCs w:val="20"/>
          <w:color w:val="auto"/>
        </w:rPr>
      </w:pPr>
      <w:r>
        <w:rPr>
          <w:rFonts w:ascii="Arial" w:cs="Arial" w:eastAsia="Arial" w:hAnsi="Arial"/>
          <w:sz w:val="13"/>
          <w:szCs w:val="13"/>
          <w:color w:val="auto"/>
        </w:rPr>
        <w:t xml:space="preserve">Section 2.9. </w:t>
      </w:r>
      <w:r>
        <w:rPr>
          <w:rFonts w:ascii="Arial" w:cs="Arial" w:eastAsia="Arial" w:hAnsi="Arial"/>
          <w:sz w:val="13"/>
          <w:szCs w:val="13"/>
          <w:u w:val="single" w:color="auto"/>
          <w:color w:val="auto"/>
        </w:rPr>
        <w:t>Outstanding Securities</w:t>
      </w:r>
      <w:r>
        <w:rPr>
          <w:rFonts w:ascii="Arial" w:cs="Arial" w:eastAsia="Arial" w:hAnsi="Arial"/>
          <w:sz w:val="13"/>
          <w:szCs w:val="13"/>
          <w:color w:val="auto"/>
        </w:rPr>
        <w:t>.</w:t>
      </w:r>
    </w:p>
    <w:p>
      <w:pPr>
        <w:spacing w:after="0" w:line="86" w:lineRule="exact"/>
        <w:rPr>
          <w:sz w:val="20"/>
          <w:szCs w:val="20"/>
          <w:color w:val="auto"/>
        </w:rPr>
      </w:pPr>
    </w:p>
    <w:p>
      <w:pPr>
        <w:ind w:right="320" w:firstLine="325"/>
        <w:spacing w:after="0" w:line="276" w:lineRule="auto"/>
        <w:rPr>
          <w:sz w:val="20"/>
          <w:szCs w:val="20"/>
          <w:color w:val="auto"/>
        </w:rPr>
      </w:pPr>
      <w:r>
        <w:rPr>
          <w:rFonts w:ascii="Arial" w:cs="Arial" w:eastAsia="Arial" w:hAnsi="Arial"/>
          <w:sz w:val="13"/>
          <w:szCs w:val="13"/>
          <w:color w:val="auto"/>
        </w:rPr>
        <w:t>The Securities outstanding at any time are all the Securities authenticated by the Trustee except for those canceled by it, those delivered to it for cancellation, those reductions in the interest on a Security, if applicable, effected by the Trustee in accordance with the provisions hereof and those described in this Section 2.9 as not outstanding.</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If a Security is replaced pursuant to Section 2.8, it ceases to be outstanding until the Trustee receives proof satisfactory to it that the replaced Security is held by a protected purchaser.</w:t>
      </w:r>
    </w:p>
    <w:p>
      <w:pPr>
        <w:spacing w:after="0" w:line="86"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49" w:lineRule="exact"/>
        <w:rPr>
          <w:sz w:val="20"/>
          <w:szCs w:val="20"/>
          <w:color w:val="auto"/>
        </w:rPr>
      </w:pPr>
    </w:p>
    <w:p>
      <w:pPr>
        <w:ind w:right="40" w:firstLine="325"/>
        <w:spacing w:after="0" w:line="276" w:lineRule="auto"/>
        <w:rPr>
          <w:sz w:val="20"/>
          <w:szCs w:val="20"/>
          <w:color w:val="auto"/>
        </w:rPr>
      </w:pPr>
      <w:r>
        <w:rPr>
          <w:rFonts w:ascii="Arial" w:cs="Arial" w:eastAsia="Arial" w:hAnsi="Arial"/>
          <w:sz w:val="13"/>
          <w:szCs w:val="13"/>
          <w:color w:val="auto"/>
        </w:rPr>
        <w:t>The Company may purchase or otherwise acquire the Securities, whether by open market purchases, negotiated transactions or otherwise. A Security does not cease to be outstanding because the Company or an Affiliate of the Company holds the Security.</w:t>
      </w:r>
    </w:p>
    <w:p>
      <w:pPr>
        <w:spacing w:after="0" w:line="49" w:lineRule="exact"/>
        <w:rPr>
          <w:sz w:val="20"/>
          <w:szCs w:val="20"/>
          <w:color w:val="auto"/>
        </w:rPr>
      </w:pPr>
    </w:p>
    <w:p>
      <w:pPr>
        <w:ind w:right="20" w:firstLine="328"/>
        <w:spacing w:after="0" w:line="264" w:lineRule="auto"/>
        <w:rPr>
          <w:sz w:val="20"/>
          <w:szCs w:val="20"/>
          <w:color w:val="auto"/>
        </w:rPr>
      </w:pPr>
      <w:r>
        <w:rPr>
          <w:rFonts w:ascii="Arial" w:cs="Arial" w:eastAsia="Arial" w:hAnsi="Arial"/>
          <w:sz w:val="13"/>
          <w:szCs w:val="13"/>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2.10. </w:t>
      </w:r>
      <w:r>
        <w:rPr>
          <w:rFonts w:ascii="Arial" w:cs="Arial" w:eastAsia="Arial" w:hAnsi="Arial"/>
          <w:sz w:val="13"/>
          <w:szCs w:val="13"/>
          <w:u w:val="single" w:color="auto"/>
          <w:color w:val="auto"/>
        </w:rPr>
        <w:t>Treasury Securities</w:t>
      </w:r>
      <w:r>
        <w:rPr>
          <w:rFonts w:ascii="Arial" w:cs="Arial" w:eastAsia="Arial" w:hAnsi="Arial"/>
          <w:sz w:val="13"/>
          <w:szCs w:val="13"/>
          <w:color w:val="auto"/>
        </w:rPr>
        <w:t>.</w:t>
      </w:r>
    </w:p>
    <w:p>
      <w:pPr>
        <w:spacing w:after="0" w:line="86" w:lineRule="exact"/>
        <w:rPr>
          <w:sz w:val="20"/>
          <w:szCs w:val="20"/>
          <w:color w:val="auto"/>
        </w:rPr>
      </w:pPr>
    </w:p>
    <w:p>
      <w:pPr>
        <w:ind w:right="120" w:firstLine="328"/>
        <w:spacing w:after="0" w:line="264" w:lineRule="auto"/>
        <w:rPr>
          <w:sz w:val="20"/>
          <w:szCs w:val="20"/>
          <w:color w:val="auto"/>
        </w:rPr>
      </w:pPr>
      <w:r>
        <w:rPr>
          <w:rFonts w:ascii="Arial" w:cs="Arial" w:eastAsia="Arial" w:hAnsi="Arial"/>
          <w:sz w:val="13"/>
          <w:szCs w:val="13"/>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2.11. </w:t>
      </w:r>
      <w:r>
        <w:rPr>
          <w:rFonts w:ascii="Arial" w:cs="Arial" w:eastAsia="Arial" w:hAnsi="Arial"/>
          <w:sz w:val="13"/>
          <w:szCs w:val="13"/>
          <w:u w:val="single" w:color="auto"/>
          <w:color w:val="auto"/>
        </w:rPr>
        <w:t>Temporary Securities</w:t>
      </w:r>
      <w:r>
        <w:rPr>
          <w:rFonts w:ascii="Arial" w:cs="Arial" w:eastAsia="Arial" w:hAnsi="Arial"/>
          <w:sz w:val="13"/>
          <w:szCs w:val="13"/>
          <w:color w:val="auto"/>
        </w:rPr>
        <w:t>.</w:t>
      </w:r>
    </w:p>
    <w:p>
      <w:pPr>
        <w:spacing w:after="0" w:line="86" w:lineRule="exact"/>
        <w:rPr>
          <w:sz w:val="20"/>
          <w:szCs w:val="20"/>
          <w:color w:val="auto"/>
        </w:rPr>
      </w:pPr>
    </w:p>
    <w:p>
      <w:pPr>
        <w:jc w:val="both"/>
        <w:ind w:firstLine="328"/>
        <w:spacing w:after="0" w:line="334" w:lineRule="auto"/>
        <w:rPr>
          <w:sz w:val="20"/>
          <w:szCs w:val="20"/>
          <w:color w:val="auto"/>
        </w:rPr>
      </w:pPr>
      <w:r>
        <w:rPr>
          <w:rFonts w:ascii="Arial" w:cs="Arial" w:eastAsia="Arial" w:hAnsi="Arial"/>
          <w:sz w:val="11"/>
          <w:szCs w:val="11"/>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112" w:name="page113"/>
    <w:bookmarkEnd w:id="112"/>
    <w:p>
      <w:pPr>
        <w:ind w:left="160"/>
        <w:spacing w:after="0"/>
        <w:rPr>
          <w:sz w:val="20"/>
          <w:szCs w:val="20"/>
          <w:color w:val="auto"/>
        </w:rPr>
      </w:pPr>
      <w:r>
        <w:rPr>
          <w:rFonts w:ascii="Arial" w:cs="Arial" w:eastAsia="Arial" w:hAnsi="Arial"/>
          <w:sz w:val="13"/>
          <w:szCs w:val="13"/>
          <w:color w:val="auto"/>
        </w:rPr>
        <w:t xml:space="preserve">Section 2.12. </w:t>
      </w:r>
      <w:r>
        <w:rPr>
          <w:rFonts w:ascii="Arial" w:cs="Arial" w:eastAsia="Arial" w:hAnsi="Arial"/>
          <w:sz w:val="13"/>
          <w:szCs w:val="13"/>
          <w:u w:val="single" w:color="auto"/>
          <w:color w:val="auto"/>
        </w:rPr>
        <w:t>Cancellation</w:t>
      </w:r>
      <w:r>
        <w:rPr>
          <w:rFonts w:ascii="Arial" w:cs="Arial" w:eastAsia="Arial" w:hAnsi="Arial"/>
          <w:sz w:val="13"/>
          <w:szCs w:val="13"/>
          <w:color w:val="auto"/>
        </w:rPr>
        <w:t>.</w:t>
      </w:r>
    </w:p>
    <w:p>
      <w:pPr>
        <w:spacing w:after="0" w:line="86" w:lineRule="exact"/>
        <w:rPr>
          <w:sz w:val="20"/>
          <w:szCs w:val="20"/>
          <w:color w:val="auto"/>
        </w:rPr>
      </w:pPr>
    </w:p>
    <w:p>
      <w:pPr>
        <w:ind w:right="120" w:firstLine="325"/>
        <w:spacing w:after="0" w:line="260" w:lineRule="auto"/>
        <w:rPr>
          <w:sz w:val="20"/>
          <w:szCs w:val="20"/>
          <w:color w:val="auto"/>
        </w:rPr>
      </w:pPr>
      <w:r>
        <w:rPr>
          <w:rFonts w:ascii="Arial" w:cs="Arial" w:eastAsia="Arial" w:hAnsi="Arial"/>
          <w:sz w:val="13"/>
          <w:szCs w:val="13"/>
          <w:color w:val="auto"/>
        </w:rPr>
        <w:t>The Company at any time may deliver Securities to the Trustee for cancellation. The Agents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deliver a certificate of such destruction to the Company unless the Company otherwise directs. The Company may not issue new Securities to replace Securities that it has paid or delivered to the Trustee for cancellation.</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2.13. </w:t>
      </w:r>
      <w:r>
        <w:rPr>
          <w:rFonts w:ascii="Arial" w:cs="Arial" w:eastAsia="Arial" w:hAnsi="Arial"/>
          <w:sz w:val="13"/>
          <w:szCs w:val="13"/>
          <w:u w:val="single" w:color="auto"/>
          <w:color w:val="auto"/>
        </w:rPr>
        <w:t>Defaulted Interest</w:t>
      </w:r>
      <w:r>
        <w:rPr>
          <w:rFonts w:ascii="Arial" w:cs="Arial" w:eastAsia="Arial" w:hAnsi="Arial"/>
          <w:sz w:val="13"/>
          <w:szCs w:val="13"/>
          <w:color w:val="auto"/>
        </w:rPr>
        <w:t>.</w:t>
      </w:r>
    </w:p>
    <w:p>
      <w:pPr>
        <w:spacing w:after="0" w:line="86" w:lineRule="exact"/>
        <w:rPr>
          <w:sz w:val="20"/>
          <w:szCs w:val="20"/>
          <w:color w:val="auto"/>
        </w:rPr>
      </w:pPr>
    </w:p>
    <w:p>
      <w:pPr>
        <w:jc w:val="both"/>
        <w:ind w:right="120" w:firstLine="328"/>
        <w:spacing w:after="0" w:line="296" w:lineRule="auto"/>
        <w:rPr>
          <w:sz w:val="20"/>
          <w:szCs w:val="20"/>
          <w:color w:val="auto"/>
        </w:rPr>
      </w:pPr>
      <w:r>
        <w:rPr>
          <w:rFonts w:ascii="Arial" w:cs="Arial" w:eastAsia="Arial" w:hAnsi="Arial"/>
          <w:sz w:val="12"/>
          <w:szCs w:val="12"/>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deliver to the Trustee and to each Securityholder of the Series a notice that states the record date, the payment date and the amount of interest to be paid. The Company may pay defaulted interest in any other lawful manner.</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2.14. </w:t>
      </w:r>
      <w:r>
        <w:rPr>
          <w:rFonts w:ascii="Arial" w:cs="Arial" w:eastAsia="Arial" w:hAnsi="Arial"/>
          <w:sz w:val="13"/>
          <w:szCs w:val="13"/>
          <w:u w:val="single" w:color="auto"/>
          <w:color w:val="auto"/>
        </w:rPr>
        <w:t>Global Securities</w:t>
      </w:r>
      <w:r>
        <w:rPr>
          <w:rFonts w:ascii="Arial" w:cs="Arial" w:eastAsia="Arial" w:hAnsi="Arial"/>
          <w:sz w:val="13"/>
          <w:szCs w:val="13"/>
          <w:color w:val="auto"/>
        </w:rPr>
        <w:t>.</w:t>
      </w:r>
    </w:p>
    <w:p>
      <w:pPr>
        <w:spacing w:after="0" w:line="86" w:lineRule="exact"/>
        <w:rPr>
          <w:sz w:val="20"/>
          <w:szCs w:val="20"/>
          <w:color w:val="auto"/>
        </w:rPr>
      </w:pPr>
    </w:p>
    <w:p>
      <w:pPr>
        <w:ind w:right="20" w:firstLine="328"/>
        <w:spacing w:after="0" w:line="257" w:lineRule="auto"/>
        <w:rPr>
          <w:sz w:val="20"/>
          <w:szCs w:val="20"/>
          <w:color w:val="auto"/>
        </w:rPr>
      </w:pPr>
      <w:r>
        <w:rPr>
          <w:rFonts w:ascii="Arial" w:cs="Arial" w:eastAsia="Arial" w:hAnsi="Arial"/>
          <w:sz w:val="13"/>
          <w:szCs w:val="13"/>
          <w:color w:val="auto"/>
        </w:rPr>
        <w:t xml:space="preserve">2.14.1. </w:t>
      </w:r>
      <w:r>
        <w:rPr>
          <w:rFonts w:ascii="Arial" w:cs="Arial" w:eastAsia="Arial" w:hAnsi="Arial"/>
          <w:sz w:val="13"/>
          <w:szCs w:val="13"/>
          <w:u w:val="single" w:color="auto"/>
          <w:color w:val="auto"/>
        </w:rPr>
        <w:t>Transfer and Exchange</w:t>
      </w:r>
      <w:r>
        <w:rPr>
          <w:rFonts w:ascii="Arial" w:cs="Arial" w:eastAsia="Arial" w:hAnsi="Arial"/>
          <w:sz w:val="13"/>
          <w:szCs w:val="13"/>
          <w:color w:val="auto"/>
        </w:rPr>
        <w:t>. Notwithstanding any provisions to the contrary contained in Section 2.7 of this Indenture and in addition thereto, any Global Security shall be exchangeable pursuant to Section 2.7 of this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62" w:lineRule="exact"/>
        <w:rPr>
          <w:sz w:val="20"/>
          <w:szCs w:val="20"/>
          <w:color w:val="auto"/>
        </w:rPr>
      </w:pPr>
    </w:p>
    <w:p>
      <w:pPr>
        <w:ind w:firstLine="328"/>
        <w:spacing w:after="0" w:line="320" w:lineRule="auto"/>
        <w:rPr>
          <w:sz w:val="20"/>
          <w:szCs w:val="20"/>
          <w:color w:val="auto"/>
        </w:rPr>
      </w:pPr>
      <w:r>
        <w:rPr>
          <w:rFonts w:ascii="Arial" w:cs="Arial" w:eastAsia="Arial" w:hAnsi="Arial"/>
          <w:sz w:val="12"/>
          <w:szCs w:val="12"/>
          <w:color w:val="auto"/>
        </w:rPr>
        <w:t>Except as provided in this Section 2.14.1,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25" w:lineRule="exact"/>
        <w:rPr>
          <w:sz w:val="20"/>
          <w:szCs w:val="20"/>
          <w:color w:val="auto"/>
        </w:rPr>
      </w:pPr>
    </w:p>
    <w:p>
      <w:pPr>
        <w:ind w:right="60" w:firstLine="328"/>
        <w:spacing w:after="0" w:line="264" w:lineRule="auto"/>
        <w:rPr>
          <w:sz w:val="20"/>
          <w:szCs w:val="20"/>
          <w:color w:val="auto"/>
        </w:rPr>
      </w:pPr>
      <w:r>
        <w:rPr>
          <w:rFonts w:ascii="Arial" w:cs="Arial" w:eastAsia="Arial" w:hAnsi="Arial"/>
          <w:sz w:val="13"/>
          <w:szCs w:val="13"/>
          <w:color w:val="auto"/>
        </w:rPr>
        <w:t>Neither the Trustee nor any Agent shall have any obligation or duty to monitor, determine or inquire as to compliance with any tax or securities laws with respect to any restrictions on transfer imposed under this Indenture or under applicable law (including any transfers between or among Depositary participants, members or beneficial owners in any Global Security) other than to require delivery of such certificates and other documentation or evidence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3" w:name="page114"/>
    <w:bookmarkEnd w:id="113"/>
    <w:p>
      <w:pPr>
        <w:spacing w:after="0"/>
        <w:rPr>
          <w:sz w:val="20"/>
          <w:szCs w:val="20"/>
          <w:color w:val="auto"/>
        </w:rPr>
      </w:pPr>
      <w:r>
        <w:rPr>
          <w:rFonts w:ascii="Arial" w:cs="Arial" w:eastAsia="Arial" w:hAnsi="Arial"/>
          <w:sz w:val="11"/>
          <w:szCs w:val="11"/>
          <w:color w:val="auto"/>
        </w:rPr>
        <w:t>as are expressly required by, and to do so if and when expressly required by, the terms of this Indenture, and to examine the same to determine substantial compliance as to form with the express requirements hereof.</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2.14.2. </w:t>
      </w:r>
      <w:r>
        <w:rPr>
          <w:rFonts w:ascii="Arial" w:cs="Arial" w:eastAsia="Arial" w:hAnsi="Arial"/>
          <w:sz w:val="13"/>
          <w:szCs w:val="13"/>
          <w:u w:val="single" w:color="auto"/>
          <w:color w:val="auto"/>
        </w:rPr>
        <w:t>Legend</w:t>
      </w:r>
      <w:r>
        <w:rPr>
          <w:rFonts w:ascii="Arial" w:cs="Arial" w:eastAsia="Arial" w:hAnsi="Arial"/>
          <w:sz w:val="13"/>
          <w:szCs w:val="13"/>
          <w:color w:val="auto"/>
        </w:rPr>
        <w:t>. Any Global Security issued hereunder shall bear a legend in substantially the following form:</w:t>
      </w:r>
    </w:p>
    <w:p>
      <w:pPr>
        <w:spacing w:after="0" w:line="86" w:lineRule="exact"/>
        <w:rPr>
          <w:sz w:val="20"/>
          <w:szCs w:val="20"/>
          <w:color w:val="auto"/>
        </w:rPr>
      </w:pPr>
    </w:p>
    <w:p>
      <w:pPr>
        <w:ind w:right="20" w:firstLine="328"/>
        <w:spacing w:after="0" w:line="258" w:lineRule="auto"/>
        <w:rPr>
          <w:sz w:val="20"/>
          <w:szCs w:val="20"/>
          <w:color w:val="auto"/>
        </w:rPr>
      </w:pPr>
      <w:r>
        <w:rPr>
          <w:rFonts w:ascii="Arial" w:cs="Arial" w:eastAsia="Arial" w:hAnsi="Arial"/>
          <w:sz w:val="13"/>
          <w:szCs w:val="13"/>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61" w:lineRule="exact"/>
        <w:rPr>
          <w:sz w:val="20"/>
          <w:szCs w:val="20"/>
          <w:color w:val="auto"/>
        </w:rPr>
      </w:pPr>
    </w:p>
    <w:p>
      <w:pPr>
        <w:ind w:right="120" w:firstLine="328"/>
        <w:spacing w:after="0" w:line="276" w:lineRule="auto"/>
        <w:rPr>
          <w:sz w:val="20"/>
          <w:szCs w:val="20"/>
          <w:color w:val="auto"/>
        </w:rPr>
      </w:pPr>
      <w:r>
        <w:rPr>
          <w:rFonts w:ascii="Arial" w:cs="Arial" w:eastAsia="Arial" w:hAnsi="Arial"/>
          <w:sz w:val="13"/>
          <w:szCs w:val="13"/>
          <w:color w:val="auto"/>
        </w:rPr>
        <w:t xml:space="preserve">2.14.3. </w:t>
      </w:r>
      <w:r>
        <w:rPr>
          <w:rFonts w:ascii="Arial" w:cs="Arial" w:eastAsia="Arial" w:hAnsi="Arial"/>
          <w:sz w:val="13"/>
          <w:szCs w:val="13"/>
          <w:u w:val="single" w:color="auto"/>
          <w:color w:val="auto"/>
        </w:rPr>
        <w:t>Acts of Holders</w:t>
      </w:r>
      <w:r>
        <w:rPr>
          <w:rFonts w:ascii="Arial" w:cs="Arial" w:eastAsia="Arial" w:hAnsi="Arial"/>
          <w:sz w:val="13"/>
          <w:szCs w:val="13"/>
          <w:color w:val="auto"/>
        </w:rPr>
        <w:t>. The Depositary, as a Holder, may appoint agents and otherwise authorize participants to give or take any request, demand, authorization, direction, notice, consent, waiver or other action which a Holder is entitled to give or take under this Indenture.</w:t>
      </w:r>
    </w:p>
    <w:p>
      <w:pPr>
        <w:spacing w:after="0" w:line="49"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2.14.4. </w:t>
      </w:r>
      <w:r>
        <w:rPr>
          <w:rFonts w:ascii="Arial" w:cs="Arial" w:eastAsia="Arial" w:hAnsi="Arial"/>
          <w:sz w:val="13"/>
          <w:szCs w:val="13"/>
          <w:u w:val="single" w:color="auto"/>
          <w:color w:val="auto"/>
        </w:rPr>
        <w:t>Payments</w:t>
      </w:r>
      <w:r>
        <w:rPr>
          <w:rFonts w:ascii="Arial" w:cs="Arial" w:eastAsia="Arial" w:hAnsi="Arial"/>
          <w:sz w:val="13"/>
          <w:szCs w:val="13"/>
          <w:color w:val="auto"/>
        </w:rPr>
        <w:t>. Notwithstanding the other provisions of this Indenture, unless otherwise specified as contemplated by Section 2.2, payment of the principal of and interest, if any, on any Global Security shall be made to the Holder thereof, which in the case of a Depositary therefore will be made in accordance with its applicable procedures.</w:t>
      </w:r>
    </w:p>
    <w:p>
      <w:pPr>
        <w:spacing w:after="0" w:line="49" w:lineRule="exact"/>
        <w:rPr>
          <w:sz w:val="20"/>
          <w:szCs w:val="20"/>
          <w:color w:val="auto"/>
        </w:rPr>
      </w:pPr>
    </w:p>
    <w:p>
      <w:pPr>
        <w:ind w:right="200" w:firstLine="328"/>
        <w:spacing w:after="0" w:line="276" w:lineRule="auto"/>
        <w:rPr>
          <w:sz w:val="20"/>
          <w:szCs w:val="20"/>
          <w:color w:val="auto"/>
        </w:rPr>
      </w:pPr>
      <w:r>
        <w:rPr>
          <w:rFonts w:ascii="Arial" w:cs="Arial" w:eastAsia="Arial" w:hAnsi="Arial"/>
          <w:sz w:val="13"/>
          <w:szCs w:val="13"/>
          <w:color w:val="auto"/>
        </w:rPr>
        <w:t xml:space="preserve">2.14.5. </w:t>
      </w:r>
      <w:r>
        <w:rPr>
          <w:rFonts w:ascii="Arial" w:cs="Arial" w:eastAsia="Arial" w:hAnsi="Arial"/>
          <w:sz w:val="13"/>
          <w:szCs w:val="13"/>
          <w:u w:val="single" w:color="auto"/>
          <w:color w:val="auto"/>
        </w:rPr>
        <w:t>Holders</w:t>
      </w:r>
      <w:r>
        <w:rPr>
          <w:rFonts w:ascii="Arial" w:cs="Arial" w:eastAsia="Arial" w:hAnsi="Arial"/>
          <w:sz w:val="13"/>
          <w:szCs w:val="13"/>
          <w:color w:val="auto"/>
        </w:rPr>
        <w:t>. The Company, the Trustee and each Agent shall treat the Person in whose name any Security is registered in the register maintained by the Registrar as the Holder for all purposes including for purposes of obtaining any consents, declarations, waivers or directions permitted or required to be given by the Holders pursuant to this Indenture.</w:t>
      </w:r>
    </w:p>
    <w:p>
      <w:pPr>
        <w:spacing w:after="0" w:line="49" w:lineRule="exact"/>
        <w:rPr>
          <w:sz w:val="20"/>
          <w:szCs w:val="20"/>
          <w:color w:val="auto"/>
        </w:rPr>
      </w:pPr>
    </w:p>
    <w:p>
      <w:pPr>
        <w:ind w:right="40" w:firstLine="328"/>
        <w:spacing w:after="0" w:line="282" w:lineRule="auto"/>
        <w:rPr>
          <w:sz w:val="20"/>
          <w:szCs w:val="20"/>
          <w:color w:val="auto"/>
        </w:rPr>
      </w:pPr>
      <w:r>
        <w:rPr>
          <w:rFonts w:ascii="Arial" w:cs="Arial" w:eastAsia="Arial" w:hAnsi="Arial"/>
          <w:sz w:val="12"/>
          <w:szCs w:val="12"/>
          <w:color w:val="auto"/>
        </w:rPr>
        <w:t>2.14.6. None of the Trustee or any Agent shall have any responsibility or obligation to any beneficial owner of an interest in a Global Security, a member of, or a participant in, the Depositary or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redemption) or the payment of any amount or delivery of any Securities (or other security or property) under or with respect to such Securities. All notices and communications to be given to the Holders and all payments to be made to Holders with respect to the Securities shall be given or made only to or upon the order of the registered Holders (which shall be the Depositary or its nominee in the case of a Global Security). The rights of beneficial owners in any Global Security shall be exercised only through the Depositary subject to the applicable rules and procedures of the Depositary. The Trustee and each Agent may rely and shall be fully protected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4" w:name="page115"/>
    <w:bookmarkEnd w:id="114"/>
    <w:p>
      <w:pPr>
        <w:spacing w:after="0"/>
        <w:rPr>
          <w:sz w:val="20"/>
          <w:szCs w:val="20"/>
          <w:color w:val="auto"/>
        </w:rPr>
      </w:pPr>
      <w:r>
        <w:rPr>
          <w:rFonts w:ascii="Arial" w:cs="Arial" w:eastAsia="Arial" w:hAnsi="Arial"/>
          <w:sz w:val="13"/>
          <w:szCs w:val="13"/>
          <w:color w:val="auto"/>
        </w:rPr>
        <w:t>in relying upon information furnished by the Depositary with respect to its members, participants and any beneficial owners.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2.15. </w:t>
      </w:r>
      <w:r>
        <w:rPr>
          <w:rFonts w:ascii="Arial" w:cs="Arial" w:eastAsia="Arial" w:hAnsi="Arial"/>
          <w:sz w:val="13"/>
          <w:szCs w:val="13"/>
          <w:u w:val="single" w:color="auto"/>
          <w:color w:val="auto"/>
        </w:rPr>
        <w:t>CUSIP Numbers</w:t>
      </w:r>
      <w:r>
        <w:rPr>
          <w:rFonts w:ascii="Arial" w:cs="Arial" w:eastAsia="Arial" w:hAnsi="Arial"/>
          <w:sz w:val="13"/>
          <w:szCs w:val="13"/>
          <w:color w:val="auto"/>
        </w:rPr>
        <w:t>.</w:t>
      </w:r>
    </w:p>
    <w:p>
      <w:pPr>
        <w:spacing w:after="0" w:line="86" w:lineRule="exact"/>
        <w:rPr>
          <w:sz w:val="20"/>
          <w:szCs w:val="20"/>
          <w:color w:val="auto"/>
        </w:rPr>
      </w:pPr>
    </w:p>
    <w:p>
      <w:pPr>
        <w:ind w:firstLine="325"/>
        <w:spacing w:after="0" w:line="334" w:lineRule="auto"/>
        <w:rPr>
          <w:sz w:val="20"/>
          <w:szCs w:val="20"/>
          <w:color w:val="auto"/>
        </w:rPr>
      </w:pPr>
      <w:r>
        <w:rPr>
          <w:rFonts w:ascii="Arial" w:cs="Arial" w:eastAsia="Arial" w:hAnsi="Arial"/>
          <w:sz w:val="11"/>
          <w:szCs w:val="11"/>
          <w:color w:val="auto"/>
        </w:rPr>
        <w:t xml:space="preserve">The Company in issuing the Securities may use “CUSIP,” “ISIN” and or “Common Code” numbers (if then generally in use), and, if so, the Trustee shall use “CUSIP,” “ISIN” and or “Common Code” numbers in notices of redemption as a convenience to Holders;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REDEMPTION</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3.1. </w:t>
      </w:r>
      <w:r>
        <w:rPr>
          <w:rFonts w:ascii="Arial" w:cs="Arial" w:eastAsia="Arial" w:hAnsi="Arial"/>
          <w:sz w:val="13"/>
          <w:szCs w:val="13"/>
          <w:u w:val="single" w:color="auto"/>
          <w:color w:val="auto"/>
        </w:rPr>
        <w:t>Notice to Trustee; No Liability for Calculations</w:t>
      </w:r>
      <w:r>
        <w:rPr>
          <w:rFonts w:ascii="Arial" w:cs="Arial" w:eastAsia="Arial" w:hAnsi="Arial"/>
          <w:sz w:val="13"/>
          <w:szCs w:val="13"/>
          <w:color w:val="auto"/>
        </w:rPr>
        <w:t>.</w:t>
      </w:r>
    </w:p>
    <w:p>
      <w:pPr>
        <w:spacing w:after="0" w:line="86" w:lineRule="exact"/>
        <w:rPr>
          <w:sz w:val="20"/>
          <w:szCs w:val="20"/>
          <w:color w:val="auto"/>
        </w:rPr>
      </w:pPr>
    </w:p>
    <w:p>
      <w:pPr>
        <w:ind w:right="20" w:firstLine="325"/>
        <w:spacing w:after="0" w:line="285" w:lineRule="auto"/>
        <w:rPr>
          <w:sz w:val="20"/>
          <w:szCs w:val="20"/>
          <w:color w:val="auto"/>
        </w:rPr>
      </w:pPr>
      <w:r>
        <w:rPr>
          <w:rFonts w:ascii="Arial" w:cs="Arial" w:eastAsia="Arial" w:hAnsi="Arial"/>
          <w:sz w:val="12"/>
          <w:szCs w:val="12"/>
          <w:color w:val="auto"/>
        </w:rPr>
        <w:t>The Company may, with respect to any Series of Securities, reserve the right to redeem and pay such Series of Securities or may covenant to redeem and pay such Series of Securities or any part thereof prior to the Stated Maturity thereof at such time and on such terms as provided for in Sections 3.9 and 3.10 hereof or, as applicable, in the Board Resolution, Officer’s Certificate or supplemental indenture relating to such Series.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at least 40 days before a redemption date (or such shorter notice as may be acceptable to the Trustee). The Trustee shall have no liability with respect to or obligation to calculate the redemption price of any Securities to be redeemed pursuant to this Indenture.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3.2. </w:t>
      </w:r>
      <w:r>
        <w:rPr>
          <w:rFonts w:ascii="Arial" w:cs="Arial" w:eastAsia="Arial" w:hAnsi="Arial"/>
          <w:sz w:val="13"/>
          <w:szCs w:val="13"/>
          <w:u w:val="single" w:color="auto"/>
          <w:color w:val="auto"/>
        </w:rPr>
        <w:t>Selection of Securities to be Redeemed</w:t>
      </w:r>
      <w:r>
        <w:rPr>
          <w:rFonts w:ascii="Arial" w:cs="Arial" w:eastAsia="Arial" w:hAnsi="Arial"/>
          <w:sz w:val="13"/>
          <w:szCs w:val="13"/>
          <w:color w:val="auto"/>
        </w:rPr>
        <w:t>.</w:t>
      </w:r>
    </w:p>
    <w:p>
      <w:pPr>
        <w:spacing w:after="0" w:line="86" w:lineRule="exact"/>
        <w:rPr>
          <w:sz w:val="20"/>
          <w:szCs w:val="20"/>
          <w:color w:val="auto"/>
        </w:rPr>
      </w:pPr>
    </w:p>
    <w:p>
      <w:pPr>
        <w:ind w:right="60" w:firstLine="328"/>
        <w:spacing w:after="0" w:line="334" w:lineRule="auto"/>
        <w:rPr>
          <w:sz w:val="20"/>
          <w:szCs w:val="20"/>
          <w:color w:val="auto"/>
        </w:rPr>
      </w:pPr>
      <w:r>
        <w:rPr>
          <w:rFonts w:ascii="Arial" w:cs="Arial" w:eastAsia="Arial" w:hAnsi="Arial"/>
          <w:sz w:val="11"/>
          <w:szCs w:val="11"/>
          <w:color w:val="auto"/>
        </w:rPr>
        <w:t xml:space="preserve">Unless otherwise indicated for a particular Series by a Board Resolution, Officer’s Certificate or a supplemental indenture, if less than all of the Securities of a Series are to be redeemed at any time, the Trustee will select the Securities of a Series to be redeemed on a </w:t>
      </w:r>
      <w:r>
        <w:rPr>
          <w:rFonts w:ascii="Arial" w:cs="Arial" w:eastAsia="Arial" w:hAnsi="Arial"/>
          <w:sz w:val="11"/>
          <w:szCs w:val="11"/>
          <w:i w:val="1"/>
          <w:iCs w:val="1"/>
          <w:color w:val="auto"/>
        </w:rPr>
        <w:t>pro rata</w:t>
      </w:r>
      <w:r>
        <w:rPr>
          <w:rFonts w:ascii="Arial" w:cs="Arial" w:eastAsia="Arial" w:hAnsi="Arial"/>
          <w:sz w:val="11"/>
          <w:szCs w:val="11"/>
          <w:color w:val="auto"/>
        </w:rPr>
        <w:t xml:space="preserve"> basis (or, in the case of Securities issued in global form based on a method that most nearly approximates a </w:t>
      </w:r>
      <w:r>
        <w:rPr>
          <w:rFonts w:ascii="Arial" w:cs="Arial" w:eastAsia="Arial" w:hAnsi="Arial"/>
          <w:sz w:val="11"/>
          <w:szCs w:val="11"/>
          <w:i w:val="1"/>
          <w:iCs w:val="1"/>
          <w:color w:val="auto"/>
        </w:rPr>
        <w:t>pro rata</w:t>
      </w:r>
      <w:r>
        <w:rPr>
          <w:rFonts w:ascii="Arial" w:cs="Arial" w:eastAsia="Arial" w:hAnsi="Arial"/>
          <w:sz w:val="11"/>
          <w:szCs w:val="11"/>
          <w:color w:val="auto"/>
        </w:rPr>
        <w:t xml:space="preserve"> selection as the Trustee deems fair and appropriate) unless otherwise required by law or applicable stock exchange or Depositary requirements. The Trustee will not be liable for selections made by it as contemplated in this section.</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No Securities of a Series in principal amount of $2,000 or less can be redeemed in part.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Notices of purchase or redemption will be given to each Holder pursuant to Section 3.3 and Section 10.1.</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15" w:name="page116"/>
    <w:bookmarkEnd w:id="115"/>
    <w:p>
      <w:pPr>
        <w:ind w:left="160"/>
        <w:spacing w:after="0"/>
        <w:rPr>
          <w:sz w:val="20"/>
          <w:szCs w:val="20"/>
          <w:color w:val="auto"/>
        </w:rPr>
      </w:pPr>
      <w:r>
        <w:rPr>
          <w:rFonts w:ascii="Arial" w:cs="Arial" w:eastAsia="Arial" w:hAnsi="Arial"/>
          <w:sz w:val="13"/>
          <w:szCs w:val="13"/>
          <w:color w:val="auto"/>
        </w:rPr>
        <w:t xml:space="preserve">Section 3.3. </w:t>
      </w:r>
      <w:r>
        <w:rPr>
          <w:rFonts w:ascii="Arial" w:cs="Arial" w:eastAsia="Arial" w:hAnsi="Arial"/>
          <w:sz w:val="13"/>
          <w:szCs w:val="13"/>
          <w:u w:val="single" w:color="auto"/>
          <w:color w:val="auto"/>
        </w:rPr>
        <w:t>Notice of Redemption</w:t>
      </w:r>
      <w:r>
        <w:rPr>
          <w:rFonts w:ascii="Arial" w:cs="Arial" w:eastAsia="Arial" w:hAnsi="Arial"/>
          <w:sz w:val="13"/>
          <w:szCs w:val="13"/>
          <w:color w:val="auto"/>
        </w:rPr>
        <w:t>.</w:t>
      </w:r>
    </w:p>
    <w:p>
      <w:pPr>
        <w:spacing w:after="0" w:line="86" w:lineRule="exact"/>
        <w:rPr>
          <w:sz w:val="20"/>
          <w:szCs w:val="20"/>
          <w:color w:val="auto"/>
        </w:rPr>
      </w:pPr>
    </w:p>
    <w:p>
      <w:pPr>
        <w:jc w:val="both"/>
        <w:ind w:right="140" w:firstLine="328"/>
        <w:spacing w:after="0" w:line="264" w:lineRule="auto"/>
        <w:rPr>
          <w:sz w:val="20"/>
          <w:szCs w:val="20"/>
          <w:color w:val="auto"/>
        </w:rPr>
      </w:pPr>
      <w:r>
        <w:rPr>
          <w:rFonts w:ascii="Arial" w:cs="Arial" w:eastAsia="Arial" w:hAnsi="Arial"/>
          <w:sz w:val="13"/>
          <w:szCs w:val="13"/>
          <w:color w:val="auto"/>
        </w:rPr>
        <w:t>Unless otherwise indicated for a particular Series by Board Resolution, Officer’s Certificate or supplemental indenture, at least 30 days but not more than 60 days before a redemption date, the Company will deliver a notice of redemption to each Holder whose Securities are to be redeemed in accordance with Section 10.1, except that redemption notices may be given more than 60 days prior to a redemption date if the notice is issued in connection with a defeasance of the Securities or a satisfaction and discharge of this Indenture pursuant to Article VIII hereof.</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notice shall identify the Securities to be redeemed and corresponding CUSIP, ISIN or Common Code numbers, as applicable, and will state:</w:t>
      </w:r>
    </w:p>
    <w:p>
      <w:pPr>
        <w:spacing w:after="0" w:line="86" w:lineRule="exact"/>
        <w:rPr>
          <w:sz w:val="20"/>
          <w:szCs w:val="20"/>
          <w:color w:val="auto"/>
        </w:rPr>
      </w:pPr>
    </w:p>
    <w:p>
      <w:pPr>
        <w:ind w:left="560" w:hanging="168"/>
        <w:spacing w:after="0"/>
        <w:tabs>
          <w:tab w:leader="none" w:pos="5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redemption date;</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redemption price and the amount of accrued interest, if any, and Additional Amounts, if any, to be paid;</w:t>
      </w:r>
    </w:p>
    <w:p>
      <w:pPr>
        <w:spacing w:after="0" w:line="86" w:lineRule="exact"/>
        <w:rPr>
          <w:rFonts w:ascii="Arial" w:cs="Arial" w:eastAsia="Arial" w:hAnsi="Arial"/>
          <w:sz w:val="13"/>
          <w:szCs w:val="13"/>
          <w:color w:val="auto"/>
        </w:rPr>
      </w:pPr>
    </w:p>
    <w:p>
      <w:pPr>
        <w:ind w:left="220" w:right="40" w:firstLine="172"/>
        <w:spacing w:after="0" w:line="276" w:lineRule="auto"/>
        <w:tabs>
          <w:tab w:leader="none" w:pos="562" w:val="left"/>
        </w:tabs>
        <w:numPr>
          <w:ilvl w:val="0"/>
          <w:numId w:val="72"/>
        </w:numPr>
        <w:rPr>
          <w:rFonts w:ascii="Arial" w:cs="Arial" w:eastAsia="Arial" w:hAnsi="Arial"/>
          <w:sz w:val="13"/>
          <w:szCs w:val="13"/>
          <w:color w:val="auto"/>
        </w:rPr>
      </w:pPr>
      <w:r>
        <w:rPr>
          <w:rFonts w:ascii="Arial" w:cs="Arial" w:eastAsia="Arial" w:hAnsi="Arial"/>
          <w:sz w:val="13"/>
          <w:szCs w:val="13"/>
          <w:color w:val="auto"/>
        </w:rPr>
        <w:t>if any Global Security is being redeemed in part, the portion of the principal amount of such Global Security to be redeemed and that, after the redemption date upon surrender of such Global Security, the principal amount thereof will be decreased by the portion thereof redeemed pursuant thereto;</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if any Certificated Security is being redeemed in part, the portion of the principal amount of such Security to be redeemed, and that, after the redemption date, upon surrender of such Security, a new</w:t>
      </w:r>
    </w:p>
    <w:p>
      <w:pPr>
        <w:spacing w:after="0" w:line="26"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Certificated Security or Certificated Securities in principal amount equal to the unredeemed portion thereof will be issued in the name of the Holder thereof upon cancellation of the original Certificated Security;</w:t>
      </w:r>
    </w:p>
    <w:p>
      <w:pPr>
        <w:spacing w:after="0" w:line="90" w:lineRule="exact"/>
        <w:rPr>
          <w:rFonts w:ascii="Arial" w:cs="Arial" w:eastAsia="Arial" w:hAnsi="Arial"/>
          <w:sz w:val="12"/>
          <w:szCs w:val="12"/>
          <w:color w:val="auto"/>
        </w:rPr>
      </w:pPr>
    </w:p>
    <w:p>
      <w:pPr>
        <w:ind w:left="560" w:hanging="168"/>
        <w:spacing w:after="0"/>
        <w:tabs>
          <w:tab w:leader="none" w:pos="5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name and address of the Paying Agent(s) to which the Securities are to be surrendered for redemption;</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that Securities called for redemption must be surrendered to the relevant Paying Agent to collect the redemption price, plus accrued and unpaid interest, if any, and Additional Amounts, if any;</w:t>
      </w:r>
    </w:p>
    <w:p>
      <w:pPr>
        <w:spacing w:after="0" w:line="97" w:lineRule="exact"/>
        <w:rPr>
          <w:rFonts w:ascii="Arial" w:cs="Arial" w:eastAsia="Arial" w:hAnsi="Arial"/>
          <w:sz w:val="12"/>
          <w:szCs w:val="12"/>
          <w:color w:val="auto"/>
        </w:rPr>
      </w:pPr>
    </w:p>
    <w:p>
      <w:pPr>
        <w:ind w:left="580" w:hanging="188"/>
        <w:spacing w:after="0"/>
        <w:tabs>
          <w:tab w:leader="none" w:pos="5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that, unless the Company defaults in making such redemption payment, interest and Additional Amounts, if any, on Securities called for redemption cease to accrue on and after the redemption date;</w:t>
      </w:r>
    </w:p>
    <w:p>
      <w:pPr>
        <w:spacing w:after="0" w:line="97" w:lineRule="exact"/>
        <w:rPr>
          <w:rFonts w:ascii="Arial" w:cs="Arial" w:eastAsia="Arial" w:hAnsi="Arial"/>
          <w:sz w:val="12"/>
          <w:szCs w:val="12"/>
          <w:color w:val="auto"/>
        </w:rPr>
      </w:pPr>
    </w:p>
    <w:p>
      <w:pPr>
        <w:ind w:left="580" w:hanging="188"/>
        <w:spacing w:after="0"/>
        <w:tabs>
          <w:tab w:leader="none" w:pos="5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that Securities of the Series called for redemption must be surrendered to the Paying Agent to collect the redemption price;</w:t>
      </w:r>
    </w:p>
    <w:p>
      <w:pPr>
        <w:spacing w:after="0" w:line="86" w:lineRule="exact"/>
        <w:rPr>
          <w:rFonts w:ascii="Arial" w:cs="Arial" w:eastAsia="Arial" w:hAnsi="Arial"/>
          <w:sz w:val="13"/>
          <w:szCs w:val="13"/>
          <w:color w:val="auto"/>
        </w:rPr>
      </w:pPr>
    </w:p>
    <w:p>
      <w:pPr>
        <w:ind w:left="540" w:hanging="148"/>
        <w:spacing w:after="0"/>
        <w:tabs>
          <w:tab w:leader="none" w:pos="5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paragraph of the Securities and/or Section of this Indenture pursuant to which the Securities called for redemption are being redeemed; and</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80"/>
          </w:cols>
          <w:pgMar w:left="220" w:top="720" w:right="399" w:bottom="1440" w:gutter="0" w:footer="0" w:header="0"/>
        </w:sectPr>
      </w:pPr>
    </w:p>
    <w:bookmarkStart w:id="116" w:name="page117"/>
    <w:bookmarkEnd w:id="116"/>
    <w:p>
      <w:pPr>
        <w:ind w:left="400"/>
        <w:spacing w:after="0"/>
        <w:rPr>
          <w:sz w:val="20"/>
          <w:szCs w:val="20"/>
          <w:color w:val="auto"/>
        </w:rPr>
      </w:pPr>
      <w:r>
        <w:rPr>
          <w:rFonts w:ascii="Arial" w:cs="Arial" w:eastAsia="Arial" w:hAnsi="Arial"/>
          <w:sz w:val="13"/>
          <w:szCs w:val="13"/>
          <w:color w:val="auto"/>
        </w:rPr>
        <w:t>(j) that no representation is made as to the correctness or accuracy of the CUSIP, ISIN or Common Code numbers, if any, listed in such notice or printed on the Securities.</w:t>
      </w:r>
    </w:p>
    <w:p>
      <w:pPr>
        <w:spacing w:after="0" w:line="86" w:lineRule="exact"/>
        <w:rPr>
          <w:sz w:val="20"/>
          <w:szCs w:val="20"/>
          <w:color w:val="auto"/>
        </w:rPr>
      </w:pPr>
    </w:p>
    <w:p>
      <w:pPr>
        <w:ind w:right="200" w:firstLine="320"/>
        <w:spacing w:after="0" w:line="320" w:lineRule="auto"/>
        <w:rPr>
          <w:sz w:val="20"/>
          <w:szCs w:val="20"/>
          <w:color w:val="auto"/>
        </w:rPr>
      </w:pPr>
      <w:r>
        <w:rPr>
          <w:rFonts w:ascii="Arial" w:cs="Arial" w:eastAsia="Arial" w:hAnsi="Arial"/>
          <w:sz w:val="12"/>
          <w:szCs w:val="12"/>
          <w:color w:val="auto"/>
        </w:rPr>
        <w:t xml:space="preserve">At the Company’s written request, the Trustee shall give the notice of redemption in the Company’s name and at its expense;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Company has delivered to the Trustee, at least 40 days prior to the redemption date, an Officer’s Certificate requesting that the Trustee give such notice and setting forth the information to be stated in such notice as provided in the preceding paragraph.</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3.4. </w:t>
      </w:r>
      <w:r>
        <w:rPr>
          <w:rFonts w:ascii="Arial" w:cs="Arial" w:eastAsia="Arial" w:hAnsi="Arial"/>
          <w:sz w:val="13"/>
          <w:szCs w:val="13"/>
          <w:u w:val="single" w:color="auto"/>
          <w:color w:val="auto"/>
        </w:rPr>
        <w:t>Effect of Notice of Redemption</w:t>
      </w:r>
      <w:r>
        <w:rPr>
          <w:rFonts w:ascii="Arial" w:cs="Arial" w:eastAsia="Arial" w:hAnsi="Arial"/>
          <w:sz w:val="13"/>
          <w:szCs w:val="13"/>
          <w:color w:val="auto"/>
        </w:rPr>
        <w:t>.</w:t>
      </w:r>
    </w:p>
    <w:p>
      <w:pPr>
        <w:spacing w:after="0" w:line="86"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Once notice of redemption is mailed or published as provided in Section 3.3, Securities of a Series called for redemption become due and payable on the redemption date and at the redemption price. Unless otherwise indicated for a particular Series by Board Resolution, Officer’s Certificate or supplemental indenture, a notice of redemption may not be conditional. Upon surrender to the Paying Agent, such Securities shall be paid at the redemption price plus accrued interest to the redemption date.</w:t>
      </w:r>
    </w:p>
    <w:p>
      <w:pPr>
        <w:spacing w:after="0" w:line="57" w:lineRule="exact"/>
        <w:rPr>
          <w:sz w:val="20"/>
          <w:szCs w:val="20"/>
          <w:color w:val="auto"/>
        </w:rPr>
      </w:pPr>
    </w:p>
    <w:p>
      <w:pPr>
        <w:ind w:right="80" w:firstLine="328"/>
        <w:spacing w:after="0" w:line="276" w:lineRule="auto"/>
        <w:rPr>
          <w:sz w:val="20"/>
          <w:szCs w:val="20"/>
          <w:color w:val="auto"/>
        </w:rPr>
      </w:pPr>
      <w:r>
        <w:rPr>
          <w:rFonts w:ascii="Arial" w:cs="Arial" w:eastAsia="Arial" w:hAnsi="Arial"/>
          <w:sz w:val="13"/>
          <w:szCs w:val="13"/>
          <w:color w:val="auto"/>
        </w:rPr>
        <w:t>On or after any purchase or redemption date, unless the Company defaults in payment of the purchase or redemption price, interest shall cease to accrue on Securities or portions thereof tendered for purchase or called for redemption.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3.5. </w:t>
      </w:r>
      <w:r>
        <w:rPr>
          <w:rFonts w:ascii="Arial" w:cs="Arial" w:eastAsia="Arial" w:hAnsi="Arial"/>
          <w:sz w:val="13"/>
          <w:szCs w:val="13"/>
          <w:u w:val="single" w:color="auto"/>
          <w:color w:val="auto"/>
        </w:rPr>
        <w:t>Deposit of Redemption Price</w:t>
      </w:r>
      <w:r>
        <w:rPr>
          <w:rFonts w:ascii="Arial" w:cs="Arial" w:eastAsia="Arial" w:hAnsi="Arial"/>
          <w:sz w:val="13"/>
          <w:szCs w:val="13"/>
          <w:color w:val="auto"/>
        </w:rPr>
        <w:t>.</w:t>
      </w:r>
    </w:p>
    <w:p>
      <w:pPr>
        <w:spacing w:after="0" w:line="86" w:lineRule="exact"/>
        <w:rPr>
          <w:sz w:val="20"/>
          <w:szCs w:val="20"/>
          <w:color w:val="auto"/>
        </w:rPr>
      </w:pPr>
    </w:p>
    <w:p>
      <w:pPr>
        <w:ind w:right="340" w:firstLine="328"/>
        <w:spacing w:after="0" w:line="276" w:lineRule="auto"/>
        <w:rPr>
          <w:sz w:val="20"/>
          <w:szCs w:val="20"/>
          <w:color w:val="auto"/>
        </w:rPr>
      </w:pPr>
      <w:r>
        <w:rPr>
          <w:rFonts w:ascii="Arial" w:cs="Arial" w:eastAsia="Arial" w:hAnsi="Arial"/>
          <w:sz w:val="13"/>
          <w:szCs w:val="13"/>
          <w:color w:val="auto"/>
        </w:rPr>
        <w:t>On or before 10:00 a.m., New York City time, on the redemption date, the Company shall deposit with the Paying Agent money in immediately available funds sufficient to pay the redemption price of and accrued interest, if any, on all Securities to be redeemed on that date.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3.6. </w:t>
      </w:r>
      <w:r>
        <w:rPr>
          <w:rFonts w:ascii="Arial" w:cs="Arial" w:eastAsia="Arial" w:hAnsi="Arial"/>
          <w:sz w:val="13"/>
          <w:szCs w:val="13"/>
          <w:u w:val="single" w:color="auto"/>
          <w:color w:val="auto"/>
        </w:rPr>
        <w:t>Securities Redeemed in Part</w:t>
      </w:r>
      <w:r>
        <w:rPr>
          <w:rFonts w:ascii="Arial" w:cs="Arial" w:eastAsia="Arial" w:hAnsi="Arial"/>
          <w:sz w:val="13"/>
          <w:szCs w:val="13"/>
          <w:color w:val="auto"/>
        </w:rPr>
        <w:t>.</w:t>
      </w:r>
    </w:p>
    <w:p>
      <w:pPr>
        <w:spacing w:after="0" w:line="86" w:lineRule="exact"/>
        <w:rPr>
          <w:sz w:val="20"/>
          <w:szCs w:val="20"/>
          <w:color w:val="auto"/>
        </w:rPr>
      </w:pPr>
    </w:p>
    <w:p>
      <w:pPr>
        <w:ind w:right="120" w:firstLine="328"/>
        <w:spacing w:after="0" w:line="276" w:lineRule="auto"/>
        <w:rPr>
          <w:sz w:val="20"/>
          <w:szCs w:val="20"/>
          <w:color w:val="auto"/>
        </w:rPr>
      </w:pPr>
      <w:r>
        <w:rPr>
          <w:rFonts w:ascii="Arial" w:cs="Arial" w:eastAsia="Arial" w:hAnsi="Arial"/>
          <w:sz w:val="13"/>
          <w:szCs w:val="13"/>
          <w:color w:val="auto"/>
        </w:rPr>
        <w:t>Upon surrender of a Certificated Security that is redeemed in part, the Trustee shall authenticate for the Holder a new Certificated Security of the same Series and the same maturity equal in principal amount to the unredeemed portion of the Security surrendered.</w:t>
      </w:r>
    </w:p>
    <w:p>
      <w:pPr>
        <w:spacing w:after="0" w:line="49" w:lineRule="exact"/>
        <w:rPr>
          <w:sz w:val="20"/>
          <w:szCs w:val="20"/>
          <w:color w:val="auto"/>
        </w:rPr>
      </w:pPr>
    </w:p>
    <w:p>
      <w:pPr>
        <w:ind w:right="140" w:firstLine="328"/>
        <w:spacing w:after="0" w:line="276" w:lineRule="auto"/>
        <w:rPr>
          <w:sz w:val="20"/>
          <w:szCs w:val="20"/>
          <w:color w:val="auto"/>
        </w:rPr>
      </w:pPr>
      <w:r>
        <w:rPr>
          <w:rFonts w:ascii="Arial" w:cs="Arial" w:eastAsia="Arial" w:hAnsi="Arial"/>
          <w:sz w:val="13"/>
          <w:szCs w:val="13"/>
          <w:color w:val="auto"/>
        </w:rPr>
        <w:t>In relation to Certificated Securities, a new Security in principal amount equal to the unpurchased or unredeemed portion of any Security purchased or redeemed in part will be issued in the name of the Holder thereof upon cancellation of the original Certificated Security.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3.7. </w:t>
      </w:r>
      <w:r>
        <w:rPr>
          <w:rFonts w:ascii="Arial" w:cs="Arial" w:eastAsia="Arial" w:hAnsi="Arial"/>
          <w:sz w:val="13"/>
          <w:szCs w:val="13"/>
          <w:u w:val="single" w:color="auto"/>
          <w:color w:val="auto"/>
        </w:rPr>
        <w:t>Sinking Fund</w:t>
      </w:r>
      <w:r>
        <w:rPr>
          <w:rFonts w:ascii="Arial" w:cs="Arial" w:eastAsia="Arial" w:hAnsi="Arial"/>
          <w:sz w:val="13"/>
          <w:szCs w:val="13"/>
          <w:color w:val="auto"/>
        </w:rPr>
        <w:t>.</w:t>
      </w:r>
    </w:p>
    <w:p>
      <w:pPr>
        <w:spacing w:after="0" w:line="86"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Unless otherwise indicated for a particular Series by Board Resolution, Officer’s Certificate or supplemental indenture, the provisions of Sections 3.7, 3.8 and 3.9 shall be applicable to any sinking fund for the retirement of Securities of a Series.</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minimum amount of any sinking fund payment provided for by the terms of Securities of any series is referred to as a “mandatory sinking fund payment,” and any payment</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17" w:name="page118"/>
    <w:bookmarkEnd w:id="117"/>
    <w:p>
      <w:pPr>
        <w:jc w:val="both"/>
        <w:ind w:right="120"/>
        <w:spacing w:after="0" w:line="264" w:lineRule="auto"/>
        <w:rPr>
          <w:sz w:val="20"/>
          <w:szCs w:val="20"/>
          <w:color w:val="auto"/>
        </w:rPr>
      </w:pPr>
      <w:r>
        <w:rPr>
          <w:rFonts w:ascii="Arial" w:cs="Arial" w:eastAsia="Arial" w:hAnsi="Arial"/>
          <w:sz w:val="13"/>
          <w:szCs w:val="13"/>
          <w:color w:val="auto"/>
        </w:rPr>
        <w:t>in excess of such minimum amount provided for by the terms of Securities of any series is referred to as an “optional sinking fund payment.” If provided for by the terms of Securities of any Series, the cash amount of any sinking fund payment may be subject to reduction as provided in Section 3.8. Each sinking fund payment shall be applied to the redemption of Securities of any Series as provided for by the terms of Securities of such Series.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3.8. </w:t>
      </w:r>
      <w:r>
        <w:rPr>
          <w:rFonts w:ascii="Arial" w:cs="Arial" w:eastAsia="Arial" w:hAnsi="Arial"/>
          <w:sz w:val="13"/>
          <w:szCs w:val="13"/>
          <w:u w:val="single" w:color="auto"/>
          <w:color w:val="auto"/>
        </w:rPr>
        <w:t>Satisfaction of Sinking Fund Payments with Securities</w:t>
      </w:r>
      <w:r>
        <w:rPr>
          <w:rFonts w:ascii="Arial" w:cs="Arial" w:eastAsia="Arial" w:hAnsi="Arial"/>
          <w:sz w:val="13"/>
          <w:szCs w:val="13"/>
          <w:color w:val="auto"/>
        </w:rPr>
        <w:t>.</w:t>
      </w:r>
    </w:p>
    <w:p>
      <w:pPr>
        <w:spacing w:after="0" w:line="86" w:lineRule="exact"/>
        <w:rPr>
          <w:sz w:val="20"/>
          <w:szCs w:val="20"/>
          <w:color w:val="auto"/>
        </w:rPr>
      </w:pPr>
    </w:p>
    <w:p>
      <w:pPr>
        <w:ind w:right="40" w:firstLine="325"/>
        <w:spacing w:after="0" w:line="258" w:lineRule="auto"/>
        <w:rPr>
          <w:sz w:val="20"/>
          <w:szCs w:val="20"/>
          <w:color w:val="auto"/>
        </w:rPr>
      </w:pPr>
      <w:r>
        <w:rPr>
          <w:rFonts w:ascii="Arial" w:cs="Arial" w:eastAsia="Arial" w:hAnsi="Arial"/>
          <w:sz w:val="13"/>
          <w:szCs w:val="13"/>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3.9. </w:t>
      </w:r>
      <w:r>
        <w:rPr>
          <w:rFonts w:ascii="Arial" w:cs="Arial" w:eastAsia="Arial" w:hAnsi="Arial"/>
          <w:sz w:val="13"/>
          <w:szCs w:val="13"/>
          <w:u w:val="single" w:color="auto"/>
          <w:color w:val="auto"/>
        </w:rPr>
        <w:t>Redemption of Securities for Sinking Fund</w:t>
      </w:r>
      <w:r>
        <w:rPr>
          <w:rFonts w:ascii="Arial" w:cs="Arial" w:eastAsia="Arial" w:hAnsi="Arial"/>
          <w:sz w:val="13"/>
          <w:szCs w:val="13"/>
          <w:color w:val="auto"/>
        </w:rPr>
        <w:t>.</w:t>
      </w:r>
    </w:p>
    <w:p>
      <w:pPr>
        <w:spacing w:after="0" w:line="86" w:lineRule="exact"/>
        <w:rPr>
          <w:sz w:val="20"/>
          <w:szCs w:val="20"/>
          <w:color w:val="auto"/>
        </w:rPr>
      </w:pPr>
    </w:p>
    <w:p>
      <w:pPr>
        <w:ind w:right="20" w:firstLine="328"/>
        <w:spacing w:after="0" w:line="316" w:lineRule="auto"/>
        <w:rPr>
          <w:sz w:val="20"/>
          <w:szCs w:val="20"/>
          <w:color w:val="auto"/>
        </w:rPr>
      </w:pPr>
      <w:r>
        <w:rPr>
          <w:rFonts w:ascii="Arial" w:cs="Arial" w:eastAsia="Arial" w:hAnsi="Arial"/>
          <w:sz w:val="11"/>
          <w:szCs w:val="11"/>
          <w:color w:val="auto"/>
        </w:rPr>
        <w:t>Not less than 30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payment of cash in the currency in which the Securities of such Series are denominated (except as provided pursuant to Section 2.2), the portion thereof, if any, that is to be satisfied by delivering and crediting Securities of that Series pursuant to Section 3.8 and the basis for such credit. Together with such Officer’s Certificate, the Company will deliver to the Trustee any Securities to be so delivered. Not less than 30 days before each such sinking fund payment date the Trustee shall select the Securities to be redeemed upon such sinking fund payment date in the manner specified in Section 3.3 and cause notice of the redemption thereof to be given in the name of and at the expense of the Company in the manner provided in Section 3.3.</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3.10. </w:t>
      </w:r>
      <w:r>
        <w:rPr>
          <w:rFonts w:ascii="Arial" w:cs="Arial" w:eastAsia="Arial" w:hAnsi="Arial"/>
          <w:sz w:val="13"/>
          <w:szCs w:val="13"/>
          <w:u w:val="single" w:color="auto"/>
          <w:color w:val="auto"/>
        </w:rPr>
        <w:t>Redemption Upon Changes in Tax Law</w:t>
      </w:r>
      <w:r>
        <w:rPr>
          <w:rFonts w:ascii="Arial" w:cs="Arial" w:eastAsia="Arial" w:hAnsi="Arial"/>
          <w:sz w:val="13"/>
          <w:szCs w:val="13"/>
          <w:color w:val="auto"/>
        </w:rPr>
        <w:t>.</w:t>
      </w:r>
    </w:p>
    <w:p>
      <w:pPr>
        <w:spacing w:after="0" w:line="86" w:lineRule="exact"/>
        <w:rPr>
          <w:sz w:val="20"/>
          <w:szCs w:val="20"/>
          <w:color w:val="auto"/>
        </w:rPr>
      </w:pPr>
    </w:p>
    <w:p>
      <w:pPr>
        <w:ind w:firstLine="325"/>
        <w:spacing w:after="0" w:line="258" w:lineRule="auto"/>
        <w:rPr>
          <w:sz w:val="20"/>
          <w:szCs w:val="20"/>
          <w:color w:val="auto"/>
        </w:rPr>
      </w:pPr>
      <w:r>
        <w:rPr>
          <w:rFonts w:ascii="Arial" w:cs="Arial" w:eastAsia="Arial" w:hAnsi="Arial"/>
          <w:sz w:val="13"/>
          <w:szCs w:val="13"/>
          <w:color w:val="auto"/>
        </w:rPr>
        <w:t>The Company may redeem the Securities, in whole but not in part, at its discretion at any time upon giving notice to the Holders of such of the Securities in accordance with Section 3.3 (which notice will be irrevocable), at a redemption price equal to 100% of the aggregate principal amount thereof, together with accrued and unpaid interest, if any, to the date fixed by the Company for redemption (a “</w:t>
      </w:r>
      <w:r>
        <w:rPr>
          <w:rFonts w:ascii="Arial" w:cs="Arial" w:eastAsia="Arial" w:hAnsi="Arial"/>
          <w:sz w:val="13"/>
          <w:szCs w:val="13"/>
          <w:i w:val="1"/>
          <w:iCs w:val="1"/>
          <w:color w:val="auto"/>
        </w:rPr>
        <w:t>Tax Redemption</w:t>
      </w:r>
      <w:r>
        <w:rPr>
          <w:rFonts w:ascii="Arial" w:cs="Arial" w:eastAsia="Arial" w:hAnsi="Arial"/>
          <w:sz w:val="13"/>
          <w:szCs w:val="13"/>
          <w:color w:val="auto"/>
        </w:rPr>
        <w:t xml:space="preserve"> </w:t>
      </w:r>
      <w:r>
        <w:rPr>
          <w:rFonts w:ascii="Arial" w:cs="Arial" w:eastAsia="Arial" w:hAnsi="Arial"/>
          <w:sz w:val="13"/>
          <w:szCs w:val="13"/>
          <w:i w:val="1"/>
          <w:iCs w:val="1"/>
          <w:color w:val="auto"/>
        </w:rPr>
        <w:t>Date</w:t>
      </w:r>
      <w:r>
        <w:rPr>
          <w:rFonts w:ascii="Arial" w:cs="Arial" w:eastAsia="Arial" w:hAnsi="Arial"/>
          <w:sz w:val="13"/>
          <w:szCs w:val="13"/>
          <w:color w:val="auto"/>
        </w:rPr>
        <w:t>”) and all Additional Amounts (if any) then due and which will become due on the Tax Redemption Date as a result of the redemption or otherwise (subject to the right of Holders of such Securities on the relevant</w:t>
      </w:r>
      <w:r>
        <w:rPr>
          <w:rFonts w:ascii="Arial" w:cs="Arial" w:eastAsia="Arial" w:hAnsi="Arial"/>
          <w:sz w:val="13"/>
          <w:szCs w:val="13"/>
          <w:i w:val="1"/>
          <w:iCs w:val="1"/>
          <w:color w:val="auto"/>
        </w:rPr>
        <w:t xml:space="preserve"> </w:t>
      </w:r>
      <w:r>
        <w:rPr>
          <w:rFonts w:ascii="Arial" w:cs="Arial" w:eastAsia="Arial" w:hAnsi="Arial"/>
          <w:sz w:val="13"/>
          <w:szCs w:val="13"/>
          <w:color w:val="auto"/>
        </w:rPr>
        <w:t>record date to receive interest due on the relevant interest payment date and Additional Amounts (if any) in respect thereof), if on the next date on which any amount would be payable with respect to such Securities, the Company is or would be required to pay Additional Amounts, and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color w:val="auto"/>
        </w:rPr>
        <w:t>Company cannot avoid any such payment obligation by taking reasonable measures available, and the requirement arises as a result of:</w:t>
      </w:r>
    </w:p>
    <w:p>
      <w:pPr>
        <w:spacing w:after="0" w:line="86" w:lineRule="exact"/>
        <w:rPr>
          <w:sz w:val="20"/>
          <w:szCs w:val="20"/>
          <w:color w:val="auto"/>
        </w:rPr>
      </w:pPr>
    </w:p>
    <w:p>
      <w:pPr>
        <w:ind w:left="220" w:firstLine="172"/>
        <w:spacing w:after="0" w:line="276" w:lineRule="auto"/>
        <w:tabs>
          <w:tab w:leader="none" w:pos="562" w:val="left"/>
        </w:tabs>
        <w:numPr>
          <w:ilvl w:val="0"/>
          <w:numId w:val="73"/>
        </w:numPr>
        <w:rPr>
          <w:rFonts w:ascii="Arial" w:cs="Arial" w:eastAsia="Arial" w:hAnsi="Arial"/>
          <w:sz w:val="13"/>
          <w:szCs w:val="13"/>
          <w:color w:val="auto"/>
        </w:rPr>
      </w:pPr>
      <w:r>
        <w:rPr>
          <w:rFonts w:ascii="Arial" w:cs="Arial" w:eastAsia="Arial" w:hAnsi="Arial"/>
          <w:sz w:val="13"/>
          <w:szCs w:val="13"/>
          <w:color w:val="auto"/>
        </w:rPr>
        <w:t>any amendment to, or change in, the laws (or any regulations or rulings promulgated thereunder) of a relevant Tax Jurisdiction which change or amendment becomes effective on or after the Issue Date (or, if the applicable Tax Jurisdiction became a Tax Jurisdiction on a date after the Issue Date, such later date), or</w:t>
      </w:r>
    </w:p>
    <w:p>
      <w:pPr>
        <w:spacing w:after="0" w:line="49" w:lineRule="exact"/>
        <w:rPr>
          <w:rFonts w:ascii="Arial" w:cs="Arial" w:eastAsia="Arial" w:hAnsi="Arial"/>
          <w:sz w:val="13"/>
          <w:szCs w:val="13"/>
          <w:color w:val="auto"/>
        </w:rPr>
      </w:pPr>
    </w:p>
    <w:p>
      <w:pPr>
        <w:ind w:left="220" w:firstLine="172"/>
        <w:spacing w:after="0" w:line="264" w:lineRule="auto"/>
        <w:tabs>
          <w:tab w:leader="none" w:pos="569" w:val="left"/>
        </w:tabs>
        <w:numPr>
          <w:ilvl w:val="0"/>
          <w:numId w:val="73"/>
        </w:numPr>
        <w:rPr>
          <w:rFonts w:ascii="Arial" w:cs="Arial" w:eastAsia="Arial" w:hAnsi="Arial"/>
          <w:sz w:val="13"/>
          <w:szCs w:val="13"/>
          <w:color w:val="auto"/>
        </w:rPr>
      </w:pPr>
      <w:r>
        <w:rPr>
          <w:rFonts w:ascii="Arial" w:cs="Arial" w:eastAsia="Arial" w:hAnsi="Arial"/>
          <w:sz w:val="13"/>
          <w:szCs w:val="13"/>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Tax Jurisdiction became a Tax Jurisdiction on a date after the Issue Date, such later date).</w:t>
      </w:r>
    </w:p>
    <w:p>
      <w:pPr>
        <w:spacing w:after="0" w:line="57" w:lineRule="exact"/>
        <w:rPr>
          <w:sz w:val="20"/>
          <w:szCs w:val="20"/>
          <w:color w:val="auto"/>
        </w:rPr>
      </w:pPr>
    </w:p>
    <w:p>
      <w:pPr>
        <w:ind w:firstLine="325"/>
        <w:spacing w:after="0" w:line="285" w:lineRule="auto"/>
        <w:rPr>
          <w:sz w:val="20"/>
          <w:szCs w:val="20"/>
          <w:color w:val="auto"/>
        </w:rPr>
      </w:pPr>
      <w:r>
        <w:rPr>
          <w:rFonts w:ascii="Arial" w:cs="Arial" w:eastAsia="Arial" w:hAnsi="Arial"/>
          <w:sz w:val="12"/>
          <w:szCs w:val="12"/>
          <w:color w:val="auto"/>
        </w:rPr>
        <w:t>The Company, as applicable, will not give any such notice of redemption earlier than 90 days prior to the earliest date on which the Company would be obligated to make such payment or withholding if a payment with respect to the applicable Securities was then due, and the obligation to pay Additional Amounts must be in effect at the time such notice is given. Prior to the publication or, where relevant, mailing of any notice of redemption of the Securities pursuant to the foregoing, the Company will deliver to the Trustee an opinion of independent tax counsel to the effect that there has been such amendment or change which would entitle the Company to redeem such Securities hereunder. In addition, before the Company publishes or mails notice of redemption of such Securities as described above, it will deliver to the Trustee an Officer’s Certificate to the effect that it cannot avoid its obligation to pay Additional Amounts by taking reasonable measures available to the Company.</w:t>
      </w:r>
    </w:p>
    <w:p>
      <w:pPr>
        <w:spacing w:after="0" w:line="46" w:lineRule="exact"/>
        <w:rPr>
          <w:sz w:val="20"/>
          <w:szCs w:val="20"/>
          <w:color w:val="auto"/>
        </w:rPr>
      </w:pPr>
    </w:p>
    <w:p>
      <w:pPr>
        <w:ind w:right="60" w:firstLine="325"/>
        <w:spacing w:after="0" w:line="276" w:lineRule="auto"/>
        <w:rPr>
          <w:sz w:val="20"/>
          <w:szCs w:val="20"/>
          <w:color w:val="auto"/>
        </w:rPr>
      </w:pPr>
      <w:r>
        <w:rPr>
          <w:rFonts w:ascii="Arial" w:cs="Arial" w:eastAsia="Arial" w:hAnsi="Arial"/>
          <w:sz w:val="13"/>
          <w:szCs w:val="13"/>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Securities.</w:t>
      </w:r>
    </w:p>
    <w:p>
      <w:pPr>
        <w:spacing w:after="0" w:line="49" w:lineRule="exact"/>
        <w:rPr>
          <w:sz w:val="20"/>
          <w:szCs w:val="20"/>
          <w:color w:val="auto"/>
        </w:rPr>
      </w:pPr>
    </w:p>
    <w:p>
      <w:pPr>
        <w:ind w:right="200" w:firstLine="325"/>
        <w:spacing w:after="0" w:line="276" w:lineRule="auto"/>
        <w:rPr>
          <w:sz w:val="20"/>
          <w:szCs w:val="20"/>
          <w:color w:val="auto"/>
        </w:rPr>
      </w:pPr>
      <w:r>
        <w:rPr>
          <w:rFonts w:ascii="Arial" w:cs="Arial" w:eastAsia="Arial" w:hAnsi="Arial"/>
          <w:sz w:val="13"/>
          <w:szCs w:val="13"/>
          <w:color w:val="auto"/>
        </w:rPr>
        <w:t xml:space="preserve">The foregoing will apply </w:t>
      </w:r>
      <w:r>
        <w:rPr>
          <w:rFonts w:ascii="Arial" w:cs="Arial" w:eastAsia="Arial" w:hAnsi="Arial"/>
          <w:sz w:val="13"/>
          <w:szCs w:val="13"/>
          <w:i w:val="1"/>
          <w:iCs w:val="1"/>
          <w:color w:val="auto"/>
        </w:rPr>
        <w:t>mutatis mutandis</w:t>
      </w:r>
      <w:r>
        <w:rPr>
          <w:rFonts w:ascii="Arial" w:cs="Arial" w:eastAsia="Arial" w:hAnsi="Arial"/>
          <w:sz w:val="13"/>
          <w:szCs w:val="13"/>
          <w:color w:val="auto"/>
        </w:rPr>
        <w:t xml:space="preserve"> to any jurisdiction in which any successor Person to the Company is incorporated or organized, or any jurisdiction from or through which payment is made by or on behalf of such Person on the Securities and any political subdivision thereof or therein.</w:t>
      </w:r>
    </w:p>
    <w:p>
      <w:pPr>
        <w:spacing w:after="0" w:line="207"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ARTICLE IV.</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COVENANTS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4.1. </w:t>
      </w:r>
      <w:r>
        <w:rPr>
          <w:rFonts w:ascii="Arial" w:cs="Arial" w:eastAsia="Arial" w:hAnsi="Arial"/>
          <w:sz w:val="13"/>
          <w:szCs w:val="13"/>
          <w:u w:val="single" w:color="auto"/>
          <w:color w:val="auto"/>
        </w:rPr>
        <w:t>Payment of Principal, Premium and Interest</w:t>
      </w:r>
      <w:r>
        <w:rPr>
          <w:rFonts w:ascii="Arial" w:cs="Arial" w:eastAsia="Arial" w:hAnsi="Arial"/>
          <w:sz w:val="13"/>
          <w:szCs w:val="13"/>
          <w:color w:val="auto"/>
        </w:rPr>
        <w:t>.</w:t>
      </w:r>
    </w:p>
    <w:p>
      <w:pPr>
        <w:spacing w:after="0" w:line="86" w:lineRule="exact"/>
        <w:rPr>
          <w:sz w:val="20"/>
          <w:szCs w:val="20"/>
          <w:color w:val="auto"/>
        </w:rPr>
      </w:pPr>
    </w:p>
    <w:p>
      <w:pPr>
        <w:ind w:right="100" w:firstLine="325"/>
        <w:spacing w:after="0" w:line="264" w:lineRule="auto"/>
        <w:rPr>
          <w:sz w:val="20"/>
          <w:szCs w:val="20"/>
          <w:color w:val="auto"/>
        </w:rPr>
      </w:pPr>
      <w:r>
        <w:rPr>
          <w:rFonts w:ascii="Arial" w:cs="Arial" w:eastAsia="Arial" w:hAnsi="Arial"/>
          <w:sz w:val="13"/>
          <w:szCs w:val="13"/>
          <w:color w:val="auto"/>
        </w:rPr>
        <w:t>The Company covenants and agrees for the benefit of the Holders of each Series of Securities that it will duly and punctually pay the principal of, premium, if any, and interest, on the Securities of that Series in accordance with the terms of such Securities and this Indenture. Unless otherwise provided by Board Resolution, Officer’s Certificate or supplemental indenture for a particular Series, on or before 10:00 a.m., New York City time, on the applicable payment date, the Company shall deposit with the Paying Agent money sufficient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color w:val="auto"/>
        </w:rPr>
        <w:t>to pay the principal of, premium, if any, and interest on the Securities of each such Series in accordance with the terms of such Securities and this Indenture.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4.2. </w:t>
      </w:r>
      <w:r>
        <w:rPr>
          <w:rFonts w:ascii="Arial" w:cs="Arial" w:eastAsia="Arial" w:hAnsi="Arial"/>
          <w:sz w:val="13"/>
          <w:szCs w:val="13"/>
          <w:u w:val="single" w:color="auto"/>
          <w:color w:val="auto"/>
        </w:rPr>
        <w:t>Compliance Certificate</w:t>
      </w:r>
      <w:r>
        <w:rPr>
          <w:rFonts w:ascii="Arial" w:cs="Arial" w:eastAsia="Arial" w:hAnsi="Arial"/>
          <w:sz w:val="13"/>
          <w:szCs w:val="13"/>
          <w:color w:val="auto"/>
        </w:rPr>
        <w:t>.</w:t>
      </w:r>
    </w:p>
    <w:p>
      <w:pPr>
        <w:spacing w:after="0" w:line="86" w:lineRule="exact"/>
        <w:rPr>
          <w:sz w:val="20"/>
          <w:szCs w:val="20"/>
          <w:color w:val="auto"/>
        </w:rPr>
      </w:pPr>
    </w:p>
    <w:p>
      <w:pPr>
        <w:ind w:firstLine="325"/>
        <w:spacing w:after="0" w:line="257" w:lineRule="auto"/>
        <w:rPr>
          <w:sz w:val="20"/>
          <w:szCs w:val="20"/>
          <w:color w:val="auto"/>
        </w:rPr>
      </w:pPr>
      <w:r>
        <w:rPr>
          <w:rFonts w:ascii="Arial" w:cs="Arial" w:eastAsia="Arial" w:hAnsi="Arial"/>
          <w:sz w:val="13"/>
          <w:szCs w:val="13"/>
          <w:color w:val="auto"/>
        </w:rPr>
        <w:t>The Company shall deliver to the Trustee, within 120 days after the end of its fiscal year (which as of the date of this Indenture is December 31, or if the fiscal year with respect to the Company is changed so that it ends on a date other than December 31, such other fiscal year end date as the Company shall notify to the Trustee in writing) of the Company,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each such Officer signing such certificate, that to his/her knowledge the Company is not in default in the performance or observance of any of the terms, provisions and conditions hereof (or, if a Default or Event of Default shall have occurred, describing all such Defaults or Events of Default of which he may have knowledge). Such Officer’s Certificate need not include a reference to any non-compliance that has been fully cured prior to the date as of which such certificate speaks.</w:t>
      </w:r>
    </w:p>
    <w:p>
      <w:pPr>
        <w:spacing w:after="0" w:line="62" w:lineRule="exact"/>
        <w:rPr>
          <w:sz w:val="20"/>
          <w:szCs w:val="20"/>
          <w:color w:val="auto"/>
        </w:rPr>
      </w:pPr>
    </w:p>
    <w:p>
      <w:pPr>
        <w:ind w:right="20" w:firstLine="325"/>
        <w:spacing w:after="0" w:line="276" w:lineRule="auto"/>
        <w:rPr>
          <w:sz w:val="20"/>
          <w:szCs w:val="20"/>
          <w:color w:val="auto"/>
        </w:rPr>
      </w:pPr>
      <w:r>
        <w:rPr>
          <w:rFonts w:ascii="Arial" w:cs="Arial" w:eastAsia="Arial" w:hAnsi="Arial"/>
          <w:sz w:val="13"/>
          <w:szCs w:val="13"/>
          <w:color w:val="auto"/>
        </w:rPr>
        <w:t>The Company will, so long as any of the Securities are outstanding, deliver to the Trustee, within 30 days upon becoming aware of any Default or Event of Default, an Officer’s Certificate specifying such Default or Event of Default and what action the Company is taking or proposes to take with respect thereto.</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4.3. </w:t>
      </w:r>
      <w:r>
        <w:rPr>
          <w:rFonts w:ascii="Arial" w:cs="Arial" w:eastAsia="Arial" w:hAnsi="Arial"/>
          <w:sz w:val="13"/>
          <w:szCs w:val="13"/>
          <w:u w:val="single" w:color="auto"/>
          <w:color w:val="auto"/>
        </w:rPr>
        <w:t>Stay, Extension and Usury Laws</w:t>
      </w:r>
      <w:r>
        <w:rPr>
          <w:rFonts w:ascii="Arial" w:cs="Arial" w:eastAsia="Arial" w:hAnsi="Arial"/>
          <w:sz w:val="13"/>
          <w:szCs w:val="13"/>
          <w:color w:val="auto"/>
        </w:rPr>
        <w:t>.</w:t>
      </w:r>
    </w:p>
    <w:p>
      <w:pPr>
        <w:spacing w:after="0" w:line="86" w:lineRule="exact"/>
        <w:rPr>
          <w:sz w:val="20"/>
          <w:szCs w:val="20"/>
          <w:color w:val="auto"/>
        </w:rPr>
      </w:pPr>
    </w:p>
    <w:p>
      <w:pPr>
        <w:ind w:right="80" w:firstLine="325"/>
        <w:spacing w:after="0" w:line="260" w:lineRule="auto"/>
        <w:rPr>
          <w:sz w:val="20"/>
          <w:szCs w:val="20"/>
          <w:color w:val="auto"/>
        </w:rPr>
      </w:pPr>
      <w:r>
        <w:rPr>
          <w:rFonts w:ascii="Arial" w:cs="Arial" w:eastAsia="Arial" w:hAnsi="Arial"/>
          <w:sz w:val="13"/>
          <w:szCs w:val="13"/>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4.4. </w:t>
      </w:r>
      <w:r>
        <w:rPr>
          <w:rFonts w:ascii="Arial" w:cs="Arial" w:eastAsia="Arial" w:hAnsi="Arial"/>
          <w:sz w:val="13"/>
          <w:szCs w:val="13"/>
          <w:u w:val="single" w:color="auto"/>
          <w:color w:val="auto"/>
        </w:rPr>
        <w:t>Corporate Existence</w:t>
      </w:r>
      <w:r>
        <w:rPr>
          <w:rFonts w:ascii="Arial" w:cs="Arial" w:eastAsia="Arial" w:hAnsi="Arial"/>
          <w:sz w:val="13"/>
          <w:szCs w:val="13"/>
          <w:color w:val="auto"/>
        </w:rPr>
        <w:t>.</w:t>
      </w:r>
    </w:p>
    <w:p>
      <w:pPr>
        <w:spacing w:after="0" w:line="86" w:lineRule="exact"/>
        <w:rPr>
          <w:sz w:val="20"/>
          <w:szCs w:val="20"/>
          <w:color w:val="auto"/>
        </w:rPr>
      </w:pPr>
    </w:p>
    <w:p>
      <w:pPr>
        <w:ind w:right="60" w:firstLine="328"/>
        <w:spacing w:after="0" w:line="264" w:lineRule="auto"/>
        <w:rPr>
          <w:sz w:val="20"/>
          <w:szCs w:val="20"/>
          <w:color w:val="auto"/>
        </w:rPr>
      </w:pPr>
      <w:r>
        <w:rPr>
          <w:rFonts w:ascii="Arial" w:cs="Arial" w:eastAsia="Arial" w:hAnsi="Arial"/>
          <w:sz w:val="13"/>
          <w:szCs w:val="13"/>
          <w:color w:val="auto"/>
        </w:rPr>
        <w:t xml:space="preserve">Subject to Article V, the Company will do or cause to be done all things necessary to preserve and keep in full force and effect its corporate existence and rights (charter and statutory);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Company shall not be required to preserve any such right if its Board of Directors shall determine that the preservation thereof is no longer desirable in the conduct of its business and its Subsidiaries taken as a whole and that the loss thereof is not adverse in any material respect to the Holders of the Securities.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4.5. </w:t>
      </w:r>
      <w:r>
        <w:rPr>
          <w:rFonts w:ascii="Arial" w:cs="Arial" w:eastAsia="Arial" w:hAnsi="Arial"/>
          <w:sz w:val="13"/>
          <w:szCs w:val="13"/>
          <w:u w:val="single" w:color="auto"/>
          <w:color w:val="auto"/>
        </w:rPr>
        <w:t>Limitation on Liens</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Company will not, and will not permit any of its respective Subsidiaries to, incur, issue, assume or guarantee any notes, bonds, debentures or other similar evidences of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0" w:name="page121"/>
    <w:bookmarkEnd w:id="120"/>
    <w:p>
      <w:pPr>
        <w:ind w:left="1" w:right="120"/>
        <w:spacing w:after="0" w:line="301" w:lineRule="auto"/>
        <w:rPr>
          <w:sz w:val="20"/>
          <w:szCs w:val="20"/>
          <w:color w:val="auto"/>
        </w:rPr>
      </w:pPr>
      <w:r>
        <w:rPr>
          <w:rFonts w:ascii="Arial" w:cs="Arial" w:eastAsia="Arial" w:hAnsi="Arial"/>
          <w:sz w:val="11"/>
          <w:szCs w:val="11"/>
          <w:color w:val="auto"/>
        </w:rPr>
        <w:t>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Securities (together with, if the Company shall so determine, any of its other indebtedness or the indebtedness of any such Restricted Subsidiary then existing or thereafter created ranking on a parity with the Securities)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w:t>
      </w:r>
    </w:p>
    <w:p>
      <w:pPr>
        <w:spacing w:after="0" w:line="2" w:lineRule="exact"/>
        <w:rPr>
          <w:sz w:val="20"/>
          <w:szCs w:val="20"/>
          <w:color w:val="auto"/>
        </w:rPr>
      </w:pPr>
    </w:p>
    <w:p>
      <w:pPr>
        <w:ind w:left="181" w:hanging="181"/>
        <w:spacing w:after="0"/>
        <w:tabs>
          <w:tab w:leader="none" w:pos="181" w:val="left"/>
        </w:tabs>
        <w:numPr>
          <w:ilvl w:val="0"/>
          <w:numId w:val="74"/>
        </w:numPr>
        <w:rPr>
          <w:rFonts w:ascii="Arial" w:cs="Arial" w:eastAsia="Arial" w:hAnsi="Arial"/>
          <w:sz w:val="12"/>
          <w:szCs w:val="12"/>
          <w:color w:val="auto"/>
        </w:rPr>
      </w:pPr>
      <w:r>
        <w:rPr>
          <w:rFonts w:ascii="Arial" w:cs="Arial" w:eastAsia="Arial" w:hAnsi="Arial"/>
          <w:sz w:val="12"/>
          <w:szCs w:val="12"/>
          <w:color w:val="auto"/>
        </w:rPr>
        <w:t xml:space="preserve">through (10) below) would not exceed 20% of Consolidated Net Worth as shown on the Company’s most recent consolidated quarterly financial statements;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these provisions shall not apply</w:t>
      </w:r>
    </w:p>
    <w:p>
      <w:pPr>
        <w:spacing w:after="0" w:line="19"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3"/>
          <w:szCs w:val="13"/>
          <w:color w:val="auto"/>
        </w:rPr>
        <w:t>to:</w:t>
      </w:r>
    </w:p>
    <w:p>
      <w:pPr>
        <w:spacing w:after="0" w:line="78" w:lineRule="exact"/>
        <w:rPr>
          <w:rFonts w:ascii="Arial" w:cs="Arial" w:eastAsia="Arial" w:hAnsi="Arial"/>
          <w:sz w:val="12"/>
          <w:szCs w:val="12"/>
          <w:color w:val="auto"/>
        </w:rPr>
      </w:pPr>
    </w:p>
    <w:p>
      <w:pPr>
        <w:ind w:left="561" w:hanging="168"/>
        <w:spacing w:after="0"/>
        <w:tabs>
          <w:tab w:leader="none" w:pos="561" w:val="left"/>
        </w:tabs>
        <w:numPr>
          <w:ilvl w:val="1"/>
          <w:numId w:val="74"/>
        </w:numPr>
        <w:rPr>
          <w:rFonts w:ascii="Arial" w:cs="Arial" w:eastAsia="Arial" w:hAnsi="Arial"/>
          <w:sz w:val="13"/>
          <w:szCs w:val="13"/>
          <w:color w:val="auto"/>
        </w:rPr>
      </w:pPr>
      <w:r>
        <w:rPr>
          <w:rFonts w:ascii="Arial" w:cs="Arial" w:eastAsia="Arial" w:hAnsi="Arial"/>
          <w:sz w:val="13"/>
          <w:szCs w:val="13"/>
          <w:color w:val="auto"/>
        </w:rPr>
        <w:t>Mortgages existing on the date of original issuance of the Securities;</w:t>
      </w:r>
    </w:p>
    <w:p>
      <w:pPr>
        <w:spacing w:after="0" w:line="86" w:lineRule="exact"/>
        <w:rPr>
          <w:rFonts w:ascii="Arial" w:cs="Arial" w:eastAsia="Arial" w:hAnsi="Arial"/>
          <w:sz w:val="13"/>
          <w:szCs w:val="13"/>
          <w:color w:val="auto"/>
        </w:rPr>
      </w:pPr>
    </w:p>
    <w:p>
      <w:pPr>
        <w:ind w:left="221" w:right="100" w:firstLine="172"/>
        <w:spacing w:after="0" w:line="276" w:lineRule="auto"/>
        <w:tabs>
          <w:tab w:leader="none" w:pos="571" w:val="left"/>
        </w:tabs>
        <w:numPr>
          <w:ilvl w:val="1"/>
          <w:numId w:val="74"/>
        </w:numPr>
        <w:rPr>
          <w:rFonts w:ascii="Arial" w:cs="Arial" w:eastAsia="Arial" w:hAnsi="Arial"/>
          <w:sz w:val="13"/>
          <w:szCs w:val="13"/>
          <w:color w:val="auto"/>
        </w:rPr>
      </w:pPr>
      <w:r>
        <w:rPr>
          <w:rFonts w:ascii="Arial" w:cs="Arial" w:eastAsia="Arial" w:hAnsi="Arial"/>
          <w:sz w:val="13"/>
          <w:szCs w:val="13"/>
          <w:color w:val="auto"/>
        </w:rPr>
        <w:t>Mortgages on property or assets of, or on any shares of stock, ownership interests in or indebtedness of, any Person existing at the time such Person becomes a Subsidiary (including a Restricted Subsidiary) of the Company;</w:t>
      </w:r>
    </w:p>
    <w:p>
      <w:pPr>
        <w:spacing w:after="0" w:line="49" w:lineRule="exact"/>
        <w:rPr>
          <w:rFonts w:ascii="Arial" w:cs="Arial" w:eastAsia="Arial" w:hAnsi="Arial"/>
          <w:sz w:val="13"/>
          <w:szCs w:val="13"/>
          <w:color w:val="auto"/>
        </w:rPr>
      </w:pPr>
    </w:p>
    <w:p>
      <w:pPr>
        <w:jc w:val="both"/>
        <w:ind w:left="221" w:firstLine="172"/>
        <w:spacing w:after="0" w:line="260" w:lineRule="auto"/>
        <w:tabs>
          <w:tab w:leader="none" w:pos="563" w:val="left"/>
        </w:tabs>
        <w:numPr>
          <w:ilvl w:val="1"/>
          <w:numId w:val="74"/>
        </w:numPr>
        <w:rPr>
          <w:rFonts w:ascii="Arial" w:cs="Arial" w:eastAsia="Arial" w:hAnsi="Arial"/>
          <w:sz w:val="13"/>
          <w:szCs w:val="13"/>
          <w:color w:val="auto"/>
        </w:rPr>
      </w:pPr>
      <w:r>
        <w:rPr>
          <w:rFonts w:ascii="Arial" w:cs="Arial" w:eastAsia="Arial" w:hAnsi="Arial"/>
          <w:sz w:val="13"/>
          <w:szCs w:val="13"/>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59" w:lineRule="exact"/>
        <w:rPr>
          <w:rFonts w:ascii="Arial" w:cs="Arial" w:eastAsia="Arial" w:hAnsi="Arial"/>
          <w:sz w:val="13"/>
          <w:szCs w:val="13"/>
          <w:color w:val="auto"/>
        </w:rPr>
      </w:pPr>
    </w:p>
    <w:p>
      <w:pPr>
        <w:ind w:left="581" w:hanging="188"/>
        <w:spacing w:after="0"/>
        <w:tabs>
          <w:tab w:leader="none" w:pos="581" w:val="left"/>
        </w:tabs>
        <w:numPr>
          <w:ilvl w:val="1"/>
          <w:numId w:val="74"/>
        </w:numPr>
        <w:rPr>
          <w:rFonts w:ascii="Arial" w:cs="Arial" w:eastAsia="Arial" w:hAnsi="Arial"/>
          <w:sz w:val="13"/>
          <w:szCs w:val="13"/>
          <w:color w:val="auto"/>
        </w:rPr>
      </w:pPr>
      <w:r>
        <w:rPr>
          <w:rFonts w:ascii="Arial" w:cs="Arial" w:eastAsia="Arial" w:hAnsi="Arial"/>
          <w:sz w:val="13"/>
          <w:szCs w:val="13"/>
          <w:color w:val="auto"/>
        </w:rPr>
        <w:t>Mortgages in favor of the Company or any of its Subsidiaries;</w:t>
      </w:r>
    </w:p>
    <w:p>
      <w:pPr>
        <w:spacing w:after="0" w:line="86" w:lineRule="exact"/>
        <w:rPr>
          <w:rFonts w:ascii="Arial" w:cs="Arial" w:eastAsia="Arial" w:hAnsi="Arial"/>
          <w:sz w:val="13"/>
          <w:szCs w:val="13"/>
          <w:color w:val="auto"/>
        </w:rPr>
      </w:pPr>
    </w:p>
    <w:p>
      <w:pPr>
        <w:ind w:left="221" w:right="60" w:firstLine="172"/>
        <w:spacing w:after="0" w:line="264" w:lineRule="auto"/>
        <w:tabs>
          <w:tab w:leader="none" w:pos="563" w:val="left"/>
        </w:tabs>
        <w:numPr>
          <w:ilvl w:val="1"/>
          <w:numId w:val="74"/>
        </w:numPr>
        <w:rPr>
          <w:rFonts w:ascii="Arial" w:cs="Arial" w:eastAsia="Arial" w:hAnsi="Arial"/>
          <w:sz w:val="13"/>
          <w:szCs w:val="13"/>
          <w:color w:val="auto"/>
        </w:rPr>
      </w:pPr>
      <w:r>
        <w:rPr>
          <w:rFonts w:ascii="Arial" w:cs="Arial" w:eastAsia="Arial" w:hAnsi="Arial"/>
          <w:sz w:val="13"/>
          <w:szCs w:val="13"/>
          <w:color w:val="auto"/>
        </w:rPr>
        <w:t>the Mortgage of any of the Company’s property or assets or any property or assets of any of its Restricted Subsidiaries in favor of the United States of America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57" w:lineRule="exact"/>
        <w:rPr>
          <w:rFonts w:ascii="Arial" w:cs="Arial" w:eastAsia="Arial" w:hAnsi="Arial"/>
          <w:sz w:val="13"/>
          <w:szCs w:val="13"/>
          <w:color w:val="auto"/>
        </w:rPr>
      </w:pPr>
    </w:p>
    <w:p>
      <w:pPr>
        <w:ind w:left="561" w:hanging="168"/>
        <w:spacing w:after="0"/>
        <w:tabs>
          <w:tab w:leader="none" w:pos="561" w:val="left"/>
        </w:tabs>
        <w:numPr>
          <w:ilvl w:val="1"/>
          <w:numId w:val="74"/>
        </w:numPr>
        <w:rPr>
          <w:rFonts w:ascii="Arial" w:cs="Arial" w:eastAsia="Arial" w:hAnsi="Arial"/>
          <w:sz w:val="13"/>
          <w:szCs w:val="13"/>
          <w:color w:val="auto"/>
        </w:rPr>
      </w:pPr>
      <w:r>
        <w:rPr>
          <w:rFonts w:ascii="Arial" w:cs="Arial" w:eastAsia="Arial" w:hAnsi="Arial"/>
          <w:sz w:val="13"/>
          <w:szCs w:val="13"/>
          <w:color w:val="auto"/>
        </w:rPr>
        <w:t>the Mortgage of any property or assets to secure indebtedness of the pollution control, industrial revenue or other revenue bond type;</w:t>
      </w:r>
    </w:p>
    <w:p>
      <w:pPr>
        <w:spacing w:after="0" w:line="86" w:lineRule="exact"/>
        <w:rPr>
          <w:rFonts w:ascii="Arial" w:cs="Arial" w:eastAsia="Arial" w:hAnsi="Arial"/>
          <w:sz w:val="13"/>
          <w:szCs w:val="13"/>
          <w:color w:val="auto"/>
        </w:rPr>
      </w:pPr>
    </w:p>
    <w:p>
      <w:pPr>
        <w:ind w:left="221" w:firstLine="172"/>
        <w:spacing w:after="0" w:line="264" w:lineRule="auto"/>
        <w:tabs>
          <w:tab w:leader="none" w:pos="571" w:val="left"/>
        </w:tabs>
        <w:numPr>
          <w:ilvl w:val="1"/>
          <w:numId w:val="74"/>
        </w:numPr>
        <w:rPr>
          <w:rFonts w:ascii="Arial" w:cs="Arial" w:eastAsia="Arial" w:hAnsi="Arial"/>
          <w:sz w:val="13"/>
          <w:szCs w:val="13"/>
          <w:color w:val="auto"/>
        </w:rPr>
      </w:pPr>
      <w:r>
        <w:rPr>
          <w:rFonts w:ascii="Arial" w:cs="Arial" w:eastAsia="Arial" w:hAnsi="Arial"/>
          <w:sz w:val="13"/>
          <w:szCs w:val="13"/>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21" w:name="page122"/>
    <w:bookmarkEnd w:id="121"/>
    <w:p>
      <w:pPr>
        <w:ind w:left="60" w:right="500" w:firstLine="172"/>
        <w:spacing w:after="0" w:line="276" w:lineRule="auto"/>
        <w:tabs>
          <w:tab w:leader="none" w:pos="409" w:val="left"/>
        </w:tabs>
        <w:numPr>
          <w:ilvl w:val="0"/>
          <w:numId w:val="75"/>
        </w:numPr>
        <w:rPr>
          <w:rFonts w:ascii="Arial" w:cs="Arial" w:eastAsia="Arial" w:hAnsi="Arial"/>
          <w:sz w:val="13"/>
          <w:szCs w:val="13"/>
          <w:color w:val="auto"/>
        </w:rPr>
      </w:pPr>
      <w:r>
        <w:rPr>
          <w:rFonts w:ascii="Arial" w:cs="Arial" w:eastAsia="Arial" w:hAnsi="Arial"/>
          <w:sz w:val="13"/>
          <w:szCs w:val="13"/>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49" w:lineRule="exact"/>
        <w:rPr>
          <w:rFonts w:ascii="Arial" w:cs="Arial" w:eastAsia="Arial" w:hAnsi="Arial"/>
          <w:sz w:val="13"/>
          <w:szCs w:val="13"/>
          <w:color w:val="auto"/>
        </w:rPr>
      </w:pPr>
    </w:p>
    <w:p>
      <w:pPr>
        <w:ind w:left="380" w:hanging="148"/>
        <w:spacing w:after="0"/>
        <w:tabs>
          <w:tab w:leader="none" w:pos="3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Mortgages created in connection with the acquisition of property or assets, or a project financed with, Non-recourse Debt; and</w:t>
      </w:r>
    </w:p>
    <w:p>
      <w:pPr>
        <w:spacing w:after="0" w:line="86" w:lineRule="exact"/>
        <w:rPr>
          <w:rFonts w:ascii="Arial" w:cs="Arial" w:eastAsia="Arial" w:hAnsi="Arial"/>
          <w:sz w:val="13"/>
          <w:szCs w:val="13"/>
          <w:color w:val="auto"/>
        </w:rPr>
      </w:pPr>
    </w:p>
    <w:p>
      <w:pPr>
        <w:ind w:left="60" w:right="160" w:firstLine="172"/>
        <w:spacing w:after="0" w:line="371" w:lineRule="auto"/>
        <w:tabs>
          <w:tab w:leader="none" w:pos="380" w:val="left"/>
        </w:tabs>
        <w:numPr>
          <w:ilvl w:val="0"/>
          <w:numId w:val="75"/>
        </w:numPr>
        <w:rPr>
          <w:rFonts w:ascii="Arial" w:cs="Arial" w:eastAsia="Arial" w:hAnsi="Arial"/>
          <w:sz w:val="11"/>
          <w:szCs w:val="11"/>
          <w:color w:val="auto"/>
        </w:rPr>
      </w:pPr>
      <w:r>
        <w:rPr>
          <w:rFonts w:ascii="Arial" w:cs="Arial" w:eastAsia="Arial" w:hAnsi="Arial"/>
          <w:sz w:val="11"/>
          <w:szCs w:val="11"/>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4.6. </w:t>
      </w:r>
      <w:r>
        <w:rPr>
          <w:rFonts w:ascii="Arial" w:cs="Arial" w:eastAsia="Arial" w:hAnsi="Arial"/>
          <w:sz w:val="13"/>
          <w:szCs w:val="13"/>
          <w:u w:val="single" w:color="auto"/>
          <w:color w:val="auto"/>
        </w:rPr>
        <w:t>Additional Amounts</w:t>
      </w:r>
      <w:r>
        <w:rPr>
          <w:rFonts w:ascii="Arial" w:cs="Arial" w:eastAsia="Arial" w:hAnsi="Arial"/>
          <w:sz w:val="13"/>
          <w:szCs w:val="13"/>
          <w:color w:val="auto"/>
        </w:rPr>
        <w:t>.</w:t>
      </w:r>
    </w:p>
    <w:p>
      <w:pPr>
        <w:spacing w:after="0" w:line="86" w:lineRule="exact"/>
        <w:rPr>
          <w:sz w:val="20"/>
          <w:szCs w:val="20"/>
          <w:color w:val="auto"/>
        </w:rPr>
      </w:pPr>
    </w:p>
    <w:p>
      <w:pPr>
        <w:ind w:left="60" w:right="40" w:firstLine="172"/>
        <w:spacing w:after="0" w:line="279" w:lineRule="auto"/>
        <w:tabs>
          <w:tab w:leader="none" w:pos="402" w:val="left"/>
        </w:tabs>
        <w:numPr>
          <w:ilvl w:val="0"/>
          <w:numId w:val="76"/>
        </w:numPr>
        <w:rPr>
          <w:rFonts w:ascii="Arial" w:cs="Arial" w:eastAsia="Arial" w:hAnsi="Arial"/>
          <w:sz w:val="12"/>
          <w:szCs w:val="12"/>
          <w:color w:val="auto"/>
        </w:rPr>
      </w:pPr>
      <w:r>
        <w:rPr>
          <w:rFonts w:ascii="Arial" w:cs="Arial" w:eastAsia="Arial" w:hAnsi="Arial"/>
          <w:sz w:val="12"/>
          <w:szCs w:val="12"/>
          <w:color w:val="auto"/>
        </w:rPr>
        <w:t>All payments made by the Company under or with respect to the Securities will be made free and clear of and without withholding or deduction for, or on account of, any present or future tax, duty, levy, assessment or other governmental charge, including any related interest, penalties or additions to tax (“</w:t>
      </w:r>
      <w:r>
        <w:rPr>
          <w:rFonts w:ascii="Arial" w:cs="Arial" w:eastAsia="Arial" w:hAnsi="Arial"/>
          <w:sz w:val="12"/>
          <w:szCs w:val="12"/>
          <w:i w:val="1"/>
          <w:iCs w:val="1"/>
          <w:color w:val="auto"/>
        </w:rPr>
        <w:t>Taxes</w:t>
      </w:r>
      <w:r>
        <w:rPr>
          <w:rFonts w:ascii="Arial" w:cs="Arial" w:eastAsia="Arial" w:hAnsi="Arial"/>
          <w:sz w:val="12"/>
          <w:szCs w:val="12"/>
          <w:color w:val="auto"/>
        </w:rPr>
        <w:t>”) unless the withholding or deduction of such Taxes is then required by law or by interpretation or administration of law. If any deduction or withholding for, or on account of, any Taxes imposed or levied by or on behalf of (1) any jurisdiction in which the Company is then incorporated or organized or any political subdivision thereof or therein (each, a “</w:t>
      </w:r>
      <w:r>
        <w:rPr>
          <w:rFonts w:ascii="Arial" w:cs="Arial" w:eastAsia="Arial" w:hAnsi="Arial"/>
          <w:sz w:val="12"/>
          <w:szCs w:val="12"/>
          <w:i w:val="1"/>
          <w:iCs w:val="1"/>
          <w:color w:val="auto"/>
        </w:rPr>
        <w:t>Company Tax Jurisdiction</w:t>
      </w:r>
      <w:r>
        <w:rPr>
          <w:rFonts w:ascii="Arial" w:cs="Arial" w:eastAsia="Arial" w:hAnsi="Arial"/>
          <w:sz w:val="12"/>
          <w:szCs w:val="12"/>
          <w:color w:val="auto"/>
        </w:rPr>
        <w:t>”) or (2) any jurisdiction from or through which payment is made by or on behalf of the Company (including the jurisdiction of any Paying Agent for the applicable Securities) or any political subdivision thereof or therein (each, together with each Company Tax Jurisdiction, a “</w:t>
      </w:r>
      <w:r>
        <w:rPr>
          <w:rFonts w:ascii="Arial" w:cs="Arial" w:eastAsia="Arial" w:hAnsi="Arial"/>
          <w:sz w:val="12"/>
          <w:szCs w:val="12"/>
          <w:i w:val="1"/>
          <w:iCs w:val="1"/>
          <w:color w:val="auto"/>
        </w:rPr>
        <w:t>Tax Jurisdiction</w:t>
      </w:r>
      <w:r>
        <w:rPr>
          <w:rFonts w:ascii="Arial" w:cs="Arial" w:eastAsia="Arial" w:hAnsi="Arial"/>
          <w:sz w:val="12"/>
          <w:szCs w:val="12"/>
          <w:color w:val="auto"/>
        </w:rPr>
        <w:t>”) will at any time be required to be made from any payments made by the Company under or with respect to the Securities, including payments of principal, redemption price, interest or premium, the Company will pay such additional amounts (the “</w:t>
      </w:r>
      <w:r>
        <w:rPr>
          <w:rFonts w:ascii="Arial" w:cs="Arial" w:eastAsia="Arial" w:hAnsi="Arial"/>
          <w:sz w:val="12"/>
          <w:szCs w:val="12"/>
          <w:i w:val="1"/>
          <w:iCs w:val="1"/>
          <w:color w:val="auto"/>
        </w:rPr>
        <w:t>Additional</w:t>
      </w:r>
      <w:r>
        <w:rPr>
          <w:rFonts w:ascii="Arial" w:cs="Arial" w:eastAsia="Arial" w:hAnsi="Arial"/>
          <w:sz w:val="12"/>
          <w:szCs w:val="12"/>
          <w:color w:val="auto"/>
        </w:rPr>
        <w:t xml:space="preserve"> </w:t>
      </w:r>
      <w:r>
        <w:rPr>
          <w:rFonts w:ascii="Arial" w:cs="Arial" w:eastAsia="Arial" w:hAnsi="Arial"/>
          <w:sz w:val="12"/>
          <w:szCs w:val="12"/>
          <w:i w:val="1"/>
          <w:iCs w:val="1"/>
          <w:color w:val="auto"/>
        </w:rPr>
        <w:t>Amounts</w:t>
      </w:r>
      <w:r>
        <w:rPr>
          <w:rFonts w:ascii="Arial" w:cs="Arial" w:eastAsia="Arial" w:hAnsi="Arial"/>
          <w:sz w:val="12"/>
          <w:szCs w:val="12"/>
          <w:color w:val="auto"/>
        </w:rPr>
        <w:t>”) as may be necessary in order that the net amounts received with respect to such payments by each holder of the applicable Securities after such withholding, deduction or imposition (including any such</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withholding, deduction or imposition from such Additional Amounts) will equal the respective amounts that would have been received with respect to such payments in the absence of such withholding or deduction;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 Additional Amounts will be payable with respect to:</w:t>
      </w:r>
    </w:p>
    <w:p>
      <w:pPr>
        <w:spacing w:after="0" w:line="50" w:lineRule="exact"/>
        <w:rPr>
          <w:rFonts w:ascii="Arial" w:cs="Arial" w:eastAsia="Arial" w:hAnsi="Arial"/>
          <w:sz w:val="12"/>
          <w:szCs w:val="12"/>
          <w:color w:val="auto"/>
        </w:rPr>
      </w:pPr>
    </w:p>
    <w:p>
      <w:pPr>
        <w:jc w:val="both"/>
        <w:ind w:left="300" w:firstLine="161"/>
        <w:spacing w:after="0" w:line="260" w:lineRule="auto"/>
        <w:tabs>
          <w:tab w:leader="none" w:pos="649" w:val="left"/>
        </w:tabs>
        <w:numPr>
          <w:ilvl w:val="1"/>
          <w:numId w:val="76"/>
        </w:numPr>
        <w:rPr>
          <w:rFonts w:ascii="Arial" w:cs="Arial" w:eastAsia="Arial" w:hAnsi="Arial"/>
          <w:sz w:val="13"/>
          <w:szCs w:val="13"/>
          <w:color w:val="auto"/>
        </w:rPr>
      </w:pPr>
      <w:r>
        <w:rPr>
          <w:rFonts w:ascii="Arial" w:cs="Arial" w:eastAsia="Arial" w:hAnsi="Arial"/>
          <w:sz w:val="13"/>
          <w:szCs w:val="13"/>
          <w:color w:val="auto"/>
        </w:rPr>
        <w:t>any Taxes, to the extent such Taxes would not have been imposed but for the existence of any actual or deemed present or former connection between the Holder or the beneficial owner of such Securities and the relevant Tax Jurisdiction (including being or having been a national, resident or citizen of, being or having been engaged in a trade or business in, being or having been physically present in, or having or having had a permanent establishment in, such jurisdiction for Tax purposes), other than the holding of such Security, the enforcement of rights under such Security or the receipt of any payments with respect to such Security;</w:t>
      </w:r>
    </w:p>
    <w:p>
      <w:pPr>
        <w:spacing w:after="0" w:line="119"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122" w:name="page123"/>
    <w:bookmarkEnd w:id="122"/>
    <w:p>
      <w:pPr>
        <w:ind w:left="240" w:right="100" w:firstLine="161"/>
        <w:spacing w:after="0" w:line="371" w:lineRule="auto"/>
        <w:tabs>
          <w:tab w:leader="none" w:pos="589" w:val="left"/>
        </w:tabs>
        <w:numPr>
          <w:ilvl w:val="1"/>
          <w:numId w:val="77"/>
        </w:numPr>
        <w:rPr>
          <w:rFonts w:ascii="Arial" w:cs="Arial" w:eastAsia="Arial" w:hAnsi="Arial"/>
          <w:sz w:val="11"/>
          <w:szCs w:val="11"/>
          <w:color w:val="auto"/>
        </w:rPr>
      </w:pPr>
      <w:r>
        <w:rPr>
          <w:rFonts w:ascii="Arial" w:cs="Arial" w:eastAsia="Arial" w:hAnsi="Arial"/>
          <w:sz w:val="11"/>
          <w:szCs w:val="11"/>
          <w:color w:val="auto"/>
        </w:rPr>
        <w:t>any Taxes, to the extent such Taxes were imposed as a result of the presentation of such Security for payment (where presentation is required) more than 30 days after the relevant payment is first made available for payment to the holder (except to the extent that the holder would have been entitled to Additional Amounts had the applicable Security been presented on the last day of such 30 day period);</w:t>
      </w:r>
    </w:p>
    <w:p>
      <w:pPr>
        <w:spacing w:after="0" w:line="2" w:lineRule="exact"/>
        <w:rPr>
          <w:rFonts w:ascii="Arial" w:cs="Arial" w:eastAsia="Arial" w:hAnsi="Arial"/>
          <w:sz w:val="11"/>
          <w:szCs w:val="11"/>
          <w:color w:val="auto"/>
        </w:rPr>
      </w:pPr>
    </w:p>
    <w:p>
      <w:pPr>
        <w:ind w:left="580" w:hanging="179"/>
        <w:spacing w:after="0"/>
        <w:tabs>
          <w:tab w:leader="none" w:pos="580" w:val="left"/>
        </w:tabs>
        <w:numPr>
          <w:ilvl w:val="1"/>
          <w:numId w:val="77"/>
        </w:numPr>
        <w:rPr>
          <w:rFonts w:ascii="Arial" w:cs="Arial" w:eastAsia="Arial" w:hAnsi="Arial"/>
          <w:sz w:val="13"/>
          <w:szCs w:val="13"/>
          <w:color w:val="auto"/>
        </w:rPr>
      </w:pPr>
      <w:r>
        <w:rPr>
          <w:rFonts w:ascii="Arial" w:cs="Arial" w:eastAsia="Arial" w:hAnsi="Arial"/>
          <w:sz w:val="13"/>
          <w:szCs w:val="13"/>
          <w:color w:val="auto"/>
        </w:rPr>
        <w:t>any estate, inheritance, gift, sales, transfer, personal property or similar Taxes;</w:t>
      </w:r>
    </w:p>
    <w:p>
      <w:pPr>
        <w:spacing w:after="0" w:line="86" w:lineRule="exact"/>
        <w:rPr>
          <w:rFonts w:ascii="Arial" w:cs="Arial" w:eastAsia="Arial" w:hAnsi="Arial"/>
          <w:sz w:val="13"/>
          <w:szCs w:val="13"/>
          <w:color w:val="auto"/>
        </w:rPr>
      </w:pPr>
    </w:p>
    <w:p>
      <w:pPr>
        <w:ind w:left="240" w:firstLine="161"/>
        <w:spacing w:after="0" w:line="276" w:lineRule="auto"/>
        <w:tabs>
          <w:tab w:leader="none" w:pos="589" w:val="left"/>
        </w:tabs>
        <w:numPr>
          <w:ilvl w:val="1"/>
          <w:numId w:val="77"/>
        </w:numPr>
        <w:rPr>
          <w:rFonts w:ascii="Arial" w:cs="Arial" w:eastAsia="Arial" w:hAnsi="Arial"/>
          <w:sz w:val="13"/>
          <w:szCs w:val="13"/>
          <w:color w:val="auto"/>
        </w:rPr>
      </w:pPr>
      <w:r>
        <w:rPr>
          <w:rFonts w:ascii="Arial" w:cs="Arial" w:eastAsia="Arial" w:hAnsi="Arial"/>
          <w:sz w:val="13"/>
          <w:szCs w:val="13"/>
          <w:color w:val="auto"/>
        </w:rPr>
        <w:t>any Tax imposed on or with respect to any payment by the Company to the Holder if such Holder is a fiduciary, partnership, limited liability company or other Person other than the sole beneficial owner of such payment to the extent that Taxes would not have been imposed on such payment had such Holder been the sole beneficial owner of such Security;</w:t>
      </w:r>
    </w:p>
    <w:p>
      <w:pPr>
        <w:spacing w:after="0" w:line="49" w:lineRule="exact"/>
        <w:rPr>
          <w:rFonts w:ascii="Arial" w:cs="Arial" w:eastAsia="Arial" w:hAnsi="Arial"/>
          <w:sz w:val="13"/>
          <w:szCs w:val="13"/>
          <w:color w:val="auto"/>
        </w:rPr>
      </w:pPr>
    </w:p>
    <w:p>
      <w:pPr>
        <w:ind w:left="240" w:right="120" w:firstLine="161"/>
        <w:spacing w:after="0" w:line="276" w:lineRule="auto"/>
        <w:tabs>
          <w:tab w:leader="none" w:pos="589" w:val="left"/>
        </w:tabs>
        <w:numPr>
          <w:ilvl w:val="1"/>
          <w:numId w:val="77"/>
        </w:numPr>
        <w:rPr>
          <w:rFonts w:ascii="Arial" w:cs="Arial" w:eastAsia="Arial" w:hAnsi="Arial"/>
          <w:sz w:val="13"/>
          <w:szCs w:val="13"/>
          <w:color w:val="auto"/>
        </w:rPr>
      </w:pPr>
      <w:r>
        <w:rPr>
          <w:rFonts w:ascii="Arial" w:cs="Arial" w:eastAsia="Arial" w:hAnsi="Arial"/>
          <w:sz w:val="13"/>
          <w:szCs w:val="13"/>
          <w:color w:val="auto"/>
        </w:rPr>
        <w:t>with respect to any Taxes imposed by the United States, any such Taxes imposed by reason of the failure of such Holder to fulfill the statement requirements of Sections 871(h) or 881(c) of the Internal Revenue Code of 1986, as amended;</w:t>
      </w:r>
    </w:p>
    <w:p>
      <w:pPr>
        <w:spacing w:after="0" w:line="49" w:lineRule="exact"/>
        <w:rPr>
          <w:rFonts w:ascii="Arial" w:cs="Arial" w:eastAsia="Arial" w:hAnsi="Arial"/>
          <w:sz w:val="13"/>
          <w:szCs w:val="13"/>
          <w:color w:val="auto"/>
        </w:rPr>
      </w:pPr>
    </w:p>
    <w:p>
      <w:pPr>
        <w:ind w:left="240" w:right="280" w:firstLine="161"/>
        <w:spacing w:after="0" w:line="276" w:lineRule="auto"/>
        <w:tabs>
          <w:tab w:leader="none" w:pos="589" w:val="left"/>
        </w:tabs>
        <w:numPr>
          <w:ilvl w:val="1"/>
          <w:numId w:val="77"/>
        </w:numPr>
        <w:rPr>
          <w:rFonts w:ascii="Arial" w:cs="Arial" w:eastAsia="Arial" w:hAnsi="Arial"/>
          <w:sz w:val="13"/>
          <w:szCs w:val="13"/>
          <w:color w:val="auto"/>
        </w:rPr>
      </w:pPr>
      <w:r>
        <w:rPr>
          <w:rFonts w:ascii="Arial" w:cs="Arial" w:eastAsia="Arial" w:hAnsi="Arial"/>
          <w:sz w:val="13"/>
          <w:szCs w:val="13"/>
          <w:color w:val="auto"/>
        </w:rPr>
        <w:t>Taxes imposed on or with respect to a payment made to a Holder or beneficial owner of such Security who would have been able to avoid such withholding or deduction by presenting such Security (where presentation is required) to another Paying Agent;</w:t>
      </w:r>
    </w:p>
    <w:p>
      <w:pPr>
        <w:spacing w:after="0" w:line="49" w:lineRule="exact"/>
        <w:rPr>
          <w:rFonts w:ascii="Arial" w:cs="Arial" w:eastAsia="Arial" w:hAnsi="Arial"/>
          <w:sz w:val="13"/>
          <w:szCs w:val="13"/>
          <w:color w:val="auto"/>
        </w:rPr>
      </w:pPr>
    </w:p>
    <w:p>
      <w:pPr>
        <w:ind w:left="580" w:hanging="179"/>
        <w:spacing w:after="0"/>
        <w:tabs>
          <w:tab w:leader="none" w:pos="580" w:val="left"/>
        </w:tabs>
        <w:numPr>
          <w:ilvl w:val="1"/>
          <w:numId w:val="77"/>
        </w:numPr>
        <w:rPr>
          <w:rFonts w:ascii="Arial" w:cs="Arial" w:eastAsia="Arial" w:hAnsi="Arial"/>
          <w:sz w:val="13"/>
          <w:szCs w:val="13"/>
          <w:color w:val="auto"/>
        </w:rPr>
      </w:pPr>
      <w:r>
        <w:rPr>
          <w:rFonts w:ascii="Arial" w:cs="Arial" w:eastAsia="Arial" w:hAnsi="Arial"/>
          <w:sz w:val="13"/>
          <w:szCs w:val="13"/>
          <w:color w:val="auto"/>
        </w:rPr>
        <w:t>any Taxes payable other than by deduction or withholding from payments under, or with respect to, such Securities or the Guarantee;</w:t>
      </w:r>
    </w:p>
    <w:p>
      <w:pPr>
        <w:spacing w:after="0" w:line="86" w:lineRule="exact"/>
        <w:rPr>
          <w:rFonts w:ascii="Arial" w:cs="Arial" w:eastAsia="Arial" w:hAnsi="Arial"/>
          <w:sz w:val="13"/>
          <w:szCs w:val="13"/>
          <w:color w:val="auto"/>
        </w:rPr>
      </w:pPr>
    </w:p>
    <w:p>
      <w:pPr>
        <w:jc w:val="both"/>
        <w:ind w:left="240" w:right="100" w:firstLine="161"/>
        <w:spacing w:after="0" w:line="289" w:lineRule="auto"/>
        <w:tabs>
          <w:tab w:leader="none" w:pos="589" w:val="left"/>
        </w:tabs>
        <w:numPr>
          <w:ilvl w:val="1"/>
          <w:numId w:val="77"/>
        </w:numPr>
        <w:rPr>
          <w:rFonts w:ascii="Arial" w:cs="Arial" w:eastAsia="Arial" w:hAnsi="Arial"/>
          <w:sz w:val="12"/>
          <w:szCs w:val="12"/>
          <w:color w:val="auto"/>
        </w:rPr>
      </w:pPr>
      <w:r>
        <w:rPr>
          <w:rFonts w:ascii="Arial" w:cs="Arial" w:eastAsia="Arial" w:hAnsi="Arial"/>
          <w:sz w:val="12"/>
          <w:szCs w:val="12"/>
          <w:color w:val="auto"/>
        </w:rPr>
        <w:t>any Taxes to the extent such Taxes are imposed or withheld by reason of the failure of the Holder or beneficial owner of such Security, to comply with any written request of the Company addressed to the Holder or beneficial owner to satisfy any certification, identification, information or other reporting requirements, whether required by statute, treaty, regulation or administrative practice of a relevant Tax Jurisdiction, as a precondition to exemption from, or reduction in the rate of deduction or withholding of, Taxes imposed by the relevant Tax Jurisdiction (including a certification that the Holder or beneficial owner is not resident in such Tax Jurisdiction), but in each case, only to the extent the Holder or beneficial owner is legally entitled to provide such certification or documentation; or</w:t>
      </w:r>
    </w:p>
    <w:p>
      <w:pPr>
        <w:spacing w:after="0" w:line="43" w:lineRule="exact"/>
        <w:rPr>
          <w:rFonts w:ascii="Arial" w:cs="Arial" w:eastAsia="Arial" w:hAnsi="Arial"/>
          <w:sz w:val="12"/>
          <w:szCs w:val="12"/>
          <w:color w:val="auto"/>
        </w:rPr>
      </w:pPr>
    </w:p>
    <w:p>
      <w:pPr>
        <w:ind w:left="580" w:hanging="179"/>
        <w:spacing w:after="0"/>
        <w:tabs>
          <w:tab w:leader="none" w:pos="580" w:val="left"/>
        </w:tabs>
        <w:numPr>
          <w:ilvl w:val="1"/>
          <w:numId w:val="77"/>
        </w:numPr>
        <w:rPr>
          <w:rFonts w:ascii="Arial" w:cs="Arial" w:eastAsia="Arial" w:hAnsi="Arial"/>
          <w:sz w:val="13"/>
          <w:szCs w:val="13"/>
          <w:color w:val="auto"/>
        </w:rPr>
      </w:pPr>
      <w:r>
        <w:rPr>
          <w:rFonts w:ascii="Arial" w:cs="Arial" w:eastAsia="Arial" w:hAnsi="Arial"/>
          <w:sz w:val="13"/>
          <w:szCs w:val="13"/>
          <w:color w:val="auto"/>
        </w:rPr>
        <w:t>any combination of items (1) through (8) of this Section 4.6(a).</w:t>
      </w:r>
    </w:p>
    <w:p>
      <w:pPr>
        <w:spacing w:after="0" w:line="86" w:lineRule="exact"/>
        <w:rPr>
          <w:rFonts w:ascii="Arial" w:cs="Arial" w:eastAsia="Arial" w:hAnsi="Arial"/>
          <w:sz w:val="13"/>
          <w:szCs w:val="13"/>
          <w:color w:val="auto"/>
        </w:rPr>
      </w:pPr>
    </w:p>
    <w:p>
      <w:pPr>
        <w:ind w:right="220" w:firstLine="172"/>
        <w:spacing w:after="0" w:line="264" w:lineRule="auto"/>
        <w:tabs>
          <w:tab w:leader="none" w:pos="349" w:val="left"/>
        </w:tabs>
        <w:numPr>
          <w:ilvl w:val="0"/>
          <w:numId w:val="78"/>
        </w:numPr>
        <w:rPr>
          <w:rFonts w:ascii="Arial" w:cs="Arial" w:eastAsia="Arial" w:hAnsi="Arial"/>
          <w:sz w:val="13"/>
          <w:szCs w:val="13"/>
          <w:color w:val="auto"/>
        </w:rPr>
      </w:pPr>
      <w:r>
        <w:rPr>
          <w:rFonts w:ascii="Arial" w:cs="Arial" w:eastAsia="Arial" w:hAnsi="Arial"/>
          <w:sz w:val="13"/>
          <w:szCs w:val="13"/>
          <w:color w:val="auto"/>
        </w:rPr>
        <w:t>In addition to the foregoing, the Company will also pay and indemnify the Holders for any present or future stamp, issue, registration, court or documentary Taxes, or any other excise or property Taxes, charges or similar levies (including penalties, interest and any other reasonable expenses related thereto) which are levied by a relevant Tax Jurisdiction on the execution, delivery, issuance, or registration of the Securities, or</w:t>
      </w:r>
    </w:p>
    <w:p>
      <w:pPr>
        <w:spacing w:after="0" w:line="116"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123" w:name="page124"/>
    <w:bookmarkEnd w:id="123"/>
    <w:p>
      <w:pPr>
        <w:ind w:left="220"/>
        <w:spacing w:after="0"/>
        <w:rPr>
          <w:sz w:val="20"/>
          <w:szCs w:val="20"/>
          <w:color w:val="auto"/>
        </w:rPr>
      </w:pPr>
      <w:r>
        <w:rPr>
          <w:rFonts w:ascii="Arial" w:cs="Arial" w:eastAsia="Arial" w:hAnsi="Arial"/>
          <w:sz w:val="13"/>
          <w:szCs w:val="13"/>
          <w:color w:val="auto"/>
        </w:rPr>
        <w:t>the related Indenture, or any other document or instrument referred to therein in connection with a transfer of such Securities at the time of the initial resale by the initial purchasers.</w:t>
      </w:r>
    </w:p>
    <w:p>
      <w:pPr>
        <w:spacing w:after="0" w:line="86" w:lineRule="exact"/>
        <w:rPr>
          <w:sz w:val="20"/>
          <w:szCs w:val="20"/>
          <w:color w:val="auto"/>
        </w:rPr>
      </w:pPr>
    </w:p>
    <w:p>
      <w:pPr>
        <w:ind w:left="220" w:right="20" w:firstLine="172"/>
        <w:spacing w:after="0" w:line="258" w:lineRule="auto"/>
        <w:tabs>
          <w:tab w:leader="none" w:pos="562" w:val="left"/>
        </w:tabs>
        <w:numPr>
          <w:ilvl w:val="0"/>
          <w:numId w:val="79"/>
        </w:numPr>
        <w:rPr>
          <w:rFonts w:ascii="Arial" w:cs="Arial" w:eastAsia="Arial" w:hAnsi="Arial"/>
          <w:sz w:val="13"/>
          <w:szCs w:val="13"/>
          <w:color w:val="auto"/>
        </w:rPr>
      </w:pPr>
      <w:r>
        <w:rPr>
          <w:rFonts w:ascii="Arial" w:cs="Arial" w:eastAsia="Arial" w:hAnsi="Arial"/>
          <w:sz w:val="13"/>
          <w:szCs w:val="13"/>
          <w:color w:val="auto"/>
        </w:rPr>
        <w:t>If the Company becomes aware that it will be obligated to pay Additional Amounts with respect to any payment under or with respect to the Securities, the Company will deliver to the Trustee on a date that is at least 30 days prior to the date of that payment (unless the obligation to pay Additional Amounts arises fewer than 45 days prior to that payment date, in which case the Company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61" w:lineRule="exact"/>
        <w:rPr>
          <w:rFonts w:ascii="Arial" w:cs="Arial" w:eastAsia="Arial" w:hAnsi="Arial"/>
          <w:sz w:val="13"/>
          <w:szCs w:val="13"/>
          <w:color w:val="auto"/>
        </w:rPr>
      </w:pPr>
    </w:p>
    <w:p>
      <w:pPr>
        <w:ind w:left="220" w:right="120" w:firstLine="172"/>
        <w:spacing w:after="0" w:line="322" w:lineRule="auto"/>
        <w:tabs>
          <w:tab w:leader="none" w:pos="569" w:val="left"/>
        </w:tabs>
        <w:numPr>
          <w:ilvl w:val="0"/>
          <w:numId w:val="79"/>
        </w:numPr>
        <w:rPr>
          <w:rFonts w:ascii="Arial" w:cs="Arial" w:eastAsia="Arial" w:hAnsi="Arial"/>
          <w:sz w:val="11"/>
          <w:szCs w:val="11"/>
          <w:color w:val="auto"/>
        </w:rPr>
      </w:pPr>
      <w:r>
        <w:rPr>
          <w:rFonts w:ascii="Arial" w:cs="Arial" w:eastAsia="Arial" w:hAnsi="Arial"/>
          <w:sz w:val="11"/>
          <w:szCs w:val="11"/>
          <w:color w:val="auto"/>
        </w:rPr>
        <w:t>The Company will make all withholdings and deductions required by law with respect to the Securities, and will remit the full amount deducted or withheld to the relevant Tax authority in accordance with applicable law. The Company will use its reasonable efforts to obtain Tax receipts from each Tax authority evidencing the payment of any Taxes so deducted or withheld. Upon reasonable written request, the Company will furnish to the Trustee (or to a Holder or beneficial owner upon written request), within a reasonable time after the date the payment of any Taxes so deducted or withheld is made, certified copies of Tax receipts evidencing payment by the Company or if, notwithstanding the Company’s efforts to obtain receipts, receipts are not obtained, other evidence of payments (reasonably satisfactory to the Trustee).</w:t>
      </w:r>
    </w:p>
    <w:p>
      <w:pPr>
        <w:spacing w:after="0" w:line="28" w:lineRule="exact"/>
        <w:rPr>
          <w:rFonts w:ascii="Arial" w:cs="Arial" w:eastAsia="Arial" w:hAnsi="Arial"/>
          <w:sz w:val="11"/>
          <w:szCs w:val="11"/>
          <w:color w:val="auto"/>
        </w:rPr>
      </w:pPr>
    </w:p>
    <w:p>
      <w:pPr>
        <w:ind w:left="220" w:firstLine="172"/>
        <w:spacing w:after="0" w:line="264" w:lineRule="auto"/>
        <w:tabs>
          <w:tab w:leader="none" w:pos="562" w:val="left"/>
        </w:tabs>
        <w:numPr>
          <w:ilvl w:val="0"/>
          <w:numId w:val="79"/>
        </w:numPr>
        <w:rPr>
          <w:rFonts w:ascii="Arial" w:cs="Arial" w:eastAsia="Arial" w:hAnsi="Arial"/>
          <w:sz w:val="13"/>
          <w:szCs w:val="13"/>
          <w:color w:val="auto"/>
        </w:rPr>
      </w:pPr>
      <w:r>
        <w:rPr>
          <w:rFonts w:ascii="Arial" w:cs="Arial" w:eastAsia="Arial" w:hAnsi="Arial"/>
          <w:sz w:val="13"/>
          <w:szCs w:val="13"/>
          <w:color w:val="auto"/>
        </w:rPr>
        <w:t>Whenever in this Indenture there is mentioned, in any context, the payment of amounts based upon the principal amount of the Securities or of principal, interest or of any other amount payable under, or with respect to, any of the Securities, such mention shall be deemed to include mention of the payment of Additional Amounts to the extent that, in such context, Additional Amounts are, were or would be payable in respect thereof.</w:t>
      </w:r>
    </w:p>
    <w:p>
      <w:pPr>
        <w:spacing w:after="0" w:line="57" w:lineRule="exact"/>
        <w:rPr>
          <w:sz w:val="20"/>
          <w:szCs w:val="20"/>
          <w:color w:val="auto"/>
        </w:rPr>
      </w:pPr>
    </w:p>
    <w:p>
      <w:pPr>
        <w:jc w:val="both"/>
        <w:ind w:right="200" w:firstLine="325"/>
        <w:spacing w:after="0" w:line="264" w:lineRule="auto"/>
        <w:rPr>
          <w:sz w:val="20"/>
          <w:szCs w:val="20"/>
          <w:color w:val="auto"/>
        </w:rPr>
      </w:pPr>
      <w:r>
        <w:rPr>
          <w:rFonts w:ascii="Arial" w:cs="Arial" w:eastAsia="Arial" w:hAnsi="Arial"/>
          <w:sz w:val="13"/>
          <w:szCs w:val="13"/>
          <w:color w:val="auto"/>
        </w:rPr>
        <w:t>The obligations in this Section 4.6 will survive any termination, defeasance or discharge of this Indenture, any transfer by a Holder or beneficial owner of its Securities, and will apply, mutatis mutandis, to any jurisdiction in which any successor Person to the Company is incorporated or organized, or any jurisdiction from or through which payment is made by or on behalf of such Person on the Securities and any political subdivision thereof or therein.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4.7. </w:t>
      </w:r>
      <w:r>
        <w:rPr>
          <w:rFonts w:ascii="Arial" w:cs="Arial" w:eastAsia="Arial" w:hAnsi="Arial"/>
          <w:sz w:val="13"/>
          <w:szCs w:val="13"/>
          <w:u w:val="single" w:color="auto"/>
          <w:color w:val="auto"/>
        </w:rPr>
        <w:t>Reports</w:t>
      </w:r>
      <w:r>
        <w:rPr>
          <w:rFonts w:ascii="Arial" w:cs="Arial" w:eastAsia="Arial" w:hAnsi="Arial"/>
          <w:sz w:val="13"/>
          <w:szCs w:val="13"/>
          <w:color w:val="auto"/>
        </w:rPr>
        <w:t>.</w:t>
      </w:r>
    </w:p>
    <w:p>
      <w:pPr>
        <w:spacing w:after="0" w:line="86" w:lineRule="exact"/>
        <w:rPr>
          <w:sz w:val="20"/>
          <w:szCs w:val="20"/>
          <w:color w:val="auto"/>
        </w:rPr>
      </w:pPr>
    </w:p>
    <w:p>
      <w:pPr>
        <w:ind w:left="220" w:right="80" w:firstLine="172"/>
        <w:spacing w:after="0" w:line="371" w:lineRule="auto"/>
        <w:tabs>
          <w:tab w:leader="none" w:pos="562" w:val="left"/>
        </w:tabs>
        <w:numPr>
          <w:ilvl w:val="0"/>
          <w:numId w:val="80"/>
        </w:numPr>
        <w:rPr>
          <w:rFonts w:ascii="Arial" w:cs="Arial" w:eastAsia="Arial" w:hAnsi="Arial"/>
          <w:sz w:val="11"/>
          <w:szCs w:val="11"/>
          <w:color w:val="auto"/>
        </w:rPr>
      </w:pPr>
      <w:r>
        <w:rPr>
          <w:rFonts w:ascii="Arial" w:cs="Arial" w:eastAsia="Arial" w:hAnsi="Arial"/>
          <w:sz w:val="11"/>
          <w:szCs w:val="11"/>
          <w:color w:val="auto"/>
        </w:rPr>
        <w:t>So long as any Securities are outstanding, the Company shall file with the Trustee, within 15 days after the Company files with the SEC, copies of the annual reports and of the information, documents and other reports (or copies of such portions of any of the foregoing as the SEC may from time to time by rules and regulations prescribe) that the Company may be required to file with the SEC pursuant to Section 13</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4" w:name="page125"/>
    <w:bookmarkEnd w:id="124"/>
    <w:p>
      <w:pPr>
        <w:ind w:left="220" w:right="80"/>
        <w:spacing w:after="0" w:line="276" w:lineRule="auto"/>
        <w:rPr>
          <w:sz w:val="20"/>
          <w:szCs w:val="20"/>
          <w:color w:val="auto"/>
        </w:rPr>
      </w:pPr>
      <w:r>
        <w:rPr>
          <w:rFonts w:ascii="Arial" w:cs="Arial" w:eastAsia="Arial" w:hAnsi="Arial"/>
          <w:sz w:val="13"/>
          <w:szCs w:val="13"/>
          <w:color w:val="auto"/>
        </w:rPr>
        <w:t>or Section 15(d) of the Exchange Act. The Company shall be deemed to have complied with the previous sentence to the extent that such information, documents and reports are filed with the SEC via EDGAR (or any successor electronic delivery procedure).</w:t>
      </w:r>
    </w:p>
    <w:p>
      <w:pPr>
        <w:spacing w:after="0" w:line="49" w:lineRule="exact"/>
        <w:rPr>
          <w:sz w:val="20"/>
          <w:szCs w:val="20"/>
          <w:color w:val="auto"/>
        </w:rPr>
      </w:pPr>
    </w:p>
    <w:p>
      <w:pPr>
        <w:ind w:left="220" w:firstLine="172"/>
        <w:spacing w:after="0" w:line="320" w:lineRule="auto"/>
        <w:tabs>
          <w:tab w:leader="none" w:pos="569" w:val="left"/>
        </w:tabs>
        <w:numPr>
          <w:ilvl w:val="0"/>
          <w:numId w:val="81"/>
        </w:numPr>
        <w:rPr>
          <w:rFonts w:ascii="Arial" w:cs="Arial" w:eastAsia="Arial" w:hAnsi="Arial"/>
          <w:sz w:val="12"/>
          <w:szCs w:val="12"/>
          <w:color w:val="auto"/>
        </w:rPr>
      </w:pPr>
      <w:r>
        <w:rPr>
          <w:rFonts w:ascii="Arial" w:cs="Arial" w:eastAsia="Arial" w:hAnsi="Arial"/>
          <w:sz w:val="12"/>
          <w:szCs w:val="12"/>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SUCCESSORS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5.1. </w:t>
      </w:r>
      <w:r>
        <w:rPr>
          <w:rFonts w:ascii="Arial" w:cs="Arial" w:eastAsia="Arial" w:hAnsi="Arial"/>
          <w:sz w:val="13"/>
          <w:szCs w:val="13"/>
          <w:u w:val="single" w:color="auto"/>
          <w:color w:val="auto"/>
        </w:rPr>
        <w:t>Consolidation, Merger and Sale of Assets</w:t>
      </w:r>
      <w:r>
        <w:rPr>
          <w:rFonts w:ascii="Arial" w:cs="Arial" w:eastAsia="Arial" w:hAnsi="Arial"/>
          <w:sz w:val="13"/>
          <w:szCs w:val="13"/>
          <w:color w:val="auto"/>
        </w:rPr>
        <w:t>.</w:t>
      </w:r>
    </w:p>
    <w:p>
      <w:pPr>
        <w:spacing w:after="0" w:line="86" w:lineRule="exact"/>
        <w:rPr>
          <w:sz w:val="20"/>
          <w:szCs w:val="20"/>
          <w:color w:val="auto"/>
        </w:rPr>
      </w:pPr>
    </w:p>
    <w:p>
      <w:pPr>
        <w:jc w:val="both"/>
        <w:ind w:right="260" w:firstLine="325"/>
        <w:spacing w:after="0" w:line="296" w:lineRule="auto"/>
        <w:rPr>
          <w:sz w:val="20"/>
          <w:szCs w:val="20"/>
          <w:color w:val="auto"/>
        </w:rPr>
      </w:pPr>
      <w:r>
        <w:rPr>
          <w:rFonts w:ascii="Arial" w:cs="Arial" w:eastAsia="Arial" w:hAnsi="Arial"/>
          <w:sz w:val="12"/>
          <w:szCs w:val="12"/>
          <w:color w:val="auto"/>
        </w:rPr>
        <w:t>The Company may not consolidate with or merge into any other Person or transfer or lease all or substantially all of its assets to any Person unless any successor or purchaser expressly assumes its obligations under this Indenture and the Securities, by an indenture supplemental to this Indenture to which the Company is a party to, and immediately after which, no Default or Event of Default, shall have happened and be continuing. An Officer’s Certificate and an Opinion of Counsel will be delivered to the Trustee, which will serve as conclusive evidence of compliance with this Section 5.1.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DEFAULTS AND REMEDIES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6.1. </w:t>
      </w:r>
      <w:r>
        <w:rPr>
          <w:rFonts w:ascii="Arial" w:cs="Arial" w:eastAsia="Arial" w:hAnsi="Arial"/>
          <w:sz w:val="13"/>
          <w:szCs w:val="13"/>
          <w:u w:val="single" w:color="auto"/>
          <w:color w:val="auto"/>
        </w:rPr>
        <w:t>Events of Default</w:t>
      </w:r>
      <w:r>
        <w:rPr>
          <w:rFonts w:ascii="Arial" w:cs="Arial" w:eastAsia="Arial" w:hAnsi="Arial"/>
          <w:sz w:val="13"/>
          <w:szCs w:val="13"/>
          <w:color w:val="auto"/>
        </w:rPr>
        <w:t>.</w:t>
      </w:r>
    </w:p>
    <w:p>
      <w:pPr>
        <w:spacing w:after="0" w:line="86" w:lineRule="exact"/>
        <w:rPr>
          <w:sz w:val="20"/>
          <w:szCs w:val="20"/>
          <w:color w:val="auto"/>
        </w:rPr>
      </w:pPr>
    </w:p>
    <w:p>
      <w:pPr>
        <w:ind w:right="140" w:firstLine="325"/>
        <w:spacing w:after="0" w:line="276" w:lineRule="auto"/>
        <w:rPr>
          <w:sz w:val="20"/>
          <w:szCs w:val="20"/>
          <w:color w:val="auto"/>
        </w:rPr>
      </w:pPr>
      <w:r>
        <w:rPr>
          <w:rFonts w:ascii="Arial" w:cs="Arial" w:eastAsia="Arial" w:hAnsi="Arial"/>
          <w:sz w:val="13"/>
          <w:szCs w:val="13"/>
          <w:color w:val="auto"/>
        </w:rPr>
        <w:t>The following are “</w:t>
      </w:r>
      <w:r>
        <w:rPr>
          <w:rFonts w:ascii="Arial" w:cs="Arial" w:eastAsia="Arial" w:hAnsi="Arial"/>
          <w:sz w:val="13"/>
          <w:szCs w:val="13"/>
          <w:i w:val="1"/>
          <w:iCs w:val="1"/>
          <w:color w:val="auto"/>
        </w:rPr>
        <w:t>Events of Default</w:t>
      </w:r>
      <w:r>
        <w:rPr>
          <w:rFonts w:ascii="Arial" w:cs="Arial" w:eastAsia="Arial" w:hAnsi="Arial"/>
          <w:sz w:val="13"/>
          <w:szCs w:val="13"/>
          <w:color w:val="auto"/>
        </w:rPr>
        <w:t>” with respect to the Securities of any Series, unless in the establishing Board Resolution, Officer’s Certificate or supplemental indenture, it is provided that such Series shall not have the benefit of said Event of Default:</w:t>
      </w:r>
    </w:p>
    <w:p>
      <w:pPr>
        <w:spacing w:after="0" w:line="49" w:lineRule="exact"/>
        <w:rPr>
          <w:sz w:val="20"/>
          <w:szCs w:val="20"/>
          <w:color w:val="auto"/>
        </w:rPr>
      </w:pPr>
    </w:p>
    <w:p>
      <w:pPr>
        <w:ind w:left="560" w:hanging="168"/>
        <w:spacing w:after="0"/>
        <w:tabs>
          <w:tab w:leader="none" w:pos="560" w:val="left"/>
        </w:tabs>
        <w:numPr>
          <w:ilvl w:val="0"/>
          <w:numId w:val="82"/>
        </w:numPr>
        <w:rPr>
          <w:rFonts w:ascii="Arial" w:cs="Arial" w:eastAsia="Arial" w:hAnsi="Arial"/>
          <w:sz w:val="13"/>
          <w:szCs w:val="13"/>
          <w:color w:val="auto"/>
        </w:rPr>
      </w:pPr>
      <w:r>
        <w:rPr>
          <w:rFonts w:ascii="Arial" w:cs="Arial" w:eastAsia="Arial" w:hAnsi="Arial"/>
          <w:sz w:val="13"/>
          <w:szCs w:val="13"/>
          <w:color w:val="auto"/>
        </w:rPr>
        <w:t>failure to pay any interest on the Securities within 30 days after such interest becomes due and payable;</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failure to pay principal of the Securities at maturity, or if applicable, the redemption price, when the same become due and payable;</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82"/>
        </w:numPr>
        <w:rPr>
          <w:rFonts w:ascii="Arial" w:cs="Arial" w:eastAsia="Arial" w:hAnsi="Arial"/>
          <w:sz w:val="13"/>
          <w:szCs w:val="13"/>
          <w:color w:val="auto"/>
        </w:rPr>
      </w:pPr>
      <w:r>
        <w:rPr>
          <w:rFonts w:ascii="Arial" w:cs="Arial" w:eastAsia="Arial" w:hAnsi="Arial"/>
          <w:sz w:val="13"/>
          <w:szCs w:val="13"/>
          <w:color w:val="auto"/>
        </w:rPr>
        <w:t>failure to pay any sinking fund installment as and when the same shall become due and payable by the terms of the Securities, and continuance of such default for a period of 30 days;</w:t>
      </w:r>
    </w:p>
    <w:p>
      <w:pPr>
        <w:spacing w:after="0" w:line="86" w:lineRule="exact"/>
        <w:rPr>
          <w:rFonts w:ascii="Arial" w:cs="Arial" w:eastAsia="Arial" w:hAnsi="Arial"/>
          <w:sz w:val="13"/>
          <w:szCs w:val="13"/>
          <w:color w:val="auto"/>
        </w:rPr>
      </w:pPr>
    </w:p>
    <w:p>
      <w:pPr>
        <w:ind w:left="220" w:right="260" w:firstLine="172"/>
        <w:spacing w:after="0" w:line="320" w:lineRule="auto"/>
        <w:tabs>
          <w:tab w:leader="none" w:pos="569" w:val="left"/>
        </w:tabs>
        <w:numPr>
          <w:ilvl w:val="0"/>
          <w:numId w:val="82"/>
        </w:numPr>
        <w:rPr>
          <w:rFonts w:ascii="Arial" w:cs="Arial" w:eastAsia="Arial" w:hAnsi="Arial"/>
          <w:sz w:val="12"/>
          <w:szCs w:val="12"/>
          <w:color w:val="auto"/>
        </w:rPr>
      </w:pPr>
      <w:r>
        <w:rPr>
          <w:rFonts w:ascii="Arial" w:cs="Arial" w:eastAsia="Arial" w:hAnsi="Arial"/>
          <w:sz w:val="12"/>
          <w:szCs w:val="12"/>
          <w:color w:val="auto"/>
        </w:rPr>
        <w:t>failure to comply with any of the covenants or agreements in the Securities or this Indenture (other than an agreement or covenant that the Company has included in this Indenture solely for the benefit of another Series of Securities) for 90 days after written notice by the Trustee or by the Holders of at least 25% in principal amount of all outstanding debt securities affected by that failure;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5" w:name="page126"/>
    <w:bookmarkEnd w:id="125"/>
    <w:p>
      <w:pPr>
        <w:ind w:left="560" w:hanging="168"/>
        <w:spacing w:after="0"/>
        <w:tabs>
          <w:tab w:leader="none" w:pos="56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Company pursuant to or within the meaning of any Bankruptcy Law:</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1"/>
          <w:numId w:val="83"/>
        </w:numPr>
        <w:rPr>
          <w:rFonts w:ascii="Arial" w:cs="Arial" w:eastAsia="Arial" w:hAnsi="Arial"/>
          <w:sz w:val="13"/>
          <w:szCs w:val="13"/>
          <w:color w:val="auto"/>
        </w:rPr>
      </w:pPr>
      <w:r>
        <w:rPr>
          <w:rFonts w:ascii="Arial" w:cs="Arial" w:eastAsia="Arial" w:hAnsi="Arial"/>
          <w:sz w:val="13"/>
          <w:szCs w:val="13"/>
          <w:color w:val="auto"/>
        </w:rPr>
        <w:t>commences a voluntary case,</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1"/>
          <w:numId w:val="83"/>
        </w:numPr>
        <w:rPr>
          <w:rFonts w:ascii="Arial" w:cs="Arial" w:eastAsia="Arial" w:hAnsi="Arial"/>
          <w:sz w:val="13"/>
          <w:szCs w:val="13"/>
          <w:color w:val="auto"/>
        </w:rPr>
      </w:pPr>
      <w:r>
        <w:rPr>
          <w:rFonts w:ascii="Arial" w:cs="Arial" w:eastAsia="Arial" w:hAnsi="Arial"/>
          <w:sz w:val="13"/>
          <w:szCs w:val="13"/>
          <w:color w:val="auto"/>
        </w:rPr>
        <w:t>consents to the entry of an order for relief against it in an involuntary case,</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1"/>
          <w:numId w:val="83"/>
        </w:numPr>
        <w:rPr>
          <w:rFonts w:ascii="Arial" w:cs="Arial" w:eastAsia="Arial" w:hAnsi="Arial"/>
          <w:sz w:val="13"/>
          <w:szCs w:val="13"/>
          <w:color w:val="auto"/>
        </w:rPr>
      </w:pPr>
      <w:r>
        <w:rPr>
          <w:rFonts w:ascii="Arial" w:cs="Arial" w:eastAsia="Arial" w:hAnsi="Arial"/>
          <w:sz w:val="13"/>
          <w:szCs w:val="13"/>
          <w:color w:val="auto"/>
        </w:rPr>
        <w:t>consents to the appointment of a Custodian of it or for all or substantially all of its property,</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1"/>
          <w:numId w:val="83"/>
        </w:numPr>
        <w:rPr>
          <w:rFonts w:ascii="Arial" w:cs="Arial" w:eastAsia="Arial" w:hAnsi="Arial"/>
          <w:sz w:val="13"/>
          <w:szCs w:val="13"/>
          <w:color w:val="auto"/>
        </w:rPr>
      </w:pPr>
      <w:r>
        <w:rPr>
          <w:rFonts w:ascii="Arial" w:cs="Arial" w:eastAsia="Arial" w:hAnsi="Arial"/>
          <w:sz w:val="13"/>
          <w:szCs w:val="13"/>
          <w:color w:val="auto"/>
        </w:rPr>
        <w:t>makes a general assignment for the benefit of its creditors, or</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1"/>
          <w:numId w:val="83"/>
        </w:numPr>
        <w:rPr>
          <w:rFonts w:ascii="Arial" w:cs="Arial" w:eastAsia="Arial" w:hAnsi="Arial"/>
          <w:sz w:val="13"/>
          <w:szCs w:val="13"/>
          <w:color w:val="auto"/>
        </w:rPr>
      </w:pPr>
      <w:r>
        <w:rPr>
          <w:rFonts w:ascii="Arial" w:cs="Arial" w:eastAsia="Arial" w:hAnsi="Arial"/>
          <w:sz w:val="13"/>
          <w:szCs w:val="13"/>
          <w:color w:val="auto"/>
        </w:rPr>
        <w:t>generally is unable to pay its debts as the same become due; or</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 court of competent jurisdiction enters an order or decree under any Bankruptcy Law that:</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1"/>
          <w:numId w:val="83"/>
        </w:numPr>
        <w:rPr>
          <w:rFonts w:ascii="Arial" w:cs="Arial" w:eastAsia="Arial" w:hAnsi="Arial"/>
          <w:sz w:val="13"/>
          <w:szCs w:val="13"/>
          <w:color w:val="auto"/>
        </w:rPr>
      </w:pPr>
      <w:r>
        <w:rPr>
          <w:rFonts w:ascii="Arial" w:cs="Arial" w:eastAsia="Arial" w:hAnsi="Arial"/>
          <w:sz w:val="13"/>
          <w:szCs w:val="13"/>
          <w:color w:val="auto"/>
        </w:rPr>
        <w:t>is for relief against the Company in an involuntary case,</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1"/>
          <w:numId w:val="83"/>
        </w:numPr>
        <w:rPr>
          <w:rFonts w:ascii="Arial" w:cs="Arial" w:eastAsia="Arial" w:hAnsi="Arial"/>
          <w:sz w:val="13"/>
          <w:szCs w:val="13"/>
          <w:color w:val="auto"/>
        </w:rPr>
      </w:pPr>
      <w:r>
        <w:rPr>
          <w:rFonts w:ascii="Arial" w:cs="Arial" w:eastAsia="Arial" w:hAnsi="Arial"/>
          <w:sz w:val="13"/>
          <w:szCs w:val="13"/>
          <w:color w:val="auto"/>
        </w:rPr>
        <w:t>appoints a Custodian of the Company or for all or substantially all of its property, or</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1"/>
          <w:numId w:val="83"/>
        </w:numPr>
        <w:rPr>
          <w:rFonts w:ascii="Arial" w:cs="Arial" w:eastAsia="Arial" w:hAnsi="Arial"/>
          <w:sz w:val="13"/>
          <w:szCs w:val="13"/>
          <w:color w:val="auto"/>
        </w:rPr>
      </w:pPr>
      <w:r>
        <w:rPr>
          <w:rFonts w:ascii="Arial" w:cs="Arial" w:eastAsia="Arial" w:hAnsi="Arial"/>
          <w:sz w:val="13"/>
          <w:szCs w:val="13"/>
          <w:color w:val="auto"/>
        </w:rPr>
        <w:t>orders the liquidation of the Company,</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and the order or decree remains unstayed and in effect for 60 days; and</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(g) any other Event of Default provided in the supplemental indenture or Board Resolution under which such Series of Securities is issued or in the form of Security for such Series.</w:t>
      </w:r>
    </w:p>
    <w:p>
      <w:pPr>
        <w:spacing w:after="0" w:line="86" w:lineRule="exact"/>
        <w:rPr>
          <w:sz w:val="20"/>
          <w:szCs w:val="20"/>
          <w:color w:val="auto"/>
        </w:rPr>
      </w:pPr>
    </w:p>
    <w:p>
      <w:pPr>
        <w:ind w:right="60" w:firstLine="325"/>
        <w:spacing w:after="0" w:line="276" w:lineRule="auto"/>
        <w:rPr>
          <w:sz w:val="20"/>
          <w:szCs w:val="20"/>
          <w:color w:val="auto"/>
        </w:rPr>
      </w:pPr>
      <w:r>
        <w:rPr>
          <w:rFonts w:ascii="Arial" w:cs="Arial" w:eastAsia="Arial" w:hAnsi="Arial"/>
          <w:sz w:val="13"/>
          <w:szCs w:val="13"/>
          <w:color w:val="auto"/>
        </w:rPr>
        <w:t>The term “</w:t>
      </w:r>
      <w:r>
        <w:rPr>
          <w:rFonts w:ascii="Arial" w:cs="Arial" w:eastAsia="Arial" w:hAnsi="Arial"/>
          <w:sz w:val="13"/>
          <w:szCs w:val="13"/>
          <w:i w:val="1"/>
          <w:iCs w:val="1"/>
          <w:color w:val="auto"/>
        </w:rPr>
        <w:t>Bankruptcy Law</w:t>
      </w:r>
      <w:r>
        <w:rPr>
          <w:rFonts w:ascii="Arial" w:cs="Arial" w:eastAsia="Arial" w:hAnsi="Arial"/>
          <w:sz w:val="13"/>
          <w:szCs w:val="13"/>
          <w:color w:val="auto"/>
        </w:rPr>
        <w:t>” means title 11, U.S. Code or any similar Federal or State law for the relief of debtors. The term “</w:t>
      </w:r>
      <w:r>
        <w:rPr>
          <w:rFonts w:ascii="Arial" w:cs="Arial" w:eastAsia="Arial" w:hAnsi="Arial"/>
          <w:sz w:val="13"/>
          <w:szCs w:val="13"/>
          <w:i w:val="1"/>
          <w:iCs w:val="1"/>
          <w:color w:val="auto"/>
        </w:rPr>
        <w:t>Custodian</w:t>
      </w:r>
      <w:r>
        <w:rPr>
          <w:rFonts w:ascii="Arial" w:cs="Arial" w:eastAsia="Arial" w:hAnsi="Arial"/>
          <w:sz w:val="13"/>
          <w:szCs w:val="13"/>
          <w:color w:val="auto"/>
        </w:rPr>
        <w:t>” means any receiver, trustee, assignee, liquidator or similar official under any Bankruptcy Law.</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 Default under one Series of Securities issued under this Indenture will not necessarily be a default under another Series of Securities under this Indenture.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6.2. </w:t>
      </w:r>
      <w:r>
        <w:rPr>
          <w:rFonts w:ascii="Arial" w:cs="Arial" w:eastAsia="Arial" w:hAnsi="Arial"/>
          <w:sz w:val="13"/>
          <w:szCs w:val="13"/>
          <w:u w:val="single" w:color="auto"/>
          <w:color w:val="auto"/>
        </w:rPr>
        <w:t>Acceleration of Maturity; Rescission and Annulment</w:t>
      </w:r>
      <w:r>
        <w:rPr>
          <w:rFonts w:ascii="Arial" w:cs="Arial" w:eastAsia="Arial" w:hAnsi="Arial"/>
          <w:sz w:val="13"/>
          <w:szCs w:val="13"/>
          <w:color w:val="auto"/>
        </w:rPr>
        <w:t>.</w:t>
      </w:r>
    </w:p>
    <w:p>
      <w:pPr>
        <w:spacing w:after="0" w:line="86" w:lineRule="exact"/>
        <w:rPr>
          <w:sz w:val="20"/>
          <w:szCs w:val="20"/>
          <w:color w:val="auto"/>
        </w:rPr>
      </w:pPr>
    </w:p>
    <w:p>
      <w:pPr>
        <w:jc w:val="both"/>
        <w:ind w:firstLine="328"/>
        <w:spacing w:after="0" w:line="296" w:lineRule="auto"/>
        <w:rPr>
          <w:sz w:val="20"/>
          <w:szCs w:val="20"/>
          <w:color w:val="auto"/>
        </w:rPr>
      </w:pPr>
      <w:r>
        <w:rPr>
          <w:rFonts w:ascii="Arial" w:cs="Arial" w:eastAsia="Arial" w:hAnsi="Arial"/>
          <w:sz w:val="12"/>
          <w:szCs w:val="12"/>
          <w:color w:val="auto"/>
        </w:rPr>
        <w:t>If an Event of Default for a Series of Securities occurs and is continuing (other than an Event of Default referred to in Section 6.1(e) or (f)), the Trustee or the Holders of at least 25% in principal amount of such Series of Securities may require the Company to pay immediately the principal amount plus accrued and unpaid interest on such Securities. If an Event of Default referred to in Section 6.1(e) or (f) occurs, the principal amount plus accrued and unpaid interest on such Series of Securities will become immediately due and payable without any action on the part of the Trustee or any Holder.</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At any time after such a declaration of acceleration with respect to any Series has been made and before a judgment or decree for payment of the money due has been obtained by</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126" w:name="page127"/>
    <w:bookmarkEnd w:id="126"/>
    <w:p>
      <w:pPr>
        <w:jc w:val="both"/>
        <w:ind w:right="80"/>
        <w:spacing w:after="0" w:line="264" w:lineRule="auto"/>
        <w:rPr>
          <w:sz w:val="20"/>
          <w:szCs w:val="20"/>
          <w:color w:val="auto"/>
        </w:rPr>
      </w:pPr>
      <w:r>
        <w:rPr>
          <w:rFonts w:ascii="Arial" w:cs="Arial" w:eastAsia="Arial" w:hAnsi="Arial"/>
          <w:sz w:val="13"/>
          <w:szCs w:val="13"/>
          <w:color w:val="auto"/>
        </w:rPr>
        <w:t>the Trustee as hereinafter in this Article VI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No such rescission shall affect any subsequent Default or impair any right consequent thereon.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6.3. </w:t>
      </w:r>
      <w:r>
        <w:rPr>
          <w:rFonts w:ascii="Arial" w:cs="Arial" w:eastAsia="Arial" w:hAnsi="Arial"/>
          <w:sz w:val="13"/>
          <w:szCs w:val="13"/>
          <w:u w:val="single" w:color="auto"/>
          <w:color w:val="auto"/>
        </w:rPr>
        <w:t>Collection of Indebtedness and Suits for Enforcement by Trustee</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Company covenants that if</w:t>
      </w:r>
    </w:p>
    <w:p>
      <w:pPr>
        <w:spacing w:after="0" w:line="86" w:lineRule="exact"/>
        <w:rPr>
          <w:sz w:val="20"/>
          <w:szCs w:val="20"/>
          <w:color w:val="auto"/>
        </w:rPr>
      </w:pPr>
    </w:p>
    <w:p>
      <w:pPr>
        <w:ind w:left="560" w:hanging="168"/>
        <w:spacing w:after="0"/>
        <w:tabs>
          <w:tab w:leader="none" w:pos="560" w:val="left"/>
        </w:tabs>
        <w:numPr>
          <w:ilvl w:val="0"/>
          <w:numId w:val="84"/>
        </w:numPr>
        <w:rPr>
          <w:rFonts w:ascii="Arial" w:cs="Arial" w:eastAsia="Arial" w:hAnsi="Arial"/>
          <w:sz w:val="13"/>
          <w:szCs w:val="13"/>
          <w:color w:val="auto"/>
        </w:rPr>
      </w:pPr>
      <w:r>
        <w:rPr>
          <w:rFonts w:ascii="Arial" w:cs="Arial" w:eastAsia="Arial" w:hAnsi="Arial"/>
          <w:sz w:val="13"/>
          <w:szCs w:val="13"/>
          <w:color w:val="auto"/>
        </w:rPr>
        <w:t>default is made in the payment of any interest on any Security when such interest becomes due and payable and such default continues for a period of 30 days, or</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default is made in the payment of principal of any Security at the Maturity thereof, or</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84"/>
        </w:numPr>
        <w:rPr>
          <w:rFonts w:ascii="Arial" w:cs="Arial" w:eastAsia="Arial" w:hAnsi="Arial"/>
          <w:sz w:val="13"/>
          <w:szCs w:val="13"/>
          <w:color w:val="auto"/>
        </w:rPr>
      </w:pPr>
      <w:r>
        <w:rPr>
          <w:rFonts w:ascii="Arial" w:cs="Arial" w:eastAsia="Arial" w:hAnsi="Arial"/>
          <w:sz w:val="13"/>
          <w:szCs w:val="13"/>
          <w:color w:val="auto"/>
        </w:rPr>
        <w:t>default is made in the deposit of any sinking fund payment when and as due by the terms of a Security,</w:t>
      </w:r>
    </w:p>
    <w:p>
      <w:pPr>
        <w:spacing w:after="0" w:line="86" w:lineRule="exact"/>
        <w:rPr>
          <w:sz w:val="20"/>
          <w:szCs w:val="20"/>
          <w:color w:val="auto"/>
        </w:rPr>
      </w:pPr>
    </w:p>
    <w:p>
      <w:pPr>
        <w:ind w:right="40"/>
        <w:spacing w:after="0" w:line="296" w:lineRule="auto"/>
        <w:rPr>
          <w:sz w:val="20"/>
          <w:szCs w:val="20"/>
          <w:color w:val="auto"/>
        </w:rPr>
      </w:pPr>
      <w:r>
        <w:rPr>
          <w:rFonts w:ascii="Arial" w:cs="Arial" w:eastAsia="Arial" w:hAnsi="Arial"/>
          <w:sz w:val="12"/>
          <w:szCs w:val="12"/>
          <w:i w:val="1"/>
          <w:iCs w:val="1"/>
          <w:color w:val="auto"/>
        </w:rPr>
        <w:t xml:space="preserve">then, </w:t>
      </w:r>
      <w:r>
        <w:rPr>
          <w:rFonts w:ascii="Arial" w:cs="Arial" w:eastAsia="Arial" w:hAnsi="Arial"/>
          <w:sz w:val="12"/>
          <w:szCs w:val="12"/>
          <w:color w:val="auto"/>
        </w:rPr>
        <w:t>the Company will, upon demand of the Trustee, pay to it, for the benefit of the Holders of such Securities, the whole amount then due and payable on such Securities for principal and interest and, to the extent that</w:t>
      </w:r>
      <w:r>
        <w:rPr>
          <w:rFonts w:ascii="Arial" w:cs="Arial" w:eastAsia="Arial" w:hAnsi="Arial"/>
          <w:sz w:val="12"/>
          <w:szCs w:val="12"/>
          <w:i w:val="1"/>
          <w:iCs w:val="1"/>
          <w:color w:val="auto"/>
        </w:rPr>
        <w:t xml:space="preserve"> </w:t>
      </w:r>
      <w:r>
        <w:rPr>
          <w:rFonts w:ascii="Arial" w:cs="Arial" w:eastAsia="Arial" w:hAnsi="Arial"/>
          <w:sz w:val="12"/>
          <w:szCs w:val="12"/>
          <w:color w:val="auto"/>
        </w:rPr>
        <w:t>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40"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57" w:lineRule="exact"/>
        <w:rPr>
          <w:sz w:val="20"/>
          <w:szCs w:val="20"/>
          <w:color w:val="auto"/>
        </w:rPr>
      </w:pPr>
    </w:p>
    <w:p>
      <w:pPr>
        <w:jc w:val="both"/>
        <w:ind w:right="100" w:firstLine="328"/>
        <w:spacing w:after="0" w:line="264" w:lineRule="auto"/>
        <w:rPr>
          <w:sz w:val="20"/>
          <w:szCs w:val="20"/>
          <w:color w:val="auto"/>
        </w:rPr>
      </w:pPr>
      <w:r>
        <w:rPr>
          <w:rFonts w:ascii="Arial" w:cs="Arial" w:eastAsia="Arial" w:hAnsi="Arial"/>
          <w:sz w:val="13"/>
          <w:szCs w:val="13"/>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7" w:name="page128"/>
    <w:bookmarkEnd w:id="127"/>
    <w:p>
      <w:pPr>
        <w:ind w:left="160"/>
        <w:spacing w:after="0"/>
        <w:rPr>
          <w:sz w:val="20"/>
          <w:szCs w:val="20"/>
          <w:color w:val="auto"/>
        </w:rPr>
      </w:pPr>
      <w:r>
        <w:rPr>
          <w:rFonts w:ascii="Arial" w:cs="Arial" w:eastAsia="Arial" w:hAnsi="Arial"/>
          <w:sz w:val="13"/>
          <w:szCs w:val="13"/>
          <w:color w:val="auto"/>
        </w:rPr>
        <w:t xml:space="preserve">Section 6.4. </w:t>
      </w:r>
      <w:r>
        <w:rPr>
          <w:rFonts w:ascii="Arial" w:cs="Arial" w:eastAsia="Arial" w:hAnsi="Arial"/>
          <w:sz w:val="13"/>
          <w:szCs w:val="13"/>
          <w:u w:val="single" w:color="auto"/>
          <w:color w:val="auto"/>
        </w:rPr>
        <w:t>Trustee May File Proofs of Claim</w:t>
      </w:r>
      <w:r>
        <w:rPr>
          <w:rFonts w:ascii="Arial" w:cs="Arial" w:eastAsia="Arial" w:hAnsi="Arial"/>
          <w:sz w:val="13"/>
          <w:szCs w:val="13"/>
          <w:color w:val="auto"/>
        </w:rPr>
        <w:t>.</w:t>
      </w:r>
    </w:p>
    <w:p>
      <w:pPr>
        <w:spacing w:after="0" w:line="86" w:lineRule="exact"/>
        <w:rPr>
          <w:sz w:val="20"/>
          <w:szCs w:val="20"/>
          <w:color w:val="auto"/>
        </w:rPr>
      </w:pPr>
    </w:p>
    <w:p>
      <w:pPr>
        <w:ind w:right="60" w:firstLine="328"/>
        <w:spacing w:after="0" w:line="260" w:lineRule="auto"/>
        <w:rPr>
          <w:sz w:val="20"/>
          <w:szCs w:val="20"/>
          <w:color w:val="auto"/>
        </w:rPr>
      </w:pPr>
      <w:r>
        <w:rPr>
          <w:rFonts w:ascii="Arial" w:cs="Arial" w:eastAsia="Arial" w:hAnsi="Arial"/>
          <w:sz w:val="13"/>
          <w:szCs w:val="13"/>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60" w:lineRule="exact"/>
        <w:rPr>
          <w:sz w:val="20"/>
          <w:szCs w:val="20"/>
          <w:color w:val="auto"/>
        </w:rPr>
      </w:pPr>
    </w:p>
    <w:p>
      <w:pPr>
        <w:ind w:left="220" w:firstLine="172"/>
        <w:spacing w:after="0" w:line="264" w:lineRule="auto"/>
        <w:tabs>
          <w:tab w:leader="none" w:pos="562" w:val="left"/>
        </w:tabs>
        <w:numPr>
          <w:ilvl w:val="0"/>
          <w:numId w:val="85"/>
        </w:numPr>
        <w:rPr>
          <w:rFonts w:ascii="Arial" w:cs="Arial" w:eastAsia="Arial" w:hAnsi="Arial"/>
          <w:sz w:val="13"/>
          <w:szCs w:val="13"/>
          <w:color w:val="auto"/>
        </w:rPr>
      </w:pPr>
      <w:r>
        <w:rPr>
          <w:rFonts w:ascii="Arial" w:cs="Arial" w:eastAsia="Arial" w:hAnsi="Arial"/>
          <w:sz w:val="13"/>
          <w:szCs w:val="13"/>
          <w:color w:val="auto"/>
        </w:rPr>
        <w:t>to file and prove a claim for the whole amount of principal and interest owing and unpaid with respect to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57" w:lineRule="exact"/>
        <w:rPr>
          <w:rFonts w:ascii="Arial" w:cs="Arial" w:eastAsia="Arial" w:hAnsi="Arial"/>
          <w:sz w:val="13"/>
          <w:szCs w:val="13"/>
          <w:color w:val="auto"/>
        </w:rPr>
      </w:pPr>
    </w:p>
    <w:p>
      <w:pPr>
        <w:ind w:left="580" w:hanging="188"/>
        <w:spacing w:after="0"/>
        <w:tabs>
          <w:tab w:leader="none" w:pos="5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to collect and receive any moneys or other property payable or deliverable on any such claims and to distribute the same,</w:t>
      </w:r>
    </w:p>
    <w:p>
      <w:pPr>
        <w:spacing w:after="0" w:line="86" w:lineRule="exact"/>
        <w:rPr>
          <w:sz w:val="20"/>
          <w:szCs w:val="20"/>
          <w:color w:val="auto"/>
        </w:rPr>
      </w:pPr>
    </w:p>
    <w:p>
      <w:pPr>
        <w:jc w:val="both"/>
        <w:ind w:right="40"/>
        <w:spacing w:after="0" w:line="264" w:lineRule="auto"/>
        <w:rPr>
          <w:sz w:val="20"/>
          <w:szCs w:val="20"/>
          <w:color w:val="auto"/>
        </w:rPr>
      </w:pPr>
      <w:r>
        <w:rPr>
          <w:rFonts w:ascii="Arial" w:cs="Arial" w:eastAsia="Arial" w:hAnsi="Arial"/>
          <w:sz w:val="13"/>
          <w:szCs w:val="13"/>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7.6.</w:t>
      </w:r>
    </w:p>
    <w:p>
      <w:pPr>
        <w:spacing w:after="0" w:line="57" w:lineRule="exact"/>
        <w:rPr>
          <w:sz w:val="20"/>
          <w:szCs w:val="20"/>
          <w:color w:val="auto"/>
        </w:rPr>
      </w:pPr>
    </w:p>
    <w:p>
      <w:pPr>
        <w:ind w:right="380" w:firstLine="328"/>
        <w:spacing w:after="0" w:line="276" w:lineRule="auto"/>
        <w:rPr>
          <w:sz w:val="20"/>
          <w:szCs w:val="20"/>
          <w:color w:val="auto"/>
        </w:rPr>
      </w:pPr>
      <w:r>
        <w:rPr>
          <w:rFonts w:ascii="Arial" w:cs="Arial" w:eastAsia="Arial" w:hAnsi="Arial"/>
          <w:sz w:val="13"/>
          <w:szCs w:val="13"/>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with respect to the claim of any Holder in any such proceeding.</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6.5. </w:t>
      </w:r>
      <w:r>
        <w:rPr>
          <w:rFonts w:ascii="Arial" w:cs="Arial" w:eastAsia="Arial" w:hAnsi="Arial"/>
          <w:sz w:val="13"/>
          <w:szCs w:val="13"/>
          <w:u w:val="single" w:color="auto"/>
          <w:color w:val="auto"/>
        </w:rPr>
        <w:t>Trustee May Enforce Claims Without Possession of Securities</w:t>
      </w:r>
      <w:r>
        <w:rPr>
          <w:rFonts w:ascii="Arial" w:cs="Arial" w:eastAsia="Arial" w:hAnsi="Arial"/>
          <w:sz w:val="13"/>
          <w:szCs w:val="13"/>
          <w:color w:val="auto"/>
        </w:rPr>
        <w:t>.</w:t>
      </w:r>
    </w:p>
    <w:p>
      <w:pPr>
        <w:spacing w:after="0" w:line="86" w:lineRule="exact"/>
        <w:rPr>
          <w:sz w:val="20"/>
          <w:szCs w:val="20"/>
          <w:color w:val="auto"/>
        </w:rPr>
      </w:pPr>
    </w:p>
    <w:p>
      <w:pPr>
        <w:ind w:right="140" w:firstLine="320"/>
        <w:spacing w:after="0" w:line="334" w:lineRule="auto"/>
        <w:rPr>
          <w:sz w:val="20"/>
          <w:szCs w:val="20"/>
          <w:color w:val="auto"/>
        </w:rPr>
      </w:pPr>
      <w:r>
        <w:rPr>
          <w:rFonts w:ascii="Arial" w:cs="Arial" w:eastAsia="Arial" w:hAnsi="Arial"/>
          <w:sz w:val="11"/>
          <w:szCs w:val="11"/>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with respect to which such judgment has been recovered.</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6.6. </w:t>
      </w:r>
      <w:r>
        <w:rPr>
          <w:rFonts w:ascii="Arial" w:cs="Arial" w:eastAsia="Arial" w:hAnsi="Arial"/>
          <w:sz w:val="13"/>
          <w:szCs w:val="13"/>
          <w:u w:val="single" w:color="auto"/>
          <w:color w:val="auto"/>
        </w:rPr>
        <w:t>Application of Money Collected</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Any money collected by the Trustee pursuant to this Article VI shall be applied in the following order, at the date or dates fixed by the Trustee and, in case of the distribution of</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color w:val="auto"/>
        </w:rPr>
        <w:t>such money on account of principal or interest, upon presentation of the Securities and the notation thereon of the payment if only partially paid and upon surrender thereof if fully paid:</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First: To the payment of all amounts due the Trustee under Section 7.6;</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Second: To the payment of all senior indebtedness of the Company if and to the extent required by Article XI;</w:t>
      </w:r>
    </w:p>
    <w:p>
      <w:pPr>
        <w:spacing w:after="0" w:line="86" w:lineRule="exact"/>
        <w:rPr>
          <w:sz w:val="20"/>
          <w:szCs w:val="20"/>
          <w:color w:val="auto"/>
        </w:rPr>
      </w:pPr>
    </w:p>
    <w:p>
      <w:pPr>
        <w:ind w:firstLine="325"/>
        <w:spacing w:after="0" w:line="276" w:lineRule="auto"/>
        <w:rPr>
          <w:sz w:val="20"/>
          <w:szCs w:val="20"/>
          <w:color w:val="auto"/>
        </w:rPr>
      </w:pPr>
      <w:r>
        <w:rPr>
          <w:rFonts w:ascii="Arial" w:cs="Arial" w:eastAsia="Arial" w:hAnsi="Arial"/>
          <w:sz w:val="13"/>
          <w:szCs w:val="13"/>
          <w:color w:val="auto"/>
        </w:rPr>
        <w:t>Third: To the payment of the amounts then due and unpaid for principal of, premium, if any, and interest on the Securities with respect to which or for the benefit of which such money has been collected, ratably, without preference or priority of any kind, according to the amounts due and payable on such Securities for principal and interest, respectively; and</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Fourth: To the Company.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6.7. </w:t>
      </w:r>
      <w:r>
        <w:rPr>
          <w:rFonts w:ascii="Arial" w:cs="Arial" w:eastAsia="Arial" w:hAnsi="Arial"/>
          <w:sz w:val="13"/>
          <w:szCs w:val="13"/>
          <w:u w:val="single" w:color="auto"/>
          <w:color w:val="auto"/>
        </w:rPr>
        <w:t>Limitation on Suits</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 Holder of Securities of any Series may pursue any remedy under this Indenture applicable to such Securities only if:</w:t>
      </w:r>
    </w:p>
    <w:p>
      <w:pPr>
        <w:spacing w:after="0" w:line="86" w:lineRule="exact"/>
        <w:rPr>
          <w:sz w:val="20"/>
          <w:szCs w:val="20"/>
          <w:color w:val="auto"/>
        </w:rPr>
      </w:pPr>
    </w:p>
    <w:p>
      <w:pPr>
        <w:ind w:left="560" w:hanging="168"/>
        <w:spacing w:after="0"/>
        <w:tabs>
          <w:tab w:leader="none" w:pos="5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Holder gives the Trustee written notice of a continuing Event of Default for such Series of Securities;</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Holders of at least 25% in principal amount of such outstanding Series of Securities make a written request to the Trustee to pursue the remedy;</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Holders furnish to the Trustee indemnity reasonably satisfactory to the Trustee against the costs, expenses and liabilities which might be incurred by it in compliance with such request;</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Trustee fails to act for a period of 60 days after receipt of notice and furnishing of indemnity; and</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during that 60-day period, the Holders of a majority in principal amount of such Securities do not give the Trustee a direction inconsistent with the request.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This provision does not, however, affect the right of a Holder of Securities to sue for enforcement of any overdue payment with respect to such Securities.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6.8. </w:t>
      </w:r>
      <w:r>
        <w:rPr>
          <w:rFonts w:ascii="Arial" w:cs="Arial" w:eastAsia="Arial" w:hAnsi="Arial"/>
          <w:sz w:val="13"/>
          <w:szCs w:val="13"/>
          <w:u w:val="single" w:color="auto"/>
          <w:color w:val="auto"/>
        </w:rPr>
        <w:t>Unconditional Right of Holders to Receive Principal and Interest</w:t>
      </w:r>
      <w:r>
        <w:rPr>
          <w:rFonts w:ascii="Arial" w:cs="Arial" w:eastAsia="Arial" w:hAnsi="Arial"/>
          <w:sz w:val="13"/>
          <w:szCs w:val="13"/>
          <w:color w:val="auto"/>
        </w:rPr>
        <w:t>.</w:t>
      </w:r>
    </w:p>
    <w:p>
      <w:pPr>
        <w:spacing w:after="0" w:line="86"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129" w:name="page130"/>
    <w:bookmarkEnd w:id="129"/>
    <w:p>
      <w:pPr>
        <w:ind w:left="160"/>
        <w:spacing w:after="0"/>
        <w:rPr>
          <w:sz w:val="20"/>
          <w:szCs w:val="20"/>
          <w:color w:val="auto"/>
        </w:rPr>
      </w:pPr>
      <w:r>
        <w:rPr>
          <w:rFonts w:ascii="Arial" w:cs="Arial" w:eastAsia="Arial" w:hAnsi="Arial"/>
          <w:sz w:val="13"/>
          <w:szCs w:val="13"/>
          <w:color w:val="auto"/>
        </w:rPr>
        <w:t xml:space="preserve">Section 6.9. </w:t>
      </w:r>
      <w:r>
        <w:rPr>
          <w:rFonts w:ascii="Arial" w:cs="Arial" w:eastAsia="Arial" w:hAnsi="Arial"/>
          <w:sz w:val="13"/>
          <w:szCs w:val="13"/>
          <w:u w:val="single" w:color="auto"/>
          <w:color w:val="auto"/>
        </w:rPr>
        <w:t>Restoration of Rights and Remedies</w:t>
      </w:r>
      <w:r>
        <w:rPr>
          <w:rFonts w:ascii="Arial" w:cs="Arial" w:eastAsia="Arial" w:hAnsi="Arial"/>
          <w:sz w:val="13"/>
          <w:szCs w:val="13"/>
          <w:color w:val="auto"/>
        </w:rPr>
        <w:t>.</w:t>
      </w:r>
    </w:p>
    <w:p>
      <w:pPr>
        <w:spacing w:after="0" w:line="86" w:lineRule="exact"/>
        <w:rPr>
          <w:sz w:val="20"/>
          <w:szCs w:val="20"/>
          <w:color w:val="auto"/>
        </w:rPr>
      </w:pPr>
    </w:p>
    <w:p>
      <w:pPr>
        <w:jc w:val="both"/>
        <w:ind w:right="180" w:firstLine="328"/>
        <w:spacing w:after="0" w:line="296" w:lineRule="auto"/>
        <w:rPr>
          <w:sz w:val="20"/>
          <w:szCs w:val="20"/>
          <w:color w:val="auto"/>
        </w:rPr>
      </w:pPr>
      <w:r>
        <w:rPr>
          <w:rFonts w:ascii="Arial" w:cs="Arial" w:eastAsia="Arial" w:hAnsi="Arial"/>
          <w:sz w:val="12"/>
          <w:szCs w:val="12"/>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6.10. </w:t>
      </w:r>
      <w:r>
        <w:rPr>
          <w:rFonts w:ascii="Arial" w:cs="Arial" w:eastAsia="Arial" w:hAnsi="Arial"/>
          <w:sz w:val="13"/>
          <w:szCs w:val="13"/>
          <w:u w:val="single" w:color="auto"/>
          <w:color w:val="auto"/>
        </w:rPr>
        <w:t>Rights and Remedies Cumulative</w:t>
      </w:r>
      <w:r>
        <w:rPr>
          <w:rFonts w:ascii="Arial" w:cs="Arial" w:eastAsia="Arial" w:hAnsi="Arial"/>
          <w:sz w:val="13"/>
          <w:szCs w:val="13"/>
          <w:color w:val="auto"/>
        </w:rPr>
        <w:t>.</w:t>
      </w:r>
    </w:p>
    <w:p>
      <w:pPr>
        <w:spacing w:after="0" w:line="86" w:lineRule="exact"/>
        <w:rPr>
          <w:sz w:val="20"/>
          <w:szCs w:val="20"/>
          <w:color w:val="auto"/>
        </w:rPr>
      </w:pPr>
    </w:p>
    <w:p>
      <w:pPr>
        <w:ind w:right="60" w:firstLine="328"/>
        <w:spacing w:after="0" w:line="260" w:lineRule="auto"/>
        <w:rPr>
          <w:sz w:val="20"/>
          <w:szCs w:val="20"/>
          <w:color w:val="auto"/>
        </w:rPr>
      </w:pPr>
      <w:r>
        <w:rPr>
          <w:rFonts w:ascii="Arial" w:cs="Arial" w:eastAsia="Arial" w:hAnsi="Arial"/>
          <w:sz w:val="13"/>
          <w:szCs w:val="13"/>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6.11. </w:t>
      </w:r>
      <w:r>
        <w:rPr>
          <w:rFonts w:ascii="Arial" w:cs="Arial" w:eastAsia="Arial" w:hAnsi="Arial"/>
          <w:sz w:val="13"/>
          <w:szCs w:val="13"/>
          <w:u w:val="single" w:color="auto"/>
          <w:color w:val="auto"/>
        </w:rPr>
        <w:t>Delay or Omission Not Waiver</w:t>
      </w:r>
      <w:r>
        <w:rPr>
          <w:rFonts w:ascii="Arial" w:cs="Arial" w:eastAsia="Arial" w:hAnsi="Arial"/>
          <w:sz w:val="13"/>
          <w:szCs w:val="13"/>
          <w:color w:val="auto"/>
        </w:rPr>
        <w:t>.</w:t>
      </w:r>
    </w:p>
    <w:p>
      <w:pPr>
        <w:spacing w:after="0" w:line="86" w:lineRule="exact"/>
        <w:rPr>
          <w:sz w:val="20"/>
          <w:szCs w:val="20"/>
          <w:color w:val="auto"/>
        </w:rPr>
      </w:pPr>
    </w:p>
    <w:p>
      <w:pPr>
        <w:jc w:val="both"/>
        <w:ind w:firstLine="328"/>
        <w:spacing w:after="0" w:line="264" w:lineRule="auto"/>
        <w:rPr>
          <w:sz w:val="20"/>
          <w:szCs w:val="20"/>
          <w:color w:val="auto"/>
        </w:rPr>
      </w:pPr>
      <w:r>
        <w:rPr>
          <w:rFonts w:ascii="Arial" w:cs="Arial" w:eastAsia="Arial" w:hAnsi="Arial"/>
          <w:sz w:val="13"/>
          <w:szCs w:val="13"/>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6.12. </w:t>
      </w:r>
      <w:r>
        <w:rPr>
          <w:rFonts w:ascii="Arial" w:cs="Arial" w:eastAsia="Arial" w:hAnsi="Arial"/>
          <w:sz w:val="13"/>
          <w:szCs w:val="13"/>
          <w:u w:val="single" w:color="auto"/>
          <w:color w:val="auto"/>
        </w:rPr>
        <w:t>Control by Holders</w:t>
      </w:r>
      <w:r>
        <w:rPr>
          <w:rFonts w:ascii="Arial" w:cs="Arial" w:eastAsia="Arial" w:hAnsi="Arial"/>
          <w:sz w:val="13"/>
          <w:szCs w:val="13"/>
          <w:color w:val="auto"/>
        </w:rPr>
        <w:t>.</w:t>
      </w:r>
    </w:p>
    <w:p>
      <w:pPr>
        <w:spacing w:after="0" w:line="86" w:lineRule="exact"/>
        <w:rPr>
          <w:sz w:val="20"/>
          <w:szCs w:val="20"/>
          <w:color w:val="auto"/>
        </w:rPr>
      </w:pPr>
    </w:p>
    <w:p>
      <w:pPr>
        <w:ind w:right="200" w:firstLine="325"/>
        <w:spacing w:after="0" w:line="276" w:lineRule="auto"/>
        <w:rPr>
          <w:sz w:val="20"/>
          <w:szCs w:val="20"/>
          <w:color w:val="auto"/>
        </w:rPr>
      </w:pPr>
      <w:r>
        <w:rPr>
          <w:rFonts w:ascii="Arial" w:cs="Arial" w:eastAsia="Arial" w:hAnsi="Arial"/>
          <w:sz w:val="13"/>
          <w:szCs w:val="13"/>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49" w:lineRule="exact"/>
        <w:rPr>
          <w:sz w:val="20"/>
          <w:szCs w:val="20"/>
          <w:color w:val="auto"/>
        </w:rPr>
      </w:pPr>
    </w:p>
    <w:p>
      <w:pPr>
        <w:ind w:left="560" w:hanging="168"/>
        <w:spacing w:after="0"/>
        <w:tabs>
          <w:tab w:leader="none" w:pos="560" w:val="left"/>
        </w:tabs>
        <w:numPr>
          <w:ilvl w:val="0"/>
          <w:numId w:val="87"/>
        </w:numPr>
        <w:rPr>
          <w:rFonts w:ascii="Arial" w:cs="Arial" w:eastAsia="Arial" w:hAnsi="Arial"/>
          <w:sz w:val="13"/>
          <w:szCs w:val="13"/>
          <w:color w:val="auto"/>
        </w:rPr>
      </w:pPr>
      <w:r>
        <w:rPr>
          <w:rFonts w:ascii="Arial" w:cs="Arial" w:eastAsia="Arial" w:hAnsi="Arial"/>
          <w:sz w:val="13"/>
          <w:szCs w:val="13"/>
          <w:color w:val="auto"/>
        </w:rPr>
        <w:t>such direction shall not be in conflict with any rule of law or with this Indenture,</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Trustee may take any other action deemed proper by the Trustee which is not inconsistent with such direction, and</w:t>
      </w:r>
    </w:p>
    <w:p>
      <w:pPr>
        <w:spacing w:after="0" w:line="86" w:lineRule="exact"/>
        <w:rPr>
          <w:rFonts w:ascii="Arial" w:cs="Arial" w:eastAsia="Arial" w:hAnsi="Arial"/>
          <w:sz w:val="13"/>
          <w:szCs w:val="13"/>
          <w:color w:val="auto"/>
        </w:rPr>
      </w:pPr>
    </w:p>
    <w:p>
      <w:pPr>
        <w:ind w:left="220" w:right="120" w:firstLine="172"/>
        <w:spacing w:after="0" w:line="320" w:lineRule="auto"/>
        <w:tabs>
          <w:tab w:leader="none" w:pos="562"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Trustee shall have the right to decline to follow any such direction if the Trustee in good faith shall, by a Responsible Officer of the Trustee, determine that the proceeding so directed would involve the Trustee in personal liability or that it will not be adequately indemnified against the costs, expenses and liabilities which might be incurred by it in complying with such direction.</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30" w:name="page131"/>
    <w:bookmarkEnd w:id="130"/>
    <w:p>
      <w:pPr>
        <w:ind w:left="160"/>
        <w:spacing w:after="0"/>
        <w:rPr>
          <w:sz w:val="20"/>
          <w:szCs w:val="20"/>
          <w:color w:val="auto"/>
        </w:rPr>
      </w:pPr>
      <w:r>
        <w:rPr>
          <w:rFonts w:ascii="Arial" w:cs="Arial" w:eastAsia="Arial" w:hAnsi="Arial"/>
          <w:sz w:val="13"/>
          <w:szCs w:val="13"/>
          <w:color w:val="auto"/>
        </w:rPr>
        <w:t xml:space="preserve">Section 6.13. </w:t>
      </w:r>
      <w:r>
        <w:rPr>
          <w:rFonts w:ascii="Arial" w:cs="Arial" w:eastAsia="Arial" w:hAnsi="Arial"/>
          <w:sz w:val="13"/>
          <w:szCs w:val="13"/>
          <w:u w:val="single" w:color="auto"/>
          <w:color w:val="auto"/>
        </w:rPr>
        <w:t>Waiver of Past Defaults</w:t>
      </w:r>
      <w:r>
        <w:rPr>
          <w:rFonts w:ascii="Arial" w:cs="Arial" w:eastAsia="Arial" w:hAnsi="Arial"/>
          <w:sz w:val="13"/>
          <w:szCs w:val="13"/>
          <w:color w:val="auto"/>
        </w:rPr>
        <w:t>.</w:t>
      </w:r>
    </w:p>
    <w:p>
      <w:pPr>
        <w:spacing w:after="0" w:line="86" w:lineRule="exact"/>
        <w:rPr>
          <w:sz w:val="20"/>
          <w:szCs w:val="20"/>
          <w:color w:val="auto"/>
        </w:rPr>
      </w:pPr>
    </w:p>
    <w:p>
      <w:pPr>
        <w:ind w:right="240" w:firstLine="325"/>
        <w:spacing w:after="0" w:line="258" w:lineRule="auto"/>
        <w:rPr>
          <w:sz w:val="20"/>
          <w:szCs w:val="20"/>
          <w:color w:val="auto"/>
        </w:rPr>
      </w:pPr>
      <w:r>
        <w:rPr>
          <w:rFonts w:ascii="Arial" w:cs="Arial" w:eastAsia="Arial" w:hAnsi="Arial"/>
          <w:sz w:val="13"/>
          <w:szCs w:val="13"/>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6.14. </w:t>
      </w:r>
      <w:r>
        <w:rPr>
          <w:rFonts w:ascii="Arial" w:cs="Arial" w:eastAsia="Arial" w:hAnsi="Arial"/>
          <w:sz w:val="13"/>
          <w:szCs w:val="13"/>
          <w:u w:val="single" w:color="auto"/>
          <w:color w:val="auto"/>
        </w:rPr>
        <w:t>Undertaking for Costs</w:t>
      </w:r>
      <w:r>
        <w:rPr>
          <w:rFonts w:ascii="Arial" w:cs="Arial" w:eastAsia="Arial" w:hAnsi="Arial"/>
          <w:sz w:val="13"/>
          <w:szCs w:val="13"/>
          <w:color w:val="auto"/>
        </w:rPr>
        <w:t>.</w:t>
      </w:r>
    </w:p>
    <w:p>
      <w:pPr>
        <w:spacing w:after="0" w:line="86" w:lineRule="exact"/>
        <w:rPr>
          <w:sz w:val="20"/>
          <w:szCs w:val="20"/>
          <w:color w:val="auto"/>
        </w:rPr>
      </w:pPr>
    </w:p>
    <w:p>
      <w:pPr>
        <w:ind w:right="20" w:firstLine="320"/>
        <w:spacing w:after="0" w:line="282" w:lineRule="auto"/>
        <w:rPr>
          <w:sz w:val="20"/>
          <w:szCs w:val="20"/>
          <w:color w:val="auto"/>
        </w:rPr>
      </w:pPr>
      <w:r>
        <w:rPr>
          <w:rFonts w:ascii="Arial" w:cs="Arial" w:eastAsia="Arial" w:hAnsi="Arial"/>
          <w:sz w:val="12"/>
          <w:szCs w:val="12"/>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VII.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TRUSTEE</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7.1. </w:t>
      </w:r>
      <w:r>
        <w:rPr>
          <w:rFonts w:ascii="Arial" w:cs="Arial" w:eastAsia="Arial" w:hAnsi="Arial"/>
          <w:sz w:val="13"/>
          <w:szCs w:val="13"/>
          <w:u w:val="single" w:color="auto"/>
          <w:color w:val="auto"/>
        </w:rPr>
        <w:t>Duties of Trustee</w:t>
      </w:r>
      <w:r>
        <w:rPr>
          <w:rFonts w:ascii="Arial" w:cs="Arial" w:eastAsia="Arial" w:hAnsi="Arial"/>
          <w:sz w:val="13"/>
          <w:szCs w:val="13"/>
          <w:color w:val="auto"/>
        </w:rPr>
        <w:t>.</w:t>
      </w:r>
    </w:p>
    <w:p>
      <w:pPr>
        <w:spacing w:after="0" w:line="86" w:lineRule="exact"/>
        <w:rPr>
          <w:sz w:val="20"/>
          <w:szCs w:val="20"/>
          <w:color w:val="auto"/>
        </w:rPr>
      </w:pPr>
    </w:p>
    <w:p>
      <w:pPr>
        <w:ind w:left="220" w:right="260" w:firstLine="172"/>
        <w:spacing w:after="0" w:line="276" w:lineRule="auto"/>
        <w:tabs>
          <w:tab w:leader="none" w:pos="562" w:val="left"/>
        </w:tabs>
        <w:numPr>
          <w:ilvl w:val="0"/>
          <w:numId w:val="88"/>
        </w:numPr>
        <w:rPr>
          <w:rFonts w:ascii="Arial" w:cs="Arial" w:eastAsia="Arial" w:hAnsi="Arial"/>
          <w:sz w:val="13"/>
          <w:szCs w:val="13"/>
          <w:color w:val="auto"/>
        </w:rPr>
      </w:pPr>
      <w:r>
        <w:rPr>
          <w:rFonts w:ascii="Arial" w:cs="Arial" w:eastAsia="Arial" w:hAnsi="Arial"/>
          <w:sz w:val="13"/>
          <w:szCs w:val="13"/>
          <w:color w:val="auto"/>
        </w:rPr>
        <w:t>If an Event of Default has occurred and is continuing, the Trustee shall exercise such of the rights and powers vested in it by this Indenture, and use the same degree of care and skill in such exercise, as a prudent man would exercise or use under the circumstances in the conduct of his own affairs.</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Except during the continuance of an Event of Default with respect to the Securities of any Series:</w:t>
      </w:r>
    </w:p>
    <w:p>
      <w:pPr>
        <w:spacing w:after="0" w:line="86" w:lineRule="exact"/>
        <w:rPr>
          <w:rFonts w:ascii="Arial" w:cs="Arial" w:eastAsia="Arial" w:hAnsi="Arial"/>
          <w:sz w:val="13"/>
          <w:szCs w:val="13"/>
          <w:color w:val="auto"/>
        </w:rPr>
      </w:pPr>
    </w:p>
    <w:p>
      <w:pPr>
        <w:ind w:left="1140" w:hanging="453"/>
        <w:spacing w:after="0" w:line="276" w:lineRule="auto"/>
        <w:tabs>
          <w:tab w:leader="none" w:pos="1140" w:val="left"/>
        </w:tabs>
        <w:numPr>
          <w:ilvl w:val="1"/>
          <w:numId w:val="88"/>
        </w:numPr>
        <w:rPr>
          <w:rFonts w:ascii="Arial" w:cs="Arial" w:eastAsia="Arial" w:hAnsi="Arial"/>
          <w:sz w:val="13"/>
          <w:szCs w:val="13"/>
          <w:color w:val="auto"/>
        </w:rPr>
      </w:pPr>
      <w:r>
        <w:rPr>
          <w:rFonts w:ascii="Arial" w:cs="Arial" w:eastAsia="Arial" w:hAnsi="Arial"/>
          <w:sz w:val="13"/>
          <w:szCs w:val="13"/>
          <w:color w:val="auto"/>
        </w:rPr>
        <w:t>the Trustee need perform only those duties that are specifically set forth in this Indenture and no others, and no implied covenants or obligations shall be read into this Indenture against the Trustee; and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31" w:name="page132"/>
    <w:bookmarkEnd w:id="131"/>
    <w:p>
      <w:pPr>
        <w:ind w:left="980" w:right="40" w:hanging="453"/>
        <w:spacing w:after="0" w:line="264" w:lineRule="auto"/>
        <w:tabs>
          <w:tab w:leader="none" w:pos="980" w:val="left"/>
        </w:tabs>
        <w:numPr>
          <w:ilvl w:val="1"/>
          <w:numId w:val="89"/>
        </w:numPr>
        <w:rPr>
          <w:rFonts w:ascii="Arial" w:cs="Arial" w:eastAsia="Arial" w:hAnsi="Arial"/>
          <w:sz w:val="13"/>
          <w:szCs w:val="13"/>
          <w:color w:val="auto"/>
        </w:rPr>
      </w:pPr>
      <w:r>
        <w:rPr>
          <w:rFonts w:ascii="Arial" w:cs="Arial" w:eastAsia="Arial" w:hAnsi="Arial"/>
          <w:sz w:val="13"/>
          <w:szCs w:val="13"/>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such certificates and opinions to determine whether, on their face, they appear to conform to the requirements of this Indenture.</w:t>
      </w:r>
    </w:p>
    <w:p>
      <w:pPr>
        <w:spacing w:after="0" w:line="57" w:lineRule="exact"/>
        <w:rPr>
          <w:rFonts w:ascii="Arial" w:cs="Arial" w:eastAsia="Arial" w:hAnsi="Arial"/>
          <w:sz w:val="13"/>
          <w:szCs w:val="13"/>
          <w:color w:val="auto"/>
        </w:rPr>
      </w:pPr>
    </w:p>
    <w:p>
      <w:pPr>
        <w:ind w:left="400" w:hanging="168"/>
        <w:spacing w:after="0"/>
        <w:tabs>
          <w:tab w:leader="none" w:pos="4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Trustee may not be relieved from liabilities for its own grossly negligent action, its own grossly negligent failure to act or its own willful misconduct, except that:</w:t>
      </w:r>
    </w:p>
    <w:p>
      <w:pPr>
        <w:spacing w:after="0" w:line="86" w:lineRule="exact"/>
        <w:rPr>
          <w:rFonts w:ascii="Arial" w:cs="Arial" w:eastAsia="Arial" w:hAnsi="Arial"/>
          <w:sz w:val="13"/>
          <w:szCs w:val="13"/>
          <w:color w:val="auto"/>
        </w:rPr>
      </w:pPr>
    </w:p>
    <w:p>
      <w:pPr>
        <w:ind w:left="980" w:hanging="453"/>
        <w:spacing w:after="0"/>
        <w:tabs>
          <w:tab w:leader="none" w:pos="980" w:val="left"/>
        </w:tabs>
        <w:numPr>
          <w:ilvl w:val="1"/>
          <w:numId w:val="90"/>
        </w:numPr>
        <w:rPr>
          <w:rFonts w:ascii="Arial" w:cs="Arial" w:eastAsia="Arial" w:hAnsi="Arial"/>
          <w:sz w:val="13"/>
          <w:szCs w:val="13"/>
          <w:color w:val="auto"/>
        </w:rPr>
      </w:pPr>
      <w:r>
        <w:rPr>
          <w:rFonts w:ascii="Arial" w:cs="Arial" w:eastAsia="Arial" w:hAnsi="Arial"/>
          <w:sz w:val="13"/>
          <w:szCs w:val="13"/>
          <w:color w:val="auto"/>
        </w:rPr>
        <w:t>this paragraph does not limit the effect of paragraph (b) of this Section 7.1; and</w:t>
      </w:r>
    </w:p>
    <w:p>
      <w:pPr>
        <w:spacing w:after="0" w:line="96" w:lineRule="exact"/>
        <w:rPr>
          <w:rFonts w:ascii="Arial" w:cs="Arial" w:eastAsia="Arial" w:hAnsi="Arial"/>
          <w:sz w:val="13"/>
          <w:szCs w:val="13"/>
          <w:color w:val="auto"/>
        </w:rPr>
      </w:pPr>
    </w:p>
    <w:p>
      <w:pPr>
        <w:ind w:left="980" w:hanging="453"/>
        <w:spacing w:after="0"/>
        <w:tabs>
          <w:tab w:leader="none" w:pos="980" w:val="left"/>
        </w:tabs>
        <w:numPr>
          <w:ilvl w:val="1"/>
          <w:numId w:val="90"/>
        </w:numPr>
        <w:rPr>
          <w:rFonts w:ascii="Arial" w:cs="Arial" w:eastAsia="Arial" w:hAnsi="Arial"/>
          <w:sz w:val="12"/>
          <w:szCs w:val="12"/>
          <w:color w:val="auto"/>
        </w:rPr>
      </w:pPr>
      <w:r>
        <w:rPr>
          <w:rFonts w:ascii="Arial" w:cs="Arial" w:eastAsia="Arial" w:hAnsi="Arial"/>
          <w:sz w:val="12"/>
          <w:szCs w:val="12"/>
          <w:color w:val="auto"/>
        </w:rPr>
        <w:t>the Trustee shall not be liable for any error of judgment made in good faith by a Responsible Officer, unless it is proved that the Trustee was grossly negligent in ascertaining the pertinent facts.</w:t>
      </w:r>
    </w:p>
    <w:p>
      <w:pPr>
        <w:spacing w:after="0" w:line="97" w:lineRule="exact"/>
        <w:rPr>
          <w:rFonts w:ascii="Arial" w:cs="Arial" w:eastAsia="Arial" w:hAnsi="Arial"/>
          <w:sz w:val="12"/>
          <w:szCs w:val="12"/>
          <w:color w:val="auto"/>
        </w:rPr>
      </w:pPr>
    </w:p>
    <w:p>
      <w:pPr>
        <w:ind w:left="420" w:hanging="188"/>
        <w:spacing w:after="0"/>
        <w:tabs>
          <w:tab w:leader="none" w:pos="4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Whether or not therein expressly so provided, every provision of this Indenture that in any way relates to the Trustee is subject to the provisions of this Article VII.</w:t>
      </w:r>
    </w:p>
    <w:p>
      <w:pPr>
        <w:spacing w:after="0" w:line="86" w:lineRule="exact"/>
        <w:rPr>
          <w:rFonts w:ascii="Arial" w:cs="Arial" w:eastAsia="Arial" w:hAnsi="Arial"/>
          <w:sz w:val="13"/>
          <w:szCs w:val="13"/>
          <w:color w:val="auto"/>
        </w:rPr>
      </w:pPr>
    </w:p>
    <w:p>
      <w:pPr>
        <w:ind w:left="60" w:right="300" w:firstLine="172"/>
        <w:spacing w:after="0" w:line="276" w:lineRule="auto"/>
        <w:tabs>
          <w:tab w:leader="none" w:pos="402" w:val="left"/>
        </w:tabs>
        <w:numPr>
          <w:ilvl w:val="0"/>
          <w:numId w:val="90"/>
        </w:numPr>
        <w:rPr>
          <w:rFonts w:ascii="Arial" w:cs="Arial" w:eastAsia="Arial" w:hAnsi="Arial"/>
          <w:sz w:val="13"/>
          <w:szCs w:val="13"/>
          <w:color w:val="auto"/>
        </w:rPr>
      </w:pPr>
      <w:r>
        <w:rPr>
          <w:rFonts w:ascii="Arial" w:cs="Arial" w:eastAsia="Arial" w:hAnsi="Arial"/>
          <w:sz w:val="13"/>
          <w:szCs w:val="13"/>
          <w:color w:val="auto"/>
        </w:rPr>
        <w:t>No provision of this Indenture shall require the Trustee to expend or risk its own funds or incur any liability. The Trustee may refuse to perform any duty or exercise any right or power unless it receives indemnity reasonably satisfactory to it against any loss, liability or expense.</w:t>
      </w:r>
    </w:p>
    <w:p>
      <w:pPr>
        <w:spacing w:after="0" w:line="49" w:lineRule="exact"/>
        <w:rPr>
          <w:rFonts w:ascii="Arial" w:cs="Arial" w:eastAsia="Arial" w:hAnsi="Arial"/>
          <w:sz w:val="13"/>
          <w:szCs w:val="13"/>
          <w:color w:val="auto"/>
        </w:rPr>
      </w:pPr>
    </w:p>
    <w:p>
      <w:pPr>
        <w:ind w:left="60" w:right="80" w:firstLine="172"/>
        <w:spacing w:after="0" w:line="264" w:lineRule="auto"/>
        <w:tabs>
          <w:tab w:leader="none" w:pos="387"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Trustee shall not be liable for interest on or investment of any money received by it except as the Trustee may agree in writing with the Company. Money held in trust by the Trustee need not be segregated from other funds except to the extent required by law. All money received by the Trustee shall, until applied as herein provided, be held in trust for the payment of the principal of, premium (if any) and interest on and Additional Amounts with respect to the Securities.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7.2. </w:t>
      </w:r>
      <w:r>
        <w:rPr>
          <w:rFonts w:ascii="Arial" w:cs="Arial" w:eastAsia="Arial" w:hAnsi="Arial"/>
          <w:sz w:val="13"/>
          <w:szCs w:val="13"/>
          <w:u w:val="single" w:color="auto"/>
          <w:color w:val="auto"/>
        </w:rPr>
        <w:t>Rights of Trustee</w:t>
      </w:r>
      <w:r>
        <w:rPr>
          <w:rFonts w:ascii="Arial" w:cs="Arial" w:eastAsia="Arial" w:hAnsi="Arial"/>
          <w:sz w:val="13"/>
          <w:szCs w:val="13"/>
          <w:color w:val="auto"/>
        </w:rPr>
        <w:t>.</w:t>
      </w:r>
    </w:p>
    <w:p>
      <w:pPr>
        <w:spacing w:after="0" w:line="86" w:lineRule="exact"/>
        <w:rPr>
          <w:sz w:val="20"/>
          <w:szCs w:val="20"/>
          <w:color w:val="auto"/>
        </w:rPr>
      </w:pPr>
    </w:p>
    <w:p>
      <w:pPr>
        <w:ind w:left="60" w:firstLine="172"/>
        <w:spacing w:after="0" w:line="264" w:lineRule="auto"/>
        <w:tabs>
          <w:tab w:leader="none" w:pos="402"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Trustee may conclusively rely and shall be fully protected in acting or refraining from acting, upon any resolution, certificate, statement, instrument, opinion, report, notice, request, direction, consent, order, note, debenture or other paper or document believed by it to be genuine and to have been signed or presented by the proper Person. The Trustee need not investigate any fact or matter stated in any resolution, certificate, statement, instrument, opinion, report, notice, request, direction, consent, order, bond, security or other paper or document.</w:t>
      </w:r>
    </w:p>
    <w:p>
      <w:pPr>
        <w:spacing w:after="0" w:line="57" w:lineRule="exact"/>
        <w:rPr>
          <w:rFonts w:ascii="Arial" w:cs="Arial" w:eastAsia="Arial" w:hAnsi="Arial"/>
          <w:sz w:val="13"/>
          <w:szCs w:val="13"/>
          <w:color w:val="auto"/>
        </w:rPr>
      </w:pPr>
    </w:p>
    <w:p>
      <w:pPr>
        <w:ind w:left="420" w:hanging="188"/>
        <w:spacing w:after="0"/>
        <w:tabs>
          <w:tab w:leader="none" w:pos="420" w:val="left"/>
        </w:tabs>
        <w:numPr>
          <w:ilvl w:val="0"/>
          <w:numId w:val="91"/>
        </w:numPr>
        <w:rPr>
          <w:rFonts w:ascii="Arial" w:cs="Arial" w:eastAsia="Arial" w:hAnsi="Arial"/>
          <w:sz w:val="13"/>
          <w:szCs w:val="13"/>
          <w:color w:val="auto"/>
        </w:rPr>
      </w:pPr>
      <w:r>
        <w:rPr>
          <w:rFonts w:ascii="Arial" w:cs="Arial" w:eastAsia="Arial" w:hAnsi="Arial"/>
          <w:sz w:val="13"/>
          <w:szCs w:val="13"/>
          <w:color w:val="auto"/>
        </w:rPr>
        <w:t>Before the Trustee acts or refrains from acting, it may require instruction, an Officer’s Certificate or an Opinion of Counsel or both to be provided. The Trustee</w:t>
      </w:r>
    </w:p>
    <w:p>
      <w:pPr>
        <w:spacing w:after="0" w:line="145"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60"/>
          </w:cols>
          <w:pgMar w:left="380" w:top="720" w:right="259" w:bottom="1440" w:gutter="0" w:footer="0" w:header="0"/>
        </w:sectPr>
      </w:pPr>
    </w:p>
    <w:bookmarkStart w:id="132" w:name="page133"/>
    <w:bookmarkEnd w:id="132"/>
    <w:p>
      <w:pPr>
        <w:ind w:right="240"/>
        <w:spacing w:after="0" w:line="320" w:lineRule="auto"/>
        <w:rPr>
          <w:sz w:val="20"/>
          <w:szCs w:val="20"/>
          <w:color w:val="auto"/>
        </w:rPr>
      </w:pPr>
      <w:r>
        <w:rPr>
          <w:rFonts w:ascii="Arial" w:cs="Arial" w:eastAsia="Arial" w:hAnsi="Arial"/>
          <w:sz w:val="12"/>
          <w:szCs w:val="12"/>
          <w:color w:val="auto"/>
        </w:rPr>
        <w:t>shall not be liable for any action it takes or omits to take in good faith in reliance on such instruction, Officer’s Certificate or Opinion of Counsel. The Trustee may consult with counsel and the written advice of such counsel or any Opinion of Counsel shall be full and complete authorization and protection with respect to any action taken, suffered or omitted by it hereunder in good faith and in reliance thereon.</w:t>
      </w:r>
    </w:p>
    <w:p>
      <w:pPr>
        <w:spacing w:after="0" w:line="25" w:lineRule="exact"/>
        <w:rPr>
          <w:sz w:val="20"/>
          <w:szCs w:val="20"/>
          <w:color w:val="auto"/>
        </w:rPr>
      </w:pPr>
    </w:p>
    <w:p>
      <w:pPr>
        <w:ind w:left="340" w:hanging="168"/>
        <w:spacing w:after="0"/>
        <w:tabs>
          <w:tab w:leader="none" w:pos="34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Trustee may act through agents, attorneys, custodians or nominees and shall not be responsible for the misconduct or negligence of any agent, attorney, custodian or nominee appointed with due care.</w:t>
      </w:r>
    </w:p>
    <w:p>
      <w:pPr>
        <w:spacing w:after="0" w:line="97" w:lineRule="exact"/>
        <w:rPr>
          <w:rFonts w:ascii="Arial" w:cs="Arial" w:eastAsia="Arial" w:hAnsi="Arial"/>
          <w:sz w:val="12"/>
          <w:szCs w:val="12"/>
          <w:color w:val="auto"/>
        </w:rPr>
      </w:pPr>
    </w:p>
    <w:p>
      <w:pPr>
        <w:ind w:right="180" w:firstLine="172"/>
        <w:spacing w:after="0" w:line="320" w:lineRule="auto"/>
        <w:tabs>
          <w:tab w:leader="none" w:pos="349"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Trustee shall not be liable for any action it takes or omits to take in good faith which it believes to be authorized or within its rights or powers conferred upon it by this Indenture or with respect to any action it takes or omits to take in good faith in accordance with a direction received by it from the Holders of a majority in aggregate principal amount of the relevant Series of Securities.</w:t>
      </w:r>
    </w:p>
    <w:p>
      <w:pPr>
        <w:spacing w:after="0" w:line="25" w:lineRule="exact"/>
        <w:rPr>
          <w:rFonts w:ascii="Arial" w:cs="Arial" w:eastAsia="Arial" w:hAnsi="Arial"/>
          <w:sz w:val="12"/>
          <w:szCs w:val="12"/>
          <w:color w:val="auto"/>
        </w:rPr>
      </w:pPr>
    </w:p>
    <w:p>
      <w:pPr>
        <w:ind w:left="340" w:hanging="168"/>
        <w:spacing w:after="0"/>
        <w:tabs>
          <w:tab w:leader="none" w:pos="3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Unless otherwise specifically provided in this Indenture, any demand, request, direction or notice from the Company shall be sufficient if signed by an Officer of the Company.</w:t>
      </w:r>
    </w:p>
    <w:p>
      <w:pPr>
        <w:spacing w:after="0" w:line="86" w:lineRule="exact"/>
        <w:rPr>
          <w:rFonts w:ascii="Arial" w:cs="Arial" w:eastAsia="Arial" w:hAnsi="Arial"/>
          <w:sz w:val="13"/>
          <w:szCs w:val="13"/>
          <w:color w:val="auto"/>
        </w:rPr>
      </w:pPr>
    </w:p>
    <w:p>
      <w:pPr>
        <w:ind w:firstLine="172"/>
        <w:spacing w:after="0" w:line="264" w:lineRule="auto"/>
        <w:tabs>
          <w:tab w:leader="none" w:pos="327" w:val="left"/>
        </w:tabs>
        <w:numPr>
          <w:ilvl w:val="0"/>
          <w:numId w:val="92"/>
        </w:numPr>
        <w:rPr>
          <w:rFonts w:ascii="Arial" w:cs="Arial" w:eastAsia="Arial" w:hAnsi="Arial"/>
          <w:sz w:val="13"/>
          <w:szCs w:val="13"/>
          <w:color w:val="auto"/>
        </w:rPr>
      </w:pPr>
      <w:r>
        <w:rPr>
          <w:rFonts w:ascii="Arial" w:cs="Arial" w:eastAsia="Arial" w:hAnsi="Arial"/>
          <w:sz w:val="13"/>
          <w:szCs w:val="13"/>
          <w:color w:val="auto"/>
        </w:rPr>
        <w:t>Anything in this Indenture to the contrary notwithstanding, in no event shall the Trustee be liable under or in connection with this Indenture for indirect, special, incidental, punitive or consequential losses or damages of any kind whatsoever, including but not limited to lost profits, whether or not foreseeable, even if the Trustee has been advised of the possibility thereof and regardless of the form of action in which such damages are sought.</w:t>
      </w:r>
    </w:p>
    <w:p>
      <w:pPr>
        <w:spacing w:after="0" w:line="57" w:lineRule="exact"/>
        <w:rPr>
          <w:rFonts w:ascii="Arial" w:cs="Arial" w:eastAsia="Arial" w:hAnsi="Arial"/>
          <w:sz w:val="13"/>
          <w:szCs w:val="13"/>
          <w:color w:val="auto"/>
        </w:rPr>
      </w:pPr>
    </w:p>
    <w:p>
      <w:pPr>
        <w:ind w:right="100" w:firstLine="172"/>
        <w:spacing w:after="0" w:line="264" w:lineRule="auto"/>
        <w:tabs>
          <w:tab w:leader="none" w:pos="349"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Trustee shall be under no obligation to exercise any of the trusts or powers vested in it by this Indenture at the request, order or direction of any of the Holders of Securities pursuant to the provisions of this Indenture, unless such Holders of Securities shall have offered to the Trustee, security or indemnity reasonably satisfactory to the Trustee against the costs, expenses and liabilities which might be incurred therein or thereby.</w:t>
      </w:r>
    </w:p>
    <w:p>
      <w:pPr>
        <w:spacing w:after="0" w:line="57" w:lineRule="exact"/>
        <w:rPr>
          <w:rFonts w:ascii="Arial" w:cs="Arial" w:eastAsia="Arial" w:hAnsi="Arial"/>
          <w:sz w:val="13"/>
          <w:szCs w:val="13"/>
          <w:color w:val="auto"/>
        </w:rPr>
      </w:pPr>
    </w:p>
    <w:p>
      <w:pPr>
        <w:ind w:right="100" w:firstLine="172"/>
        <w:spacing w:after="0" w:line="276" w:lineRule="auto"/>
        <w:tabs>
          <w:tab w:leader="none" w:pos="349"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Trustee shall not be deemed to have notice of any Event of Default with respect to the Securities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49" w:lineRule="exact"/>
        <w:rPr>
          <w:rFonts w:ascii="Arial" w:cs="Arial" w:eastAsia="Arial" w:hAnsi="Arial"/>
          <w:sz w:val="13"/>
          <w:szCs w:val="13"/>
          <w:color w:val="auto"/>
        </w:rPr>
      </w:pPr>
    </w:p>
    <w:p>
      <w:pPr>
        <w:ind w:right="80" w:firstLine="172"/>
        <w:spacing w:after="0" w:line="264" w:lineRule="auto"/>
        <w:tabs>
          <w:tab w:leader="none" w:pos="320"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Trustee may at any time request, and the Company shall deliver an Officer’s Certificate setting forth the specimen signatures and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16"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133" w:name="page134"/>
    <w:bookmarkEnd w:id="133"/>
    <w:p>
      <w:pPr>
        <w:ind w:left="220" w:right="80" w:firstLine="172"/>
        <w:spacing w:after="0" w:line="289" w:lineRule="auto"/>
        <w:tabs>
          <w:tab w:leader="none" w:pos="5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Notwithstanding any provision herein to the contrary, in no event shall the Trustee be liable for any failure or delay in the performance of its obligations under this Indenture because of circumstances beyond its control, including, but not limited to, acts of God, flood, war (whether declared or undeclared), terrorism, fire, riot, strikes or work stoppages for any reason, embargo, government action, including any laws, ordinances, regulations or the like which restrict or prohibit the providing of the services contemplated by this Indenture, inability to obtain material, equipment, or communications or computer facilities, or the failure of equipment or interruption of communications or computer facilities, and other causes beyond its control whether or not of the same class or kind as specifically named above.</w:t>
      </w:r>
    </w:p>
    <w:p>
      <w:pPr>
        <w:spacing w:after="0" w:line="43" w:lineRule="exact"/>
        <w:rPr>
          <w:rFonts w:ascii="Arial" w:cs="Arial" w:eastAsia="Arial" w:hAnsi="Arial"/>
          <w:sz w:val="12"/>
          <w:szCs w:val="12"/>
          <w:color w:val="auto"/>
        </w:rPr>
      </w:pPr>
    </w:p>
    <w:p>
      <w:pPr>
        <w:ind w:left="220" w:right="520" w:firstLine="172"/>
        <w:spacing w:after="0" w:line="276" w:lineRule="auto"/>
        <w:tabs>
          <w:tab w:leader="none" w:pos="569"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 rights, privileges, protections, immunities and benefits given to the Trustee, including its right to be indemnified, are extended to, and shall be enforceable by, the Trustee in each of its capacities hereunder, each Agent, and each other agent, custodian and other Person employed to act hereunder.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7.3. </w:t>
      </w:r>
      <w:r>
        <w:rPr>
          <w:rFonts w:ascii="Arial" w:cs="Arial" w:eastAsia="Arial" w:hAnsi="Arial"/>
          <w:sz w:val="13"/>
          <w:szCs w:val="13"/>
          <w:u w:val="single" w:color="auto"/>
          <w:color w:val="auto"/>
        </w:rPr>
        <w:t>May Hold Securities</w:t>
      </w:r>
      <w:r>
        <w:rPr>
          <w:rFonts w:ascii="Arial" w:cs="Arial" w:eastAsia="Arial" w:hAnsi="Arial"/>
          <w:sz w:val="13"/>
          <w:szCs w:val="13"/>
          <w:color w:val="auto"/>
        </w:rPr>
        <w:t>.</w:t>
      </w:r>
    </w:p>
    <w:p>
      <w:pPr>
        <w:spacing w:after="0" w:line="86" w:lineRule="exact"/>
        <w:rPr>
          <w:sz w:val="20"/>
          <w:szCs w:val="20"/>
          <w:color w:val="auto"/>
        </w:rPr>
      </w:pPr>
    </w:p>
    <w:p>
      <w:pPr>
        <w:ind w:firstLine="325"/>
        <w:spacing w:after="0" w:line="276" w:lineRule="auto"/>
        <w:rPr>
          <w:sz w:val="20"/>
          <w:szCs w:val="20"/>
          <w:color w:val="auto"/>
        </w:rPr>
      </w:pPr>
      <w:r>
        <w:rPr>
          <w:rFonts w:ascii="Arial" w:cs="Arial" w:eastAsia="Arial" w:hAnsi="Arial"/>
          <w:sz w:val="13"/>
          <w:szCs w:val="13"/>
          <w:color w:val="auto"/>
        </w:rPr>
        <w:t>The Trustee in its individual or any other capacity may become the owner or pledgee of Securities and may otherwise deal with the Company or any of its Affiliates with the same rights it would have if it were not Trustee. Any Agent may do the same with like rights and duties. However, the Trustee is subject to Sections 7.9 and 7.10.</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7.4. </w:t>
      </w:r>
      <w:r>
        <w:rPr>
          <w:rFonts w:ascii="Arial" w:cs="Arial" w:eastAsia="Arial" w:hAnsi="Arial"/>
          <w:sz w:val="13"/>
          <w:szCs w:val="13"/>
          <w:u w:val="single" w:color="auto"/>
          <w:color w:val="auto"/>
        </w:rPr>
        <w:t>Trustee’s Disclaimer</w:t>
      </w:r>
      <w:r>
        <w:rPr>
          <w:rFonts w:ascii="Arial" w:cs="Arial" w:eastAsia="Arial" w:hAnsi="Arial"/>
          <w:sz w:val="13"/>
          <w:szCs w:val="13"/>
          <w:color w:val="auto"/>
        </w:rPr>
        <w:t>.</w:t>
      </w:r>
    </w:p>
    <w:p>
      <w:pPr>
        <w:spacing w:after="0" w:line="86" w:lineRule="exact"/>
        <w:rPr>
          <w:sz w:val="20"/>
          <w:szCs w:val="20"/>
          <w:color w:val="auto"/>
        </w:rPr>
      </w:pPr>
    </w:p>
    <w:p>
      <w:pPr>
        <w:jc w:val="both"/>
        <w:ind w:right="40" w:firstLine="325"/>
        <w:spacing w:after="0" w:line="264" w:lineRule="auto"/>
        <w:rPr>
          <w:sz w:val="20"/>
          <w:szCs w:val="20"/>
          <w:color w:val="auto"/>
        </w:rPr>
      </w:pPr>
      <w:r>
        <w:rPr>
          <w:rFonts w:ascii="Arial" w:cs="Arial" w:eastAsia="Arial" w:hAnsi="Arial"/>
          <w:sz w:val="13"/>
          <w:szCs w:val="13"/>
          <w:color w:val="auto"/>
        </w:rPr>
        <w:t>The Trustee makes no representation as to the validity, sufficiency or adequacy of any offering materials, this Indenture or the Securities, it shall not be accountable for the Company’s use of the proceeds from the Securities or any money paid to the Company or upon the Company’s direction under any provision hereof, it shall not be responsible for any statement or recital herein or any statement in any offering materials or the Securities other than its certificate of authentication.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7.5. </w:t>
      </w:r>
      <w:r>
        <w:rPr>
          <w:rFonts w:ascii="Arial" w:cs="Arial" w:eastAsia="Arial" w:hAnsi="Arial"/>
          <w:sz w:val="13"/>
          <w:szCs w:val="13"/>
          <w:u w:val="single" w:color="auto"/>
          <w:color w:val="auto"/>
        </w:rPr>
        <w:t>Notice of Defaults</w:t>
      </w:r>
      <w:r>
        <w:rPr>
          <w:rFonts w:ascii="Arial" w:cs="Arial" w:eastAsia="Arial" w:hAnsi="Arial"/>
          <w:sz w:val="13"/>
          <w:szCs w:val="13"/>
          <w:color w:val="auto"/>
        </w:rPr>
        <w:t>.</w:t>
      </w:r>
    </w:p>
    <w:p>
      <w:pPr>
        <w:spacing w:after="0" w:line="86"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If a Default or Event of Default with respect to the Securities of any Series occurs and is continuing and it is actually known to the Trustee, the Trustee shall mail to Holders of Securities of such Series a notice of the Default or Event of Default within 90 days after it occurs. Except in the case of a Default or Event of Default in payment of principal of, premium (if any) and interest on and Additional Amounts or any sinking fund installment with respect to the Securities of such Series, the Trustee may withhold the notice if and so long as a Responsible Officer in good faith determines that withholding the notice is in the interests of Holders of Securities of such Series to do so.</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7.6. </w:t>
      </w:r>
      <w:r>
        <w:rPr>
          <w:rFonts w:ascii="Arial" w:cs="Arial" w:eastAsia="Arial" w:hAnsi="Arial"/>
          <w:sz w:val="13"/>
          <w:szCs w:val="13"/>
          <w:u w:val="single" w:color="auto"/>
          <w:color w:val="auto"/>
        </w:rPr>
        <w:t>Compensation and Indemnity</w:t>
      </w:r>
      <w:r>
        <w:rPr>
          <w:rFonts w:ascii="Arial" w:cs="Arial" w:eastAsia="Arial" w:hAnsi="Arial"/>
          <w:sz w:val="13"/>
          <w:szCs w:val="13"/>
          <w:color w:val="auto"/>
        </w:rPr>
        <w:t>.</w:t>
      </w:r>
    </w:p>
    <w:p>
      <w:pPr>
        <w:spacing w:after="0" w:line="86" w:lineRule="exact"/>
        <w:rPr>
          <w:sz w:val="20"/>
          <w:szCs w:val="20"/>
          <w:color w:val="auto"/>
        </w:rPr>
      </w:pPr>
    </w:p>
    <w:p>
      <w:pPr>
        <w:ind w:right="220" w:firstLine="325"/>
        <w:spacing w:after="0" w:line="276" w:lineRule="auto"/>
        <w:rPr>
          <w:sz w:val="20"/>
          <w:szCs w:val="20"/>
          <w:color w:val="auto"/>
        </w:rPr>
      </w:pPr>
      <w:r>
        <w:rPr>
          <w:rFonts w:ascii="Arial" w:cs="Arial" w:eastAsia="Arial" w:hAnsi="Arial"/>
          <w:sz w:val="13"/>
          <w:szCs w:val="13"/>
          <w:color w:val="auto"/>
        </w:rPr>
        <w:t>The Company agrees to pay to the Trustee for its acceptance of this Indenture and services hereunder such compensation as the Company and the Trustee shall from time to time agree in writing. The Trustee’s compensation shall not be limited by any law on compensation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4" w:name="page135"/>
    <w:bookmarkEnd w:id="134"/>
    <w:p>
      <w:pPr>
        <w:ind w:right="640"/>
        <w:spacing w:after="0" w:line="276" w:lineRule="auto"/>
        <w:rPr>
          <w:sz w:val="20"/>
          <w:szCs w:val="20"/>
          <w:color w:val="auto"/>
        </w:rPr>
      </w:pPr>
      <w:r>
        <w:rPr>
          <w:rFonts w:ascii="Arial" w:cs="Arial" w:eastAsia="Arial" w:hAnsi="Arial"/>
          <w:sz w:val="13"/>
          <w:szCs w:val="13"/>
          <w:color w:val="auto"/>
        </w:rPr>
        <w:t>of a trustee of an express trust. The Company agrees to reimburse the Trustee upon request for all reasonable disbursements, advances and expenses incurred by it. Such expenses shall include the reasonable compensation, disbursements and expenses of the Trustee’s agents and counsel.</w:t>
      </w:r>
    </w:p>
    <w:p>
      <w:pPr>
        <w:spacing w:after="0" w:line="49" w:lineRule="exact"/>
        <w:rPr>
          <w:sz w:val="20"/>
          <w:szCs w:val="20"/>
          <w:color w:val="auto"/>
        </w:rPr>
      </w:pPr>
    </w:p>
    <w:p>
      <w:pPr>
        <w:ind w:firstLine="325"/>
        <w:spacing w:after="0" w:line="257" w:lineRule="auto"/>
        <w:rPr>
          <w:sz w:val="20"/>
          <w:szCs w:val="20"/>
          <w:color w:val="auto"/>
        </w:rPr>
      </w:pPr>
      <w:r>
        <w:rPr>
          <w:rFonts w:ascii="Arial" w:cs="Arial" w:eastAsia="Arial" w:hAnsi="Arial"/>
          <w:sz w:val="13"/>
          <w:szCs w:val="13"/>
          <w:color w:val="auto"/>
        </w:rPr>
        <w:t>The Company hereby indemnifies the Trustee from, and hold it harmless against any damage, cost, claim, loss, liability or expense (including the reasonable fees and expenses of the Trustee’s agents and counsel) incurred by it arising out of or in connection with its acceptance and administration of the trusts set forth under this Indenture, the performance of its obligations and/or the exercise of its rights hereunder, including the reasonable costs and expenses of defending itself against any claim, except as set forth in the next following paragraph. The Trustee shall notify the Company promptly of any claim for which it may seek indemnity. The Company shall defend the claim, with counsel reasonably acceptable to the Trustee, and the Trustee shall cooperate in the defense, unless, the Trustee, in its reasonable discretion, determines that any actual or potential conflict of interest may exist, in which case the Trustee may have separate counsel, reasonably acceptable to the Company and the Company shall pay the reasonable fees and expenses of such counsel. The Company need not pay for any settlement made without its consent.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Company shall not be obligated to reimburse any expense or indemnify against any loss or liability incurred by the Trustee through the Trustee’s own gross negligence or bad faith.</w:t>
      </w:r>
    </w:p>
    <w:p>
      <w:pPr>
        <w:spacing w:after="0" w:line="86" w:lineRule="exact"/>
        <w:rPr>
          <w:sz w:val="20"/>
          <w:szCs w:val="20"/>
          <w:color w:val="auto"/>
        </w:rPr>
      </w:pPr>
    </w:p>
    <w:p>
      <w:pPr>
        <w:jc w:val="both"/>
        <w:ind w:right="80" w:firstLine="325"/>
        <w:spacing w:after="0" w:line="264" w:lineRule="auto"/>
        <w:rPr>
          <w:sz w:val="20"/>
          <w:szCs w:val="20"/>
          <w:color w:val="auto"/>
        </w:rPr>
      </w:pPr>
      <w:r>
        <w:rPr>
          <w:rFonts w:ascii="Arial" w:cs="Arial" w:eastAsia="Arial" w:hAnsi="Arial"/>
          <w:sz w:val="13"/>
          <w:szCs w:val="13"/>
          <w:color w:val="auto"/>
        </w:rPr>
        <w:t>To secure the payment obligations of the Company in this Section 7.6, the Trustee shall have a lien prior to the Securities on all money or property held or collected by the Trustee, except that held in trust to pay principal of, premium (if any) and interest on and any Additional Amounts with respect to Securities of any Series. Such lien and the obligations of the Company under this Section 7.6 shall survive the satisfaction and discharge of this Indenture, the payment of the Securities and/or the resignation or removal of the Trustee.</w:t>
      </w:r>
    </w:p>
    <w:p>
      <w:pPr>
        <w:spacing w:after="0" w:line="57" w:lineRule="exact"/>
        <w:rPr>
          <w:sz w:val="20"/>
          <w:szCs w:val="20"/>
          <w:color w:val="auto"/>
        </w:rPr>
      </w:pPr>
    </w:p>
    <w:p>
      <w:pPr>
        <w:ind w:right="40" w:firstLine="325"/>
        <w:spacing w:after="0" w:line="276" w:lineRule="auto"/>
        <w:rPr>
          <w:sz w:val="20"/>
          <w:szCs w:val="20"/>
          <w:color w:val="auto"/>
        </w:rPr>
      </w:pPr>
      <w:r>
        <w:rPr>
          <w:rFonts w:ascii="Arial" w:cs="Arial" w:eastAsia="Arial" w:hAnsi="Arial"/>
          <w:sz w:val="13"/>
          <w:szCs w:val="13"/>
          <w:color w:val="auto"/>
        </w:rPr>
        <w:t>When the Trustee incurs expenses or renders services in connection with an Event of Default,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7.7. </w:t>
      </w:r>
      <w:r>
        <w:rPr>
          <w:rFonts w:ascii="Arial" w:cs="Arial" w:eastAsia="Arial" w:hAnsi="Arial"/>
          <w:sz w:val="13"/>
          <w:szCs w:val="13"/>
          <w:u w:val="single" w:color="auto"/>
          <w:color w:val="auto"/>
        </w:rPr>
        <w:t>Replacement of Trustee</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 resignation or removal of the Trustee and appointment of a successor Trustee shall become effective only upon the successor Trustee’s acceptance of appointment as provided in this Section 7.7.</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Trustee may resign and be discharged at any time with respect to the Securities of one or more Series by so notifying the Company. The Holders of a majority in principal amount of the then outstanding</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Securities of any Series may remove the Trustee with respect to the Securities of such Series by so notifying the Trustee and the Company. The Company may remove the Trustee for any or all Series of the Securities if:</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the Trustee fails to comply with Section 7.9;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5" w:name="page136"/>
    <w:bookmarkEnd w:id="135"/>
    <w:p>
      <w:pPr>
        <w:ind w:left="580" w:hanging="188"/>
        <w:spacing w:after="0"/>
        <w:tabs>
          <w:tab w:leader="none" w:pos="5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Trustee is adjudged a bankrupt or an insolvent or an order for relief is entered with respect to the Trustee under any Bankruptcy Law;</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a Custodian or public officer takes charge of the Trustee or its property; or</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Trustee becomes incapable of acting.</w:t>
      </w:r>
    </w:p>
    <w:p>
      <w:pPr>
        <w:spacing w:after="0" w:line="86" w:lineRule="exact"/>
        <w:rPr>
          <w:sz w:val="20"/>
          <w:szCs w:val="20"/>
          <w:color w:val="auto"/>
        </w:rPr>
      </w:pPr>
    </w:p>
    <w:p>
      <w:pPr>
        <w:ind w:right="180" w:firstLine="328"/>
        <w:spacing w:after="0" w:line="260" w:lineRule="auto"/>
        <w:rPr>
          <w:sz w:val="20"/>
          <w:szCs w:val="20"/>
          <w:color w:val="auto"/>
        </w:rPr>
      </w:pPr>
      <w:r>
        <w:rPr>
          <w:rFonts w:ascii="Arial" w:cs="Arial" w:eastAsia="Arial" w:hAnsi="Arial"/>
          <w:sz w:val="13"/>
          <w:szCs w:val="13"/>
          <w:color w:val="auto"/>
        </w:rPr>
        <w:t>If the Trustee resigns or is removed or if a vacancy exists in the office of Trustee for any reason,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Within one year after the successor Trustee with respect to the Securities of any series takes office, the Holders of a majority in principal amount of the Securities of such Series then outstanding may appoint a successor Trustee to replace the successor Trustee appointed by the Company.</w:t>
      </w:r>
    </w:p>
    <w:p>
      <w:pPr>
        <w:spacing w:after="0" w:line="60" w:lineRule="exact"/>
        <w:rPr>
          <w:sz w:val="20"/>
          <w:szCs w:val="20"/>
          <w:color w:val="auto"/>
        </w:rPr>
      </w:pPr>
    </w:p>
    <w:p>
      <w:pPr>
        <w:ind w:right="240" w:firstLine="328"/>
        <w:spacing w:after="0" w:line="371" w:lineRule="auto"/>
        <w:rPr>
          <w:sz w:val="20"/>
          <w:szCs w:val="20"/>
          <w:color w:val="auto"/>
        </w:rPr>
      </w:pPr>
      <w:r>
        <w:rPr>
          <w:rFonts w:ascii="Arial" w:cs="Arial" w:eastAsia="Arial" w:hAnsi="Arial"/>
          <w:sz w:val="11"/>
          <w:szCs w:val="11"/>
          <w:color w:val="auto"/>
        </w:rPr>
        <w:t>If a successor Trustee with respect to the Securities of any Series does not take office within 30 days after the retiring Trustee resigns or is removed, the retiring Trustee, the Company or the Holders of at least 10% in principal amount of the then outstanding Securities of such Series may petition any court of competent jurisdiction for the appointment of a successor Trustee with respect to the Securities of such Series.</w:t>
      </w:r>
    </w:p>
    <w:p>
      <w:pPr>
        <w:spacing w:after="0" w:line="2" w:lineRule="exact"/>
        <w:rPr>
          <w:sz w:val="20"/>
          <w:szCs w:val="20"/>
          <w:color w:val="auto"/>
        </w:rPr>
      </w:pPr>
    </w:p>
    <w:p>
      <w:pPr>
        <w:ind w:right="80" w:firstLine="328"/>
        <w:spacing w:after="0" w:line="276" w:lineRule="auto"/>
        <w:rPr>
          <w:sz w:val="20"/>
          <w:szCs w:val="20"/>
          <w:color w:val="auto"/>
        </w:rPr>
      </w:pPr>
      <w:r>
        <w:rPr>
          <w:rFonts w:ascii="Arial" w:cs="Arial" w:eastAsia="Arial" w:hAnsi="Arial"/>
          <w:sz w:val="13"/>
          <w:szCs w:val="13"/>
          <w:color w:val="auto"/>
        </w:rPr>
        <w:t>If the Trustee with respect to the Securities of a Series fails to comply with Section 7.9, any Holder of Securities of such Series may petition any court of competent jurisdiction for the removal of the Trustee and the appointment of a successor Trustee with respect to the Securities of such Series.</w:t>
      </w:r>
    </w:p>
    <w:p>
      <w:pPr>
        <w:spacing w:after="0" w:line="49" w:lineRule="exact"/>
        <w:rPr>
          <w:sz w:val="20"/>
          <w:szCs w:val="20"/>
          <w:color w:val="auto"/>
        </w:rPr>
      </w:pPr>
    </w:p>
    <w:p>
      <w:pPr>
        <w:ind w:right="40" w:firstLine="328"/>
        <w:spacing w:after="0" w:line="260" w:lineRule="auto"/>
        <w:rPr>
          <w:sz w:val="20"/>
          <w:szCs w:val="20"/>
          <w:color w:val="auto"/>
        </w:rPr>
      </w:pPr>
      <w:r>
        <w:rPr>
          <w:rFonts w:ascii="Arial" w:cs="Arial" w:eastAsia="Arial" w:hAnsi="Arial"/>
          <w:sz w:val="13"/>
          <w:szCs w:val="13"/>
          <w:color w:val="auto"/>
        </w:rPr>
        <w:t>In case of the appointment of a successor Trustee with respect to all Securities, each such successor Trustee shall deliver a written acceptance of its appointment to the retiring Trustee and to the Company. Thereupon the resignation or removal of the retiring Trustee shall become effective, and the successor Trustee shall have all the rights, powers and duties of the retiring Trustee under this Indenture. The successor Trustee shall give a notice of its succession to Holders in accordance with Section 10.2. The retiring Trustee shall promptly transfer all property held by it as Trustee to the successor Trustee, subject to the lien provided for in Section 7.6.</w:t>
      </w:r>
    </w:p>
    <w:p>
      <w:pPr>
        <w:spacing w:after="0" w:line="60" w:lineRule="exact"/>
        <w:rPr>
          <w:sz w:val="20"/>
          <w:szCs w:val="20"/>
          <w:color w:val="auto"/>
        </w:rPr>
      </w:pPr>
    </w:p>
    <w:p>
      <w:pPr>
        <w:ind w:firstLine="328"/>
        <w:spacing w:after="0" w:line="285" w:lineRule="auto"/>
        <w:rPr>
          <w:sz w:val="20"/>
          <w:szCs w:val="20"/>
          <w:color w:val="auto"/>
        </w:rPr>
      </w:pPr>
      <w:r>
        <w:rPr>
          <w:rFonts w:ascii="Arial" w:cs="Arial" w:eastAsia="Arial" w:hAnsi="Arial"/>
          <w:sz w:val="12"/>
          <w:szCs w:val="12"/>
          <w:color w:val="auto"/>
        </w:rPr>
        <w:t>In case of the appointment of a successor Trustee with respect to the Securities of one or more Series, the Company, the retiring Trustee and each successor Trustee with respect to the Securities of one or more Series shall execute and deliver an indenture supplemental hereto in which each successor Trustee shall accept such appointment and that (1) shall confer to each successor Trustee all the rights, powers and duties of the retiring Trustee with respect to the Securities of that or those Series to which the appointment of such successor Trustee relates, (2) if the retiring Trustee is not retiring with respect to all Securities, shall confirm that all the rights, powers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Nothing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36" w:name="page137"/>
    <w:bookmarkEnd w:id="136"/>
    <w:p>
      <w:pPr>
        <w:spacing w:after="0" w:line="285" w:lineRule="auto"/>
        <w:rPr>
          <w:sz w:val="20"/>
          <w:szCs w:val="20"/>
          <w:color w:val="auto"/>
        </w:rPr>
      </w:pPr>
      <w:r>
        <w:rPr>
          <w:rFonts w:ascii="Arial" w:cs="Arial" w:eastAsia="Arial" w:hAnsi="Arial"/>
          <w:sz w:val="12"/>
          <w:szCs w:val="12"/>
          <w:color w:val="auto"/>
        </w:rPr>
        <w:t>herein or in such supplemental indenture shall constitute such Trustees co-trustees of the same trust, and each such Trustee shall be trustee of a trust or trusts hereunder separate and apart from any trust or trusts hereunder administered by any other such Trustee. Upon the execution and delivery of such supplemental indenture, the resignation or removal of the retiring Trustee shall become effective to the extent provided therein and each such successor Trustee shall have all the rights, powers and duties of the retiring Trustee with respect to the Securities of that or those series to which the appointment of such successor Trustee relates. On request of the Company, or any successor Trustee, such retiring Trustee shall transfer to such successor Trustee all property held by such retiring Trustee as Trustee with respect to the Securities of that or those Series to which the appointment of such successor Trustee relates. Such retiring Trustee shall, however, have the right to deduct its unpaid fees and expenses, including attorneys’ fees.</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Notwithstanding replacement of the Trustee or Trustees pursuant to this Section 7.7, the obligations of the Company under Section 7.6 shall continue for the benefit of the retiring Trustee or Trustees.</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7.8. </w:t>
      </w:r>
      <w:r>
        <w:rPr>
          <w:rFonts w:ascii="Arial" w:cs="Arial" w:eastAsia="Arial" w:hAnsi="Arial"/>
          <w:sz w:val="13"/>
          <w:szCs w:val="13"/>
          <w:u w:val="single" w:color="auto"/>
          <w:color w:val="auto"/>
        </w:rPr>
        <w:t>Successor Trustee by Merger, etc</w:t>
      </w:r>
      <w:r>
        <w:rPr>
          <w:rFonts w:ascii="Arial" w:cs="Arial" w:eastAsia="Arial" w:hAnsi="Arial"/>
          <w:sz w:val="13"/>
          <w:szCs w:val="13"/>
          <w:color w:val="auto"/>
        </w:rPr>
        <w:t>.</w:t>
      </w:r>
    </w:p>
    <w:p>
      <w:pPr>
        <w:spacing w:after="0" w:line="86" w:lineRule="exact"/>
        <w:rPr>
          <w:sz w:val="20"/>
          <w:szCs w:val="20"/>
          <w:color w:val="auto"/>
        </w:rPr>
      </w:pPr>
    </w:p>
    <w:p>
      <w:pPr>
        <w:ind w:right="420" w:firstLine="328"/>
        <w:spacing w:after="0" w:line="276" w:lineRule="auto"/>
        <w:rPr>
          <w:sz w:val="20"/>
          <w:szCs w:val="20"/>
          <w:color w:val="auto"/>
        </w:rPr>
      </w:pPr>
      <w:r>
        <w:rPr>
          <w:rFonts w:ascii="Arial" w:cs="Arial" w:eastAsia="Arial" w:hAnsi="Arial"/>
          <w:sz w:val="13"/>
          <w:szCs w:val="13"/>
          <w:color w:val="auto"/>
        </w:rPr>
        <w:t>Subject to Section 7.9, if the Trustee consolidates, merges or converts into, or transfers all or substantially all of its corporate trust business (including this transaction) to, another corporation, the successor corporation without any further act shall be the successor Trustee.</w:t>
      </w:r>
    </w:p>
    <w:p>
      <w:pPr>
        <w:spacing w:after="0" w:line="49" w:lineRule="exact"/>
        <w:rPr>
          <w:sz w:val="20"/>
          <w:szCs w:val="20"/>
          <w:color w:val="auto"/>
        </w:rPr>
      </w:pPr>
    </w:p>
    <w:p>
      <w:pPr>
        <w:ind w:right="60" w:firstLine="328"/>
        <w:spacing w:after="0" w:line="260" w:lineRule="auto"/>
        <w:rPr>
          <w:sz w:val="20"/>
          <w:szCs w:val="20"/>
          <w:color w:val="auto"/>
        </w:rPr>
      </w:pPr>
      <w:r>
        <w:rPr>
          <w:rFonts w:ascii="Arial" w:cs="Arial" w:eastAsia="Arial" w:hAnsi="Arial"/>
          <w:sz w:val="13"/>
          <w:szCs w:val="13"/>
          <w:color w:val="auto"/>
        </w:rPr>
        <w:t>In case any Securities shall have been authenticated, but not delivered, by the Trustee then in office, any successor by merger, conversion or consolidation to such authenticating Trustee may adopt such authentication and deliver the Securities so authenticated; and in case at that time any of the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7.9. </w:t>
      </w:r>
      <w:r>
        <w:rPr>
          <w:rFonts w:ascii="Arial" w:cs="Arial" w:eastAsia="Arial" w:hAnsi="Arial"/>
          <w:sz w:val="13"/>
          <w:szCs w:val="13"/>
          <w:u w:val="single" w:color="auto"/>
          <w:color w:val="auto"/>
        </w:rPr>
        <w:t>Eligibility; Disqualification</w:t>
      </w:r>
      <w:r>
        <w:rPr>
          <w:rFonts w:ascii="Arial" w:cs="Arial" w:eastAsia="Arial" w:hAnsi="Arial"/>
          <w:sz w:val="13"/>
          <w:szCs w:val="13"/>
          <w:color w:val="auto"/>
        </w:rPr>
        <w:t>.</w:t>
      </w:r>
    </w:p>
    <w:p>
      <w:pPr>
        <w:spacing w:after="0" w:line="86" w:lineRule="exact"/>
        <w:rPr>
          <w:sz w:val="20"/>
          <w:szCs w:val="20"/>
          <w:color w:val="auto"/>
        </w:rPr>
      </w:pPr>
    </w:p>
    <w:p>
      <w:pPr>
        <w:ind w:firstLine="325"/>
        <w:spacing w:after="0" w:line="264" w:lineRule="auto"/>
        <w:rPr>
          <w:sz w:val="20"/>
          <w:szCs w:val="20"/>
          <w:color w:val="auto"/>
        </w:rPr>
      </w:pPr>
      <w:r>
        <w:rPr>
          <w:rFonts w:ascii="Arial" w:cs="Arial" w:eastAsia="Arial" w:hAnsi="Arial"/>
          <w:sz w:val="13"/>
          <w:szCs w:val="13"/>
          <w:color w:val="auto"/>
        </w:rPr>
        <w:t>There shall at all times be a Trustee hereunder which shall be a corporation organized and doing business under the laws of the United States, any State thereof or the District of Columbia and authorized under such laws to exercise corporate trust power, shall be subject to supervision or examination by Federal or State (or the District of Columbia) authority and shall have, or be a subsidiary of a bank or bank holding company having, a combined capital and surplus of at least $50 million as set forth in its most recent published annual report of condition.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7.10. </w:t>
      </w:r>
      <w:r>
        <w:rPr>
          <w:rFonts w:ascii="Arial" w:cs="Arial" w:eastAsia="Arial" w:hAnsi="Arial"/>
          <w:sz w:val="13"/>
          <w:szCs w:val="13"/>
          <w:u w:val="single" w:color="auto"/>
          <w:color w:val="auto"/>
        </w:rPr>
        <w:t>Preferential Collection of Claims Against Company</w:t>
      </w:r>
      <w:r>
        <w:rPr>
          <w:rFonts w:ascii="Arial" w:cs="Arial" w:eastAsia="Arial" w:hAnsi="Arial"/>
          <w:sz w:val="13"/>
          <w:szCs w:val="13"/>
          <w:color w:val="auto"/>
        </w:rPr>
        <w:t>.</w:t>
      </w:r>
    </w:p>
    <w:p>
      <w:pPr>
        <w:spacing w:after="0" w:line="86" w:lineRule="exact"/>
        <w:rPr>
          <w:sz w:val="20"/>
          <w:szCs w:val="20"/>
          <w:color w:val="auto"/>
        </w:rPr>
      </w:pPr>
    </w:p>
    <w:p>
      <w:pPr>
        <w:ind w:right="200" w:firstLine="325"/>
        <w:spacing w:after="0" w:line="276" w:lineRule="auto"/>
        <w:rPr>
          <w:sz w:val="20"/>
          <w:szCs w:val="20"/>
          <w:color w:val="auto"/>
        </w:rPr>
      </w:pPr>
      <w:r>
        <w:rPr>
          <w:rFonts w:ascii="Arial" w:cs="Arial" w:eastAsia="Arial" w:hAnsi="Arial"/>
          <w:sz w:val="13"/>
          <w:szCs w:val="13"/>
          <w:color w:val="auto"/>
        </w:rPr>
        <w:t>The Trustee is subject to and shall comply with the provisions of the Trust Indenture Act of 1933, as amended (the “</w:t>
      </w:r>
      <w:r>
        <w:rPr>
          <w:rFonts w:ascii="Arial" w:cs="Arial" w:eastAsia="Arial" w:hAnsi="Arial"/>
          <w:sz w:val="13"/>
          <w:szCs w:val="13"/>
          <w:i w:val="1"/>
          <w:iCs w:val="1"/>
          <w:color w:val="auto"/>
        </w:rPr>
        <w:t>TIA</w:t>
      </w:r>
      <w:r>
        <w:rPr>
          <w:rFonts w:ascii="Arial" w:cs="Arial" w:eastAsia="Arial" w:hAnsi="Arial"/>
          <w:sz w:val="13"/>
          <w:szCs w:val="13"/>
          <w:color w:val="auto"/>
        </w:rPr>
        <w:t>”) § 311(a), as if such section applied hereto, excluding any creditor relationship listed in TIA § 311(b). A Trustee who has resigned or been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7" w:name="page138"/>
    <w:bookmarkEnd w:id="137"/>
    <w:p>
      <w:pPr>
        <w:spacing w:after="0"/>
        <w:rPr>
          <w:sz w:val="20"/>
          <w:szCs w:val="20"/>
          <w:color w:val="auto"/>
        </w:rPr>
      </w:pPr>
      <w:r>
        <w:rPr>
          <w:rFonts w:ascii="Arial" w:cs="Arial" w:eastAsia="Arial" w:hAnsi="Arial"/>
          <w:sz w:val="13"/>
          <w:szCs w:val="13"/>
          <w:color w:val="auto"/>
        </w:rPr>
        <w:t>removed shall be subject to TIA § 311(a), as if such section applied hereto, to the extent indicated therein.</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ARTICLE VIII.</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DISCHARGE OF INDENTURE</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8.1. </w:t>
      </w:r>
      <w:r>
        <w:rPr>
          <w:rFonts w:ascii="Arial" w:cs="Arial" w:eastAsia="Arial" w:hAnsi="Arial"/>
          <w:sz w:val="13"/>
          <w:szCs w:val="13"/>
          <w:u w:val="single" w:color="auto"/>
          <w:color w:val="auto"/>
        </w:rPr>
        <w:t>Termination of Company’s Obligations</w:t>
      </w:r>
      <w:r>
        <w:rPr>
          <w:rFonts w:ascii="Arial" w:cs="Arial" w:eastAsia="Arial" w:hAnsi="Arial"/>
          <w:sz w:val="13"/>
          <w:szCs w:val="13"/>
          <w:color w:val="auto"/>
        </w:rPr>
        <w:t>.</w:t>
      </w:r>
    </w:p>
    <w:p>
      <w:pPr>
        <w:spacing w:after="0" w:line="86" w:lineRule="exact"/>
        <w:rPr>
          <w:sz w:val="20"/>
          <w:szCs w:val="20"/>
          <w:color w:val="auto"/>
        </w:rPr>
      </w:pPr>
    </w:p>
    <w:p>
      <w:pPr>
        <w:ind w:right="240" w:firstLine="162"/>
        <w:spacing w:after="0" w:line="264" w:lineRule="auto"/>
        <w:tabs>
          <w:tab w:leader="none" w:pos="340"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This Indenture shall cease to be of further effect with respect to the Securities of a Series (except that all obligations of the Company under Section 7.6, the Trustee’s and Paying Agent’s obligations under Section 8.3 and the rights, powers, protections and privileges accorded the Trustee under Article VII shall survive), and the Trustee, on written demand of the Company shall execute instruments acknowledging the satisfaction and discharge of this Indenture with respect to the Securities of such Series, when:</w:t>
      </w:r>
    </w:p>
    <w:p>
      <w:pPr>
        <w:spacing w:after="0" w:line="57" w:lineRule="exact"/>
        <w:rPr>
          <w:rFonts w:ascii="Arial" w:cs="Arial" w:eastAsia="Arial" w:hAnsi="Arial"/>
          <w:sz w:val="13"/>
          <w:szCs w:val="13"/>
          <w:color w:val="auto"/>
        </w:rPr>
      </w:pPr>
    </w:p>
    <w:p>
      <w:pPr>
        <w:ind w:left="800" w:hanging="179"/>
        <w:spacing w:after="0"/>
        <w:tabs>
          <w:tab w:leader="none" w:pos="800" w:val="left"/>
        </w:tabs>
        <w:numPr>
          <w:ilvl w:val="1"/>
          <w:numId w:val="95"/>
        </w:numPr>
        <w:rPr>
          <w:rFonts w:ascii="Arial" w:cs="Arial" w:eastAsia="Arial" w:hAnsi="Arial"/>
          <w:sz w:val="13"/>
          <w:szCs w:val="13"/>
          <w:color w:val="auto"/>
        </w:rPr>
      </w:pPr>
      <w:r>
        <w:rPr>
          <w:rFonts w:ascii="Arial" w:cs="Arial" w:eastAsia="Arial" w:hAnsi="Arial"/>
          <w:sz w:val="13"/>
          <w:szCs w:val="13"/>
          <w:color w:val="auto"/>
        </w:rPr>
        <w:t>either</w:t>
      </w:r>
    </w:p>
    <w:p>
      <w:pPr>
        <w:spacing w:after="0" w:line="86" w:lineRule="exact"/>
        <w:rPr>
          <w:rFonts w:ascii="Arial" w:cs="Arial" w:eastAsia="Arial" w:hAnsi="Arial"/>
          <w:sz w:val="13"/>
          <w:szCs w:val="13"/>
          <w:color w:val="auto"/>
        </w:rPr>
      </w:pPr>
    </w:p>
    <w:p>
      <w:pPr>
        <w:ind w:left="1140" w:right="80" w:firstLine="6"/>
        <w:spacing w:after="0" w:line="276" w:lineRule="auto"/>
        <w:tabs>
          <w:tab w:leader="none" w:pos="1355" w:val="left"/>
        </w:tabs>
        <w:numPr>
          <w:ilvl w:val="2"/>
          <w:numId w:val="95"/>
        </w:numPr>
        <w:rPr>
          <w:rFonts w:ascii="Arial" w:cs="Arial" w:eastAsia="Arial" w:hAnsi="Arial"/>
          <w:sz w:val="13"/>
          <w:szCs w:val="13"/>
          <w:color w:val="auto"/>
        </w:rPr>
      </w:pPr>
      <w:r>
        <w:rPr>
          <w:rFonts w:ascii="Arial" w:cs="Arial" w:eastAsia="Arial" w:hAnsi="Arial"/>
          <w:sz w:val="13"/>
          <w:szCs w:val="13"/>
          <w:color w:val="auto"/>
        </w:rPr>
        <w:t>all outstanding Securities of such Series theretofore authenticated and issued (other than destroyed, lost or stolen Securities that have been replaced or paid) have been delivered to the Trustee for cancellation; or</w:t>
      </w:r>
    </w:p>
    <w:p>
      <w:pPr>
        <w:spacing w:after="0" w:line="49" w:lineRule="exact"/>
        <w:rPr>
          <w:rFonts w:ascii="Arial" w:cs="Arial" w:eastAsia="Arial" w:hAnsi="Arial"/>
          <w:sz w:val="13"/>
          <w:szCs w:val="13"/>
          <w:color w:val="auto"/>
        </w:rPr>
      </w:pPr>
    </w:p>
    <w:p>
      <w:pPr>
        <w:ind w:left="1360" w:hanging="214"/>
        <w:spacing w:after="0"/>
        <w:tabs>
          <w:tab w:leader="none" w:pos="1360" w:val="left"/>
        </w:tabs>
        <w:numPr>
          <w:ilvl w:val="2"/>
          <w:numId w:val="95"/>
        </w:numPr>
        <w:rPr>
          <w:rFonts w:ascii="Arial" w:cs="Arial" w:eastAsia="Arial" w:hAnsi="Arial"/>
          <w:sz w:val="13"/>
          <w:szCs w:val="13"/>
          <w:color w:val="auto"/>
        </w:rPr>
      </w:pPr>
      <w:r>
        <w:rPr>
          <w:rFonts w:ascii="Arial" w:cs="Arial" w:eastAsia="Arial" w:hAnsi="Arial"/>
          <w:sz w:val="13"/>
          <w:szCs w:val="13"/>
          <w:color w:val="auto"/>
        </w:rPr>
        <w:t>all outstanding Securities of such Series not theretofore delivered to the Trustee for cancellation:</w:t>
      </w:r>
    </w:p>
    <w:p>
      <w:pPr>
        <w:spacing w:after="0" w:line="86" w:lineRule="exact"/>
        <w:rPr>
          <w:rFonts w:ascii="Arial" w:cs="Arial" w:eastAsia="Arial" w:hAnsi="Arial"/>
          <w:sz w:val="13"/>
          <w:szCs w:val="13"/>
          <w:color w:val="auto"/>
        </w:rPr>
      </w:pPr>
    </w:p>
    <w:p>
      <w:pPr>
        <w:ind w:left="1540" w:hanging="165"/>
        <w:spacing w:after="0"/>
        <w:tabs>
          <w:tab w:leader="none" w:pos="1540" w:val="left"/>
        </w:tabs>
        <w:numPr>
          <w:ilvl w:val="3"/>
          <w:numId w:val="95"/>
        </w:numPr>
        <w:rPr>
          <w:rFonts w:ascii="Arial" w:cs="Arial" w:eastAsia="Arial" w:hAnsi="Arial"/>
          <w:sz w:val="13"/>
          <w:szCs w:val="13"/>
          <w:color w:val="auto"/>
        </w:rPr>
      </w:pPr>
      <w:r>
        <w:rPr>
          <w:rFonts w:ascii="Arial" w:cs="Arial" w:eastAsia="Arial" w:hAnsi="Arial"/>
          <w:sz w:val="13"/>
          <w:szCs w:val="13"/>
          <w:color w:val="auto"/>
        </w:rPr>
        <w:t>have become due and payable, or</w:t>
      </w:r>
    </w:p>
    <w:p>
      <w:pPr>
        <w:spacing w:after="0" w:line="86" w:lineRule="exact"/>
        <w:rPr>
          <w:rFonts w:ascii="Arial" w:cs="Arial" w:eastAsia="Arial" w:hAnsi="Arial"/>
          <w:sz w:val="13"/>
          <w:szCs w:val="13"/>
          <w:color w:val="auto"/>
        </w:rPr>
      </w:pPr>
    </w:p>
    <w:p>
      <w:pPr>
        <w:ind w:left="1560" w:hanging="185"/>
        <w:spacing w:after="0"/>
        <w:tabs>
          <w:tab w:leader="none" w:pos="1560" w:val="left"/>
        </w:tabs>
        <w:numPr>
          <w:ilvl w:val="3"/>
          <w:numId w:val="95"/>
        </w:numPr>
        <w:rPr>
          <w:rFonts w:ascii="Arial" w:cs="Arial" w:eastAsia="Arial" w:hAnsi="Arial"/>
          <w:sz w:val="13"/>
          <w:szCs w:val="13"/>
          <w:color w:val="auto"/>
        </w:rPr>
      </w:pPr>
      <w:r>
        <w:rPr>
          <w:rFonts w:ascii="Arial" w:cs="Arial" w:eastAsia="Arial" w:hAnsi="Arial"/>
          <w:sz w:val="13"/>
          <w:szCs w:val="13"/>
          <w:color w:val="auto"/>
        </w:rPr>
        <w:t>will become due and payable at their Stated Maturity within one year, or</w:t>
      </w:r>
    </w:p>
    <w:p>
      <w:pPr>
        <w:spacing w:after="0" w:line="86" w:lineRule="exact"/>
        <w:rPr>
          <w:rFonts w:ascii="Arial" w:cs="Arial" w:eastAsia="Arial" w:hAnsi="Arial"/>
          <w:sz w:val="13"/>
          <w:szCs w:val="13"/>
          <w:color w:val="auto"/>
        </w:rPr>
      </w:pPr>
    </w:p>
    <w:p>
      <w:pPr>
        <w:ind w:left="1380" w:right="80" w:hanging="5"/>
        <w:spacing w:after="0" w:line="276" w:lineRule="auto"/>
        <w:tabs>
          <w:tab w:leader="none" w:pos="1609" w:val="left"/>
        </w:tabs>
        <w:numPr>
          <w:ilvl w:val="3"/>
          <w:numId w:val="95"/>
        </w:numPr>
        <w:rPr>
          <w:rFonts w:ascii="Arial" w:cs="Arial" w:eastAsia="Arial" w:hAnsi="Arial"/>
          <w:sz w:val="13"/>
          <w:szCs w:val="13"/>
          <w:color w:val="auto"/>
        </w:rPr>
      </w:pPr>
      <w:r>
        <w:rPr>
          <w:rFonts w:ascii="Arial" w:cs="Arial" w:eastAsia="Arial" w:hAnsi="Arial"/>
          <w:sz w:val="13"/>
          <w:szCs w:val="13"/>
          <w:color w:val="auto"/>
        </w:rPr>
        <w:t>are to be called for redemption within one year under arrangements satisfactory to the Trustee for the giving of notice of redemption by the Trustee in the name, and at the expense, of the Company,</w:t>
      </w:r>
    </w:p>
    <w:p>
      <w:pPr>
        <w:spacing w:after="0" w:line="49" w:lineRule="exact"/>
        <w:rPr>
          <w:sz w:val="20"/>
          <w:szCs w:val="20"/>
          <w:color w:val="auto"/>
        </w:rPr>
      </w:pPr>
    </w:p>
    <w:p>
      <w:pPr>
        <w:jc w:val="both"/>
        <w:ind w:left="220"/>
        <w:spacing w:after="0" w:line="258" w:lineRule="auto"/>
        <w:rPr>
          <w:sz w:val="20"/>
          <w:szCs w:val="20"/>
          <w:color w:val="auto"/>
        </w:rPr>
      </w:pPr>
      <w:r>
        <w:rPr>
          <w:rFonts w:ascii="Arial" w:cs="Arial" w:eastAsia="Arial" w:hAnsi="Arial"/>
          <w:sz w:val="13"/>
          <w:szCs w:val="13"/>
          <w:color w:val="auto"/>
        </w:rPr>
        <w:t>and, in the case of clause (i), (ii) or (iii) above, the Company has irrevocably deposited or caused to be deposited with the Trustee as funds (immediately available to the Holders in the case of clause (i)) in trust for such purpose (x) cash in an amount, or (y) Government Obligations, maturing as to principal and interest at such times and in such amounts as will ensure the availability of cash in an amount or (z) a combination thereof which will be sufficient, in the opinion (in the case of (y) or (z)) of a nationally recognized firm of independent public accountants expressed in a written certification thereof delivered to the Trustee, to pay and discharge the entire indebtedness on the Securities of such Series for principal and interest to the date of such deposit (in the case of Securities which have become due and payable) or for principal, premium, if any, and interest to the Stated Maturity or redemption date, as the case may be; or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38" w:name="page139"/>
    <w:bookmarkEnd w:id="138"/>
    <w:p>
      <w:pPr>
        <w:ind w:left="1320" w:hanging="214"/>
        <w:spacing w:after="0"/>
        <w:tabs>
          <w:tab w:leader="none" w:pos="1320" w:val="left"/>
        </w:tabs>
        <w:numPr>
          <w:ilvl w:val="2"/>
          <w:numId w:val="96"/>
        </w:numPr>
        <w:rPr>
          <w:rFonts w:ascii="Arial" w:cs="Arial" w:eastAsia="Arial" w:hAnsi="Arial"/>
          <w:sz w:val="13"/>
          <w:szCs w:val="13"/>
          <w:color w:val="auto"/>
        </w:rPr>
      </w:pPr>
      <w:r>
        <w:rPr>
          <w:rFonts w:ascii="Arial" w:cs="Arial" w:eastAsia="Arial" w:hAnsi="Arial"/>
          <w:sz w:val="13"/>
          <w:szCs w:val="13"/>
          <w:color w:val="auto"/>
        </w:rPr>
        <w:t>the Company has properly fulfilled such other means of satisfaction and discharge, as contemplated by Section 2.2 to be applicable to the Securities of such Series:</w:t>
      </w:r>
    </w:p>
    <w:p>
      <w:pPr>
        <w:spacing w:after="0" w:line="86" w:lineRule="exact"/>
        <w:rPr>
          <w:rFonts w:ascii="Arial" w:cs="Arial" w:eastAsia="Arial" w:hAnsi="Arial"/>
          <w:sz w:val="13"/>
          <w:szCs w:val="13"/>
          <w:color w:val="auto"/>
        </w:rPr>
      </w:pPr>
    </w:p>
    <w:p>
      <w:pPr>
        <w:ind w:left="760" w:hanging="179"/>
        <w:spacing w:after="0"/>
        <w:tabs>
          <w:tab w:leader="none" w:pos="760" w:val="left"/>
        </w:tabs>
        <w:numPr>
          <w:ilvl w:val="1"/>
          <w:numId w:val="97"/>
        </w:numPr>
        <w:rPr>
          <w:rFonts w:ascii="Arial" w:cs="Arial" w:eastAsia="Arial" w:hAnsi="Arial"/>
          <w:sz w:val="13"/>
          <w:szCs w:val="13"/>
          <w:color w:val="auto"/>
        </w:rPr>
      </w:pPr>
      <w:r>
        <w:rPr>
          <w:rFonts w:ascii="Arial" w:cs="Arial" w:eastAsia="Arial" w:hAnsi="Arial"/>
          <w:sz w:val="13"/>
          <w:szCs w:val="13"/>
          <w:color w:val="auto"/>
        </w:rPr>
        <w:t>the Company has paid or caused to be paid all other sums payable by it hereunder with respect to the Securities of such Series; and</w:t>
      </w:r>
    </w:p>
    <w:p>
      <w:pPr>
        <w:spacing w:after="0" w:line="86" w:lineRule="exact"/>
        <w:rPr>
          <w:rFonts w:ascii="Arial" w:cs="Arial" w:eastAsia="Arial" w:hAnsi="Arial"/>
          <w:sz w:val="13"/>
          <w:szCs w:val="13"/>
          <w:color w:val="auto"/>
        </w:rPr>
      </w:pPr>
    </w:p>
    <w:p>
      <w:pPr>
        <w:ind w:left="420" w:right="20" w:firstLine="161"/>
        <w:spacing w:after="0" w:line="276" w:lineRule="auto"/>
        <w:tabs>
          <w:tab w:leader="none" w:pos="769" w:val="left"/>
        </w:tabs>
        <w:numPr>
          <w:ilvl w:val="1"/>
          <w:numId w:val="97"/>
        </w:numPr>
        <w:rPr>
          <w:rFonts w:ascii="Arial" w:cs="Arial" w:eastAsia="Arial" w:hAnsi="Arial"/>
          <w:sz w:val="13"/>
          <w:szCs w:val="13"/>
          <w:color w:val="auto"/>
        </w:rPr>
      </w:pPr>
      <w:r>
        <w:rPr>
          <w:rFonts w:ascii="Arial" w:cs="Arial" w:eastAsia="Arial" w:hAnsi="Arial"/>
          <w:sz w:val="13"/>
          <w:szCs w:val="13"/>
          <w:color w:val="auto"/>
        </w:rPr>
        <w:t>the Company has delivered to the Trustee an Officer’s Certificate stating that all conditions precedent to satisfaction and discharge of this Indenture with respect to the Securities of such Series have been complied with, together with an Opinion of Counsel to the same effect.</w:t>
      </w:r>
    </w:p>
    <w:p>
      <w:pPr>
        <w:spacing w:after="0" w:line="49" w:lineRule="exact"/>
        <w:rPr>
          <w:rFonts w:ascii="Arial" w:cs="Arial" w:eastAsia="Arial" w:hAnsi="Arial"/>
          <w:sz w:val="13"/>
          <w:szCs w:val="13"/>
          <w:color w:val="auto"/>
        </w:rPr>
      </w:pPr>
    </w:p>
    <w:p>
      <w:pPr>
        <w:ind w:left="-40" w:right="380" w:firstLine="162"/>
        <w:spacing w:after="0" w:line="276" w:lineRule="auto"/>
        <w:tabs>
          <w:tab w:leader="none" w:pos="309" w:val="left"/>
        </w:tabs>
        <w:numPr>
          <w:ilvl w:val="0"/>
          <w:numId w:val="98"/>
        </w:numPr>
        <w:rPr>
          <w:rFonts w:ascii="Arial" w:cs="Arial" w:eastAsia="Arial" w:hAnsi="Arial"/>
          <w:sz w:val="13"/>
          <w:szCs w:val="13"/>
          <w:color w:val="auto"/>
        </w:rPr>
      </w:pPr>
      <w:r>
        <w:rPr>
          <w:rFonts w:ascii="Arial" w:cs="Arial" w:eastAsia="Arial" w:hAnsi="Arial"/>
          <w:sz w:val="13"/>
          <w:szCs w:val="13"/>
          <w:color w:val="auto"/>
        </w:rPr>
        <w:t>Unless this Section 8.1(b) is specified as not being applicable to Securities of a Series as contemplated by Section 2.2, the Company may terminate certain of its obligations under this Indenture (“</w:t>
      </w:r>
      <w:r>
        <w:rPr>
          <w:rFonts w:ascii="Arial" w:cs="Arial" w:eastAsia="Arial" w:hAnsi="Arial"/>
          <w:sz w:val="13"/>
          <w:szCs w:val="13"/>
          <w:i w:val="1"/>
          <w:iCs w:val="1"/>
          <w:color w:val="auto"/>
        </w:rPr>
        <w:t>covenant</w:t>
      </w:r>
      <w:r>
        <w:rPr>
          <w:rFonts w:ascii="Arial" w:cs="Arial" w:eastAsia="Arial" w:hAnsi="Arial"/>
          <w:sz w:val="13"/>
          <w:szCs w:val="13"/>
          <w:color w:val="auto"/>
        </w:rPr>
        <w:t xml:space="preserve"> </w:t>
      </w:r>
      <w:r>
        <w:rPr>
          <w:rFonts w:ascii="Arial" w:cs="Arial" w:eastAsia="Arial" w:hAnsi="Arial"/>
          <w:sz w:val="13"/>
          <w:szCs w:val="13"/>
          <w:i w:val="1"/>
          <w:iCs w:val="1"/>
          <w:color w:val="auto"/>
        </w:rPr>
        <w:t>defeasance</w:t>
      </w:r>
      <w:r>
        <w:rPr>
          <w:rFonts w:ascii="Arial" w:cs="Arial" w:eastAsia="Arial" w:hAnsi="Arial"/>
          <w:sz w:val="13"/>
          <w:szCs w:val="13"/>
          <w:color w:val="auto"/>
        </w:rPr>
        <w:t>”) with respect to the Securities of a Series if:</w:t>
      </w:r>
    </w:p>
    <w:p>
      <w:pPr>
        <w:spacing w:after="0" w:line="49" w:lineRule="exact"/>
        <w:rPr>
          <w:rFonts w:ascii="Arial" w:cs="Arial" w:eastAsia="Arial" w:hAnsi="Arial"/>
          <w:sz w:val="13"/>
          <w:szCs w:val="13"/>
          <w:color w:val="auto"/>
        </w:rPr>
      </w:pPr>
    </w:p>
    <w:p>
      <w:pPr>
        <w:ind w:left="420" w:firstLine="161"/>
        <w:spacing w:after="0" w:line="281" w:lineRule="auto"/>
        <w:tabs>
          <w:tab w:leader="none" w:pos="769" w:val="left"/>
        </w:tabs>
        <w:numPr>
          <w:ilvl w:val="1"/>
          <w:numId w:val="98"/>
        </w:numPr>
        <w:rPr>
          <w:rFonts w:ascii="Arial" w:cs="Arial" w:eastAsia="Arial" w:hAnsi="Arial"/>
          <w:sz w:val="12"/>
          <w:szCs w:val="12"/>
          <w:color w:val="auto"/>
        </w:rPr>
      </w:pPr>
      <w:r>
        <w:rPr>
          <w:rFonts w:ascii="Arial" w:cs="Arial" w:eastAsia="Arial" w:hAnsi="Arial"/>
          <w:sz w:val="12"/>
          <w:szCs w:val="12"/>
          <w:color w:val="auto"/>
        </w:rPr>
        <w:t>the Company has irrevocably deposited or caused to be irrevocably deposited with the Trustee as trust funds in trust for the purpose of making the following payments, specifically pledged as security for and dedicated solely to the benefit of the Holders of Securities of such Series, (i) money, or (ii) Government Obligations with respect to such Series, maturing as to principal and interest at such times and in such amounts as will ensure the availability of money in the currency in which payment of the Securities of such Series is to be made in an amount or (iii) a combination thereof, that is sufficient, in the opinion (in the case of (ii) and (iii))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8.1(e)) to pay all other sums payable by it hereunder; provided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spacing w:after="0" w:line="48" w:lineRule="exact"/>
        <w:rPr>
          <w:rFonts w:ascii="Arial" w:cs="Arial" w:eastAsia="Arial" w:hAnsi="Arial"/>
          <w:sz w:val="12"/>
          <w:szCs w:val="12"/>
          <w:color w:val="auto"/>
        </w:rPr>
      </w:pPr>
    </w:p>
    <w:p>
      <w:pPr>
        <w:ind w:left="420" w:right="20" w:firstLine="161"/>
        <w:spacing w:after="0" w:line="276" w:lineRule="auto"/>
        <w:tabs>
          <w:tab w:leader="none" w:pos="769" w:val="left"/>
        </w:tabs>
        <w:numPr>
          <w:ilvl w:val="1"/>
          <w:numId w:val="98"/>
        </w:numPr>
        <w:rPr>
          <w:rFonts w:ascii="Arial" w:cs="Arial" w:eastAsia="Arial" w:hAnsi="Arial"/>
          <w:sz w:val="13"/>
          <w:szCs w:val="13"/>
          <w:color w:val="auto"/>
        </w:rPr>
      </w:pPr>
      <w:r>
        <w:rPr>
          <w:rFonts w:ascii="Arial" w:cs="Arial" w:eastAsia="Arial" w:hAnsi="Arial"/>
          <w:sz w:val="13"/>
          <w:szCs w:val="13"/>
          <w:color w:val="auto"/>
        </w:rPr>
        <w:t>the Company has delivered to the Trustee an Officer’s Certificate stating that all conditions precedent to satisfaction and discharge of this Indenture with respect to the Securities of such Series have been complied with, and an Opinion of Counsel to the same effect;</w:t>
      </w:r>
    </w:p>
    <w:p>
      <w:pPr>
        <w:spacing w:after="0" w:line="49" w:lineRule="exact"/>
        <w:rPr>
          <w:rFonts w:ascii="Arial" w:cs="Arial" w:eastAsia="Arial" w:hAnsi="Arial"/>
          <w:sz w:val="13"/>
          <w:szCs w:val="13"/>
          <w:color w:val="auto"/>
        </w:rPr>
      </w:pPr>
    </w:p>
    <w:p>
      <w:pPr>
        <w:ind w:left="420" w:right="120" w:firstLine="161"/>
        <w:spacing w:after="0" w:line="276" w:lineRule="auto"/>
        <w:tabs>
          <w:tab w:leader="none" w:pos="769" w:val="left"/>
        </w:tabs>
        <w:numPr>
          <w:ilvl w:val="1"/>
          <w:numId w:val="98"/>
        </w:numPr>
        <w:rPr>
          <w:rFonts w:ascii="Arial" w:cs="Arial" w:eastAsia="Arial" w:hAnsi="Arial"/>
          <w:sz w:val="13"/>
          <w:szCs w:val="13"/>
          <w:color w:val="auto"/>
        </w:rPr>
      </w:pPr>
      <w:r>
        <w:rPr>
          <w:rFonts w:ascii="Arial" w:cs="Arial" w:eastAsia="Arial" w:hAnsi="Arial"/>
          <w:sz w:val="13"/>
          <w:szCs w:val="13"/>
          <w:color w:val="auto"/>
        </w:rPr>
        <w:t>no Default or Event of Default with respect to the Securities of such Series shall have occurred and be continuing on the date of such deposit (other than a Default or Event of Default resulting from the borrowing of funds to be applied to such deposit and the grant of any lien securing such borrowings);</w:t>
      </w:r>
    </w:p>
    <w:p>
      <w:pPr>
        <w:spacing w:after="0" w:line="49" w:lineRule="exact"/>
        <w:rPr>
          <w:rFonts w:ascii="Arial" w:cs="Arial" w:eastAsia="Arial" w:hAnsi="Arial"/>
          <w:sz w:val="13"/>
          <w:szCs w:val="13"/>
          <w:color w:val="auto"/>
        </w:rPr>
      </w:pPr>
    </w:p>
    <w:p>
      <w:pPr>
        <w:ind w:left="760" w:hanging="179"/>
        <w:spacing w:after="0"/>
        <w:tabs>
          <w:tab w:leader="none" w:pos="760" w:val="left"/>
        </w:tabs>
        <w:numPr>
          <w:ilvl w:val="1"/>
          <w:numId w:val="98"/>
        </w:numPr>
        <w:rPr>
          <w:rFonts w:ascii="Arial" w:cs="Arial" w:eastAsia="Arial" w:hAnsi="Arial"/>
          <w:sz w:val="13"/>
          <w:szCs w:val="13"/>
          <w:color w:val="auto"/>
        </w:rPr>
      </w:pPr>
      <w:r>
        <w:rPr>
          <w:rFonts w:ascii="Arial" w:cs="Arial" w:eastAsia="Arial" w:hAnsi="Arial"/>
          <w:sz w:val="13"/>
          <w:szCs w:val="13"/>
          <w:color w:val="auto"/>
        </w:rPr>
        <w:t>the Company shall have delivered to the Trustee an Opinion of Counsel from a nationally recognized counsel acceptable to the Trustee or a tax</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60" w:top="720" w:right="239" w:bottom="1440" w:gutter="0" w:footer="0" w:header="0"/>
        </w:sectPr>
      </w:pPr>
    </w:p>
    <w:bookmarkStart w:id="139" w:name="page140"/>
    <w:bookmarkEnd w:id="139"/>
    <w:p>
      <w:pPr>
        <w:ind w:left="460" w:right="160"/>
        <w:spacing w:after="0" w:line="276" w:lineRule="auto"/>
        <w:rPr>
          <w:sz w:val="20"/>
          <w:szCs w:val="20"/>
          <w:color w:val="auto"/>
        </w:rPr>
      </w:pPr>
      <w:r>
        <w:rPr>
          <w:rFonts w:ascii="Arial" w:cs="Arial" w:eastAsia="Arial" w:hAnsi="Arial"/>
          <w:sz w:val="13"/>
          <w:szCs w:val="13"/>
          <w:color w:val="auto"/>
        </w:rPr>
        <w:t>ruling to the effect that the Holders will not recognize income, gain or loss for Federal income tax purposes as a result of such Company’s exercise of its option under this Section 8.1(b) and will be subject to Federal income tax on the same amount and in the same manner and at the same times as would have been the case if such option had not been exercised; and</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3"/>
          <w:szCs w:val="13"/>
          <w:color w:val="auto"/>
        </w:rPr>
        <w:t>(5) the Company has complied with any additional conditions specified pursuant to Section 2.2 to be applicable to the discharge of Securities of such Series pursuant to this Section 8.1.</w:t>
      </w:r>
    </w:p>
    <w:p>
      <w:pPr>
        <w:spacing w:after="0" w:line="86" w:lineRule="exact"/>
        <w:rPr>
          <w:sz w:val="20"/>
          <w:szCs w:val="20"/>
          <w:color w:val="auto"/>
        </w:rPr>
      </w:pPr>
    </w:p>
    <w:p>
      <w:pPr>
        <w:ind w:right="40" w:firstLine="328"/>
        <w:spacing w:after="0" w:line="260" w:lineRule="auto"/>
        <w:rPr>
          <w:sz w:val="20"/>
          <w:szCs w:val="20"/>
          <w:color w:val="auto"/>
        </w:rPr>
      </w:pPr>
      <w:r>
        <w:rPr>
          <w:rFonts w:ascii="Arial" w:cs="Arial" w:eastAsia="Arial" w:hAnsi="Arial"/>
          <w:sz w:val="13"/>
          <w:szCs w:val="13"/>
          <w:color w:val="auto"/>
        </w:rPr>
        <w:t>In such event, this Indenture shall cease to be of further effect (except as set forth in this paragraph), and the Trustee, on written demand of the Company, shall execute instruments acknowledging satisfaction and discharge under this Indenture. However, the Company’s obligations in Sections 2.4, 2.5, 2.6, 2.7, 2.8, 4.1, 5.1, 7.6 and 7.7, the Trustee’s and Paying Agent’s obligations in Section 8.3 and the rights, powers, protections and privileges accorded the Trustee under Article VII shall survive until all Securities of such Series are no longer outstanding. Thereafter, only the obligations of the Company in Section 7.6 and the Trustee’s and Paying Agent’s obligations in Section 8.3 shall survive with respect to Securities of such Series.</w:t>
      </w:r>
    </w:p>
    <w:p>
      <w:pPr>
        <w:spacing w:after="0" w:line="60"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In order to have money available on a payment date to pay principal of or premium (if any) or interest on the Securities, the Government Obligations shall be payable as to principal or interest on or before such payment date in such amounts as will provide the necessary money. Government Obligations shall not be callable at the issuer’s option.</w:t>
      </w:r>
    </w:p>
    <w:p>
      <w:pPr>
        <w:spacing w:after="0" w:line="49" w:lineRule="exact"/>
        <w:rPr>
          <w:sz w:val="20"/>
          <w:szCs w:val="20"/>
          <w:color w:val="auto"/>
        </w:rPr>
      </w:pPr>
    </w:p>
    <w:p>
      <w:pPr>
        <w:ind w:left="340" w:hanging="178"/>
        <w:spacing w:after="0"/>
        <w:tabs>
          <w:tab w:leader="none" w:pos="340" w:val="left"/>
        </w:tabs>
        <w:numPr>
          <w:ilvl w:val="0"/>
          <w:numId w:val="99"/>
        </w:numPr>
        <w:rPr>
          <w:rFonts w:ascii="Arial" w:cs="Arial" w:eastAsia="Arial" w:hAnsi="Arial"/>
          <w:sz w:val="12"/>
          <w:szCs w:val="12"/>
          <w:color w:val="auto"/>
        </w:rPr>
      </w:pPr>
      <w:r>
        <w:rPr>
          <w:rFonts w:ascii="Arial" w:cs="Arial" w:eastAsia="Arial" w:hAnsi="Arial"/>
          <w:sz w:val="12"/>
          <w:szCs w:val="12"/>
          <w:color w:val="auto"/>
        </w:rPr>
        <w:t>If the Company has previously complied or is concurrently complying with the conditions set forth in Section 8.1(b) (other than any additional conditions specified pursuant to Section 2.2 that are expressly</w:t>
      </w:r>
    </w:p>
    <w:p>
      <w:pPr>
        <w:spacing w:after="0" w:line="26" w:lineRule="exact"/>
        <w:rPr>
          <w:rFonts w:ascii="Arial" w:cs="Arial" w:eastAsia="Arial" w:hAnsi="Arial"/>
          <w:sz w:val="12"/>
          <w:szCs w:val="12"/>
          <w:color w:val="auto"/>
        </w:rPr>
      </w:pPr>
    </w:p>
    <w:p>
      <w:pPr>
        <w:ind w:right="40"/>
        <w:spacing w:after="0" w:line="264" w:lineRule="auto"/>
        <w:rPr>
          <w:rFonts w:ascii="Arial" w:cs="Arial" w:eastAsia="Arial" w:hAnsi="Arial"/>
          <w:sz w:val="12"/>
          <w:szCs w:val="12"/>
          <w:color w:val="auto"/>
        </w:rPr>
      </w:pPr>
      <w:r>
        <w:rPr>
          <w:rFonts w:ascii="Arial" w:cs="Arial" w:eastAsia="Arial" w:hAnsi="Arial"/>
          <w:sz w:val="13"/>
          <w:szCs w:val="13"/>
          <w:color w:val="auto"/>
        </w:rPr>
        <w:t>applicable only to covenant defeasance) with respect to Securities of a Series, then unless this Section 8.1(c) is specified as not being applicable to Securities of such Series as contemplated by Section 2.2, the Company may elect to be discharged (“</w:t>
      </w:r>
      <w:r>
        <w:rPr>
          <w:rFonts w:ascii="Arial" w:cs="Arial" w:eastAsia="Arial" w:hAnsi="Arial"/>
          <w:sz w:val="13"/>
          <w:szCs w:val="13"/>
          <w:i w:val="1"/>
          <w:iCs w:val="1"/>
          <w:color w:val="auto"/>
        </w:rPr>
        <w:t>legal defeasance</w:t>
      </w:r>
      <w:r>
        <w:rPr>
          <w:rFonts w:ascii="Arial" w:cs="Arial" w:eastAsia="Arial" w:hAnsi="Arial"/>
          <w:sz w:val="13"/>
          <w:szCs w:val="13"/>
          <w:color w:val="auto"/>
        </w:rPr>
        <w:t>”) from its obligations to make payments with respect to Securities of such Series, if:</w:t>
      </w:r>
    </w:p>
    <w:p>
      <w:pPr>
        <w:spacing w:after="0" w:line="56" w:lineRule="exact"/>
        <w:rPr>
          <w:rFonts w:ascii="Arial" w:cs="Arial" w:eastAsia="Arial" w:hAnsi="Arial"/>
          <w:sz w:val="12"/>
          <w:szCs w:val="12"/>
          <w:color w:val="auto"/>
        </w:rPr>
      </w:pPr>
    </w:p>
    <w:p>
      <w:pPr>
        <w:ind w:left="460" w:firstLine="161"/>
        <w:spacing w:after="0" w:line="289" w:lineRule="auto"/>
        <w:tabs>
          <w:tab w:leader="none" w:pos="809" w:val="left"/>
        </w:tabs>
        <w:numPr>
          <w:ilvl w:val="1"/>
          <w:numId w:val="99"/>
        </w:numPr>
        <w:rPr>
          <w:rFonts w:ascii="Arial" w:cs="Arial" w:eastAsia="Arial" w:hAnsi="Arial"/>
          <w:sz w:val="12"/>
          <w:szCs w:val="12"/>
          <w:color w:val="auto"/>
        </w:rPr>
      </w:pPr>
      <w:r>
        <w:rPr>
          <w:rFonts w:ascii="Arial" w:cs="Arial" w:eastAsia="Arial" w:hAnsi="Arial"/>
          <w:sz w:val="12"/>
          <w:szCs w:val="12"/>
          <w:color w:val="auto"/>
        </w:rPr>
        <w:t>unless otherwise specified with respect to Securities of such Series as contemplated by Section 2.2, the Company has delivered to the Trustee an Opinion of Counsel from a nationally recognized counsel acceptable to the Trustee to the effect referred to in Section 8.1(b)(4) with respect to such legal defeasance, which opinion is based on (i) a private ruling of the Internal Revenue Service addressed to the Company, (ii) a published ruling of the Internal Revenue Service or (iii) a change in the applicable federal income tax law (including regulations) after the date of this Indenture; the Company has complied with any other conditions specified pursuant to Section 2.2 to be applicable to the legal defeasance of Securities of such Series pursuant to this Section 8.1(c); and</w:t>
      </w:r>
    </w:p>
    <w:p>
      <w:pPr>
        <w:spacing w:after="0" w:line="43" w:lineRule="exact"/>
        <w:rPr>
          <w:rFonts w:ascii="Arial" w:cs="Arial" w:eastAsia="Arial" w:hAnsi="Arial"/>
          <w:sz w:val="12"/>
          <w:szCs w:val="12"/>
          <w:color w:val="auto"/>
        </w:rPr>
      </w:pPr>
    </w:p>
    <w:p>
      <w:pPr>
        <w:ind w:left="460" w:right="360" w:firstLine="161"/>
        <w:spacing w:after="0" w:line="276" w:lineRule="auto"/>
        <w:tabs>
          <w:tab w:leader="none" w:pos="809" w:val="left"/>
        </w:tabs>
        <w:numPr>
          <w:ilvl w:val="1"/>
          <w:numId w:val="99"/>
        </w:numPr>
        <w:rPr>
          <w:rFonts w:ascii="Arial" w:cs="Arial" w:eastAsia="Arial" w:hAnsi="Arial"/>
          <w:sz w:val="13"/>
          <w:szCs w:val="13"/>
          <w:color w:val="auto"/>
        </w:rPr>
      </w:pPr>
      <w:r>
        <w:rPr>
          <w:rFonts w:ascii="Arial" w:cs="Arial" w:eastAsia="Arial" w:hAnsi="Arial"/>
          <w:sz w:val="13"/>
          <w:szCs w:val="13"/>
          <w:color w:val="auto"/>
        </w:rPr>
        <w:t>the Company has delivered to the Trustee a Company Request requesting such legal defeasance of the Securities of such Series and an Officer’s Certificate stating that all conditions precedent with respect to such legal</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0" w:name="page141"/>
    <w:bookmarkEnd w:id="140"/>
    <w:p>
      <w:pPr>
        <w:ind w:left="460"/>
        <w:spacing w:after="0"/>
        <w:rPr>
          <w:sz w:val="20"/>
          <w:szCs w:val="20"/>
          <w:color w:val="auto"/>
        </w:rPr>
      </w:pPr>
      <w:r>
        <w:rPr>
          <w:rFonts w:ascii="Arial" w:cs="Arial" w:eastAsia="Arial" w:hAnsi="Arial"/>
          <w:sz w:val="13"/>
          <w:szCs w:val="13"/>
          <w:color w:val="auto"/>
        </w:rPr>
        <w:t>defeasance of the Securities of such Series have been complied with, together with an Opinion of Counsel to the same effect.</w:t>
      </w:r>
    </w:p>
    <w:p>
      <w:pPr>
        <w:spacing w:after="0" w:line="86" w:lineRule="exact"/>
        <w:rPr>
          <w:sz w:val="20"/>
          <w:szCs w:val="20"/>
          <w:color w:val="auto"/>
        </w:rPr>
      </w:pPr>
    </w:p>
    <w:p>
      <w:pPr>
        <w:ind w:right="60" w:firstLine="328"/>
        <w:spacing w:after="0" w:line="264" w:lineRule="auto"/>
        <w:rPr>
          <w:sz w:val="20"/>
          <w:szCs w:val="20"/>
          <w:color w:val="auto"/>
        </w:rPr>
      </w:pPr>
      <w:r>
        <w:rPr>
          <w:rFonts w:ascii="Arial" w:cs="Arial" w:eastAsia="Arial" w:hAnsi="Arial"/>
          <w:sz w:val="13"/>
          <w:szCs w:val="13"/>
          <w:color w:val="auto"/>
        </w:rPr>
        <w:t>In such event, the Company will be discharged from its obligations under this Indenture and the Securities of such Series to pay principal of, premium (if any) and interest on, and any Additional Amounts with respect to, Securities of such Series, the Company’s obligations under Sections 4.1 and 5.1 shall terminate with respect to such Securities, and the entire indebtedness of the Company evidenced by such Securities shall be deemed paid and discharged.</w:t>
      </w:r>
    </w:p>
    <w:p>
      <w:pPr>
        <w:spacing w:after="0" w:line="57" w:lineRule="exact"/>
        <w:rPr>
          <w:sz w:val="20"/>
          <w:szCs w:val="20"/>
          <w:color w:val="auto"/>
        </w:rPr>
      </w:pPr>
    </w:p>
    <w:p>
      <w:pPr>
        <w:ind w:right="80" w:firstLine="162"/>
        <w:spacing w:after="0" w:line="264" w:lineRule="auto"/>
        <w:tabs>
          <w:tab w:leader="none" w:pos="349" w:val="left"/>
        </w:tabs>
        <w:numPr>
          <w:ilvl w:val="0"/>
          <w:numId w:val="100"/>
        </w:numPr>
        <w:rPr>
          <w:rFonts w:ascii="Arial" w:cs="Arial" w:eastAsia="Arial" w:hAnsi="Arial"/>
          <w:sz w:val="13"/>
          <w:szCs w:val="13"/>
          <w:color w:val="auto"/>
        </w:rPr>
      </w:pPr>
      <w:r>
        <w:rPr>
          <w:rFonts w:ascii="Arial" w:cs="Arial" w:eastAsia="Arial" w:hAnsi="Arial"/>
          <w:sz w:val="13"/>
          <w:szCs w:val="13"/>
          <w:color w:val="auto"/>
        </w:rPr>
        <w:t>If and to the extent additional or alternative means of satisfaction, discharge or defeasance of Securities of a Series are specified to be applicable to such Series as contemplated by Section 2.2, the Company may terminate any or all of its obligations under this Indenture with respect to its Securities of a Series and any or all of its obligations under the Securities of such Series if it fulfills such other means of satisfaction and discharge as may be so specified, as contemplated by Section 2.2, to be applicable to the Securities of such Series.</w:t>
      </w:r>
    </w:p>
    <w:p>
      <w:pPr>
        <w:spacing w:after="0" w:line="57" w:lineRule="exact"/>
        <w:rPr>
          <w:rFonts w:ascii="Arial" w:cs="Arial" w:eastAsia="Arial" w:hAnsi="Arial"/>
          <w:sz w:val="13"/>
          <w:szCs w:val="13"/>
          <w:color w:val="auto"/>
        </w:rPr>
      </w:pPr>
    </w:p>
    <w:p>
      <w:pPr>
        <w:ind w:firstLine="162"/>
        <w:spacing w:after="0" w:line="264" w:lineRule="auto"/>
        <w:tabs>
          <w:tab w:leader="none" w:pos="342" w:val="left"/>
        </w:tabs>
        <w:numPr>
          <w:ilvl w:val="0"/>
          <w:numId w:val="100"/>
        </w:numPr>
        <w:rPr>
          <w:rFonts w:ascii="Arial" w:cs="Arial" w:eastAsia="Arial" w:hAnsi="Arial"/>
          <w:sz w:val="13"/>
          <w:szCs w:val="13"/>
          <w:color w:val="auto"/>
        </w:rPr>
      </w:pPr>
      <w:r>
        <w:rPr>
          <w:rFonts w:ascii="Arial" w:cs="Arial" w:eastAsia="Arial" w:hAnsi="Arial"/>
          <w:sz w:val="13"/>
          <w:szCs w:val="13"/>
          <w:color w:val="auto"/>
        </w:rPr>
        <w:t>If Securities of any Series subject to subsections (a), (b), (c) or (d) of this Section 8.1 are to be redeemed prior to their Stated Maturity, whether pursuant to any optional redemption provisions or in accordance with any mandatory or optional sinking fund provisions, the terms of the applicable trust arrangement shall provide for such redemption, and the Company shall make such arrangements as are reasonably satisfactory to the Trustee for the giving of notice of redemption in the name, and at the expense, of the Company.</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8.2. </w:t>
      </w:r>
      <w:r>
        <w:rPr>
          <w:rFonts w:ascii="Arial" w:cs="Arial" w:eastAsia="Arial" w:hAnsi="Arial"/>
          <w:sz w:val="13"/>
          <w:szCs w:val="13"/>
          <w:u w:val="single" w:color="auto"/>
          <w:color w:val="auto"/>
        </w:rPr>
        <w:t>Application of Trust Money</w:t>
      </w:r>
      <w:r>
        <w:rPr>
          <w:rFonts w:ascii="Arial" w:cs="Arial" w:eastAsia="Arial" w:hAnsi="Arial"/>
          <w:sz w:val="13"/>
          <w:szCs w:val="13"/>
          <w:color w:val="auto"/>
        </w:rPr>
        <w:t>.</w:t>
      </w:r>
    </w:p>
    <w:p>
      <w:pPr>
        <w:spacing w:after="0" w:line="86" w:lineRule="exact"/>
        <w:rPr>
          <w:sz w:val="20"/>
          <w:szCs w:val="20"/>
          <w:color w:val="auto"/>
        </w:rPr>
      </w:pPr>
    </w:p>
    <w:p>
      <w:pPr>
        <w:ind w:right="20" w:firstLine="325"/>
        <w:spacing w:after="0" w:line="264" w:lineRule="auto"/>
        <w:rPr>
          <w:sz w:val="20"/>
          <w:szCs w:val="20"/>
          <w:color w:val="auto"/>
        </w:rPr>
      </w:pPr>
      <w:r>
        <w:rPr>
          <w:rFonts w:ascii="Arial" w:cs="Arial" w:eastAsia="Arial" w:hAnsi="Arial"/>
          <w:sz w:val="13"/>
          <w:szCs w:val="13"/>
          <w:color w:val="auto"/>
        </w:rPr>
        <w:t>The Trustee or a trustee satisfactory to the Trustee and the Company shall hold in trust money or Government Obligations deposited with it pursuant to Section 8.1 hereof. It shall apply the deposited money and the money from Government Obligations through the Paying Agent and in accordance with this Indenture to the payment of principal of premium (if any) and interest on and any Additional Amounts with respect to the Securities of the Series with respect to which the deposit was made.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8.3. </w:t>
      </w:r>
      <w:r>
        <w:rPr>
          <w:rFonts w:ascii="Arial" w:cs="Arial" w:eastAsia="Arial" w:hAnsi="Arial"/>
          <w:sz w:val="13"/>
          <w:szCs w:val="13"/>
          <w:u w:val="single" w:color="auto"/>
          <w:color w:val="auto"/>
        </w:rPr>
        <w:t>Repayment to Company</w:t>
      </w:r>
      <w:r>
        <w:rPr>
          <w:rFonts w:ascii="Arial" w:cs="Arial" w:eastAsia="Arial" w:hAnsi="Arial"/>
          <w:sz w:val="13"/>
          <w:szCs w:val="13"/>
          <w:color w:val="auto"/>
        </w:rPr>
        <w:t>.</w:t>
      </w:r>
    </w:p>
    <w:p>
      <w:pPr>
        <w:spacing w:after="0" w:line="86" w:lineRule="exact"/>
        <w:rPr>
          <w:sz w:val="20"/>
          <w:szCs w:val="20"/>
          <w:color w:val="auto"/>
        </w:rPr>
      </w:pPr>
    </w:p>
    <w:p>
      <w:pPr>
        <w:ind w:right="380" w:firstLine="325"/>
        <w:spacing w:after="0" w:line="276" w:lineRule="auto"/>
        <w:rPr>
          <w:sz w:val="20"/>
          <w:szCs w:val="20"/>
          <w:color w:val="auto"/>
        </w:rPr>
      </w:pPr>
      <w:r>
        <w:rPr>
          <w:rFonts w:ascii="Arial" w:cs="Arial" w:eastAsia="Arial" w:hAnsi="Arial"/>
          <w:sz w:val="13"/>
          <w:szCs w:val="13"/>
          <w:color w:val="auto"/>
        </w:rPr>
        <w:t>The Trustee and the Paying Agent shall promptly pay to the Company upon written request any excess money or Government Obligations (or proceeds therefrom) held by them at any time upon the written request of the Company.</w:t>
      </w:r>
    </w:p>
    <w:p>
      <w:pPr>
        <w:spacing w:after="0" w:line="49"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1" w:name="page142"/>
    <w:bookmarkEnd w:id="141"/>
    <w:p>
      <w:pPr>
        <w:ind w:left="160"/>
        <w:spacing w:after="0"/>
        <w:rPr>
          <w:sz w:val="20"/>
          <w:szCs w:val="20"/>
          <w:color w:val="auto"/>
        </w:rPr>
      </w:pPr>
      <w:r>
        <w:rPr>
          <w:rFonts w:ascii="Arial" w:cs="Arial" w:eastAsia="Arial" w:hAnsi="Arial"/>
          <w:sz w:val="13"/>
          <w:szCs w:val="13"/>
          <w:color w:val="auto"/>
        </w:rPr>
        <w:t xml:space="preserve">Section 8.4. </w:t>
      </w:r>
      <w:r>
        <w:rPr>
          <w:rFonts w:ascii="Arial" w:cs="Arial" w:eastAsia="Arial" w:hAnsi="Arial"/>
          <w:sz w:val="13"/>
          <w:szCs w:val="13"/>
          <w:u w:val="single" w:color="auto"/>
          <w:color w:val="auto"/>
        </w:rPr>
        <w:t>Reinstatement</w:t>
      </w:r>
      <w:r>
        <w:rPr>
          <w:rFonts w:ascii="Arial" w:cs="Arial" w:eastAsia="Arial" w:hAnsi="Arial"/>
          <w:sz w:val="13"/>
          <w:szCs w:val="13"/>
          <w:color w:val="auto"/>
        </w:rPr>
        <w:t>.</w:t>
      </w:r>
    </w:p>
    <w:p>
      <w:pPr>
        <w:spacing w:after="0" w:line="86"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 xml:space="preserve">If the Trustee or the Paying Agent is unable to apply any money or Government Obligations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or Government Obligations in accordance with Section 8.1;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if the Company has made any payment of principal of, premium (if any) or interest on or any Additional Amounts with respect to any Securities because of the reinstatement of its obligations, the Company shall be subrogated to the rights of the Holders of such Securities to receive such payment from the money or Government Obligations held by the Trustee or the Paying Agent.</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ARTICLE IX.</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AMENDMENTS AND WAIVERS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9.1. </w:t>
      </w:r>
      <w:r>
        <w:rPr>
          <w:rFonts w:ascii="Arial" w:cs="Arial" w:eastAsia="Arial" w:hAnsi="Arial"/>
          <w:sz w:val="13"/>
          <w:szCs w:val="13"/>
          <w:u w:val="single" w:color="auto"/>
          <w:color w:val="auto"/>
        </w:rPr>
        <w:t>Without Consent of Holders</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Without the consent of any Holder of Securities of a Series, the Company and the Trustee may amend or supplement this Indenture or the Series of Securities in the following circumstances:</w:t>
      </w:r>
    </w:p>
    <w:p>
      <w:pPr>
        <w:spacing w:after="0" w:line="86" w:lineRule="exact"/>
        <w:rPr>
          <w:sz w:val="20"/>
          <w:szCs w:val="20"/>
          <w:color w:val="auto"/>
        </w:rPr>
      </w:pPr>
    </w:p>
    <w:p>
      <w:pPr>
        <w:ind w:left="800" w:hanging="179"/>
        <w:spacing w:after="0"/>
        <w:tabs>
          <w:tab w:leader="none" w:pos="80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to cure any ambiguity, omission, defect or inconsistency;</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to provide for the assumption of the Company’s obligations under this Indenture by a successor upon any merger, consolidation or asset transfer;</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to provide for uncertificated Securities in addition to or in place of Certificated Securities;</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to provide any security for or guarantees of its Securities or for the addition of an additional obligor on its Securities;</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to comply with any requirement to effect or maintain the qualification of this Indenture under the Trust Indenture Act of 1939, as amended, if applicable;</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to add covenants that would benefit the Holders of its Securities or to surrender any rights the Company has under this Indenture;</w:t>
      </w:r>
    </w:p>
    <w:p>
      <w:pPr>
        <w:spacing w:after="0" w:line="86" w:lineRule="exact"/>
        <w:rPr>
          <w:rFonts w:ascii="Arial" w:cs="Arial" w:eastAsia="Arial" w:hAnsi="Arial"/>
          <w:sz w:val="13"/>
          <w:szCs w:val="13"/>
          <w:color w:val="auto"/>
        </w:rPr>
      </w:pPr>
    </w:p>
    <w:p>
      <w:pPr>
        <w:ind w:left="460" w:right="180" w:firstLine="161"/>
        <w:spacing w:after="0" w:line="276" w:lineRule="auto"/>
        <w:tabs>
          <w:tab w:leader="none" w:pos="809" w:val="left"/>
        </w:tabs>
        <w:numPr>
          <w:ilvl w:val="0"/>
          <w:numId w:val="101"/>
        </w:numPr>
        <w:rPr>
          <w:rFonts w:ascii="Arial" w:cs="Arial" w:eastAsia="Arial" w:hAnsi="Arial"/>
          <w:sz w:val="13"/>
          <w:szCs w:val="13"/>
          <w:color w:val="auto"/>
        </w:rPr>
      </w:pPr>
      <w:r>
        <w:rPr>
          <w:rFonts w:ascii="Arial" w:cs="Arial" w:eastAsia="Arial" w:hAnsi="Arial"/>
          <w:sz w:val="13"/>
          <w:szCs w:val="13"/>
          <w:color w:val="auto"/>
        </w:rPr>
        <w:t xml:space="preserve">to change or eliminate any of the provisions of this Indenture,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such change or elimination shall not become effective with respect to any outstanding Securities of any Series created prior to the execution of such supplemental indenture which is entitled to the benefit of such provision;</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0" w:right="319" w:bottom="1440" w:gutter="0" w:footer="0" w:header="0"/>
        </w:sectPr>
      </w:pPr>
    </w:p>
    <w:bookmarkStart w:id="142" w:name="page143"/>
    <w:bookmarkEnd w:id="142"/>
    <w:p>
      <w:pPr>
        <w:ind w:left="800" w:hanging="179"/>
        <w:spacing w:after="0"/>
        <w:tabs>
          <w:tab w:leader="none" w:pos="80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to provide for the issuance of and establish forms and terms and conditions of a new series of Securities;</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to permit or facilitate the defeasance and discharge of the Securities;</w:t>
      </w:r>
    </w:p>
    <w:p>
      <w:pPr>
        <w:spacing w:after="0" w:line="86" w:lineRule="exact"/>
        <w:rPr>
          <w:rFonts w:ascii="Arial" w:cs="Arial" w:eastAsia="Arial" w:hAnsi="Arial"/>
          <w:sz w:val="13"/>
          <w:szCs w:val="13"/>
          <w:color w:val="auto"/>
        </w:rPr>
      </w:pPr>
    </w:p>
    <w:p>
      <w:pPr>
        <w:ind w:left="460" w:right="220" w:firstLine="161"/>
        <w:spacing w:after="0" w:line="276" w:lineRule="auto"/>
        <w:tabs>
          <w:tab w:leader="none" w:pos="875" w:val="left"/>
        </w:tabs>
        <w:numPr>
          <w:ilvl w:val="0"/>
          <w:numId w:val="102"/>
        </w:numPr>
        <w:rPr>
          <w:rFonts w:ascii="Arial" w:cs="Arial" w:eastAsia="Arial" w:hAnsi="Arial"/>
          <w:sz w:val="13"/>
          <w:szCs w:val="13"/>
          <w:color w:val="auto"/>
        </w:rPr>
      </w:pPr>
      <w:r>
        <w:rPr>
          <w:rFonts w:ascii="Arial" w:cs="Arial" w:eastAsia="Arial" w:hAnsi="Arial"/>
          <w:sz w:val="13"/>
          <w:szCs w:val="13"/>
          <w:color w:val="auto"/>
        </w:rPr>
        <w:t xml:space="preserve">to issue additional Securities of any Series,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additional Securities have the same terms as, and be deemed part of the same Series as, the applicable Series of Securities to the extent required under this Indenture;</w:t>
      </w:r>
    </w:p>
    <w:p>
      <w:pPr>
        <w:spacing w:after="0" w:line="49" w:lineRule="exact"/>
        <w:rPr>
          <w:rFonts w:ascii="Arial" w:cs="Arial" w:eastAsia="Arial" w:hAnsi="Arial"/>
          <w:sz w:val="13"/>
          <w:szCs w:val="13"/>
          <w:color w:val="auto"/>
        </w:rPr>
      </w:pPr>
    </w:p>
    <w:p>
      <w:pPr>
        <w:ind w:left="460" w:right="100" w:firstLine="161"/>
        <w:spacing w:after="0" w:line="276" w:lineRule="auto"/>
        <w:tabs>
          <w:tab w:leader="none" w:pos="87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to evidence and provide for the acceptance of and appointment by a successor trustee with respect to the Securities of one or more Series and to add to or change any of the provisions of this Indenture as shall be necessary to provide for or facilitate the administration of the trust by more than one trustee;</w:t>
      </w:r>
    </w:p>
    <w:p>
      <w:pPr>
        <w:spacing w:after="0" w:line="49" w:lineRule="exact"/>
        <w:rPr>
          <w:rFonts w:ascii="Arial" w:cs="Arial" w:eastAsia="Arial" w:hAnsi="Arial"/>
          <w:sz w:val="13"/>
          <w:szCs w:val="13"/>
          <w:color w:val="auto"/>
        </w:rPr>
      </w:pPr>
    </w:p>
    <w:p>
      <w:pPr>
        <w:ind w:left="880" w:hanging="259"/>
        <w:spacing w:after="0"/>
        <w:tabs>
          <w:tab w:leader="none" w:pos="8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to add additional Events of Default with respect to Securities; and</w:t>
      </w:r>
    </w:p>
    <w:p>
      <w:pPr>
        <w:spacing w:after="0" w:line="86" w:lineRule="exact"/>
        <w:rPr>
          <w:rFonts w:ascii="Arial" w:cs="Arial" w:eastAsia="Arial" w:hAnsi="Arial"/>
          <w:sz w:val="13"/>
          <w:szCs w:val="13"/>
          <w:color w:val="auto"/>
        </w:rPr>
      </w:pPr>
    </w:p>
    <w:p>
      <w:pPr>
        <w:ind w:left="880" w:hanging="259"/>
        <w:spacing w:after="0"/>
        <w:tabs>
          <w:tab w:leader="none" w:pos="8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to make any change that does not adversely affect any of its outstanding Securities in any material respect.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9.2. </w:t>
      </w:r>
      <w:r>
        <w:rPr>
          <w:rFonts w:ascii="Arial" w:cs="Arial" w:eastAsia="Arial" w:hAnsi="Arial"/>
          <w:sz w:val="13"/>
          <w:szCs w:val="13"/>
          <w:u w:val="single" w:color="auto"/>
          <w:color w:val="auto"/>
        </w:rPr>
        <w:t>With Consent of Holders</w:t>
      </w:r>
      <w:r>
        <w:rPr>
          <w:rFonts w:ascii="Arial" w:cs="Arial" w:eastAsia="Arial" w:hAnsi="Arial"/>
          <w:sz w:val="13"/>
          <w:szCs w:val="13"/>
          <w:color w:val="auto"/>
        </w:rPr>
        <w:t>.</w:t>
      </w:r>
    </w:p>
    <w:p>
      <w:pPr>
        <w:spacing w:after="0" w:line="86" w:lineRule="exact"/>
        <w:rPr>
          <w:sz w:val="20"/>
          <w:szCs w:val="20"/>
          <w:color w:val="auto"/>
        </w:rPr>
      </w:pPr>
    </w:p>
    <w:p>
      <w:pPr>
        <w:ind w:firstLine="325"/>
        <w:spacing w:after="0" w:line="316" w:lineRule="auto"/>
        <w:rPr>
          <w:sz w:val="20"/>
          <w:szCs w:val="20"/>
          <w:color w:val="auto"/>
        </w:rPr>
      </w:pPr>
      <w:r>
        <w:rPr>
          <w:rFonts w:ascii="Arial" w:cs="Arial" w:eastAsia="Arial" w:hAnsi="Arial"/>
          <w:sz w:val="11"/>
          <w:szCs w:val="11"/>
          <w:color w:val="auto"/>
        </w:rPr>
        <w:t>This Indenture or the Securities of a Series may be amended or supplemented, and waivers may be obtained, with the consent of the Holders of at least a majority in aggregate principal amount of the then outstanding Securities of such Series voting as a single class (including consents obtained in connection with a tender offer or exchange offer for, or purchase of, such Securities of a Series), and any existing Default or Event of Default (other than a Default or Event of Default in the payment of the principal of, premium on, if any, interest or Additional Amounts, if any, on, such Securities of a Series, except a payment Default resulting from an acceleration that has been rescinded) or compliance with any provision of this Indenture or the Securities of such Series may be waived with the consent of the Holders of a majority in aggregate principal amount of the then outstanding Securities of such Series voting as a single class (including consents obtained in connection with a purchase of, or tender offer or exchange offer for, such Securities of a Series).</w:t>
      </w:r>
    </w:p>
    <w:p>
      <w:pPr>
        <w:spacing w:after="0" w:line="32" w:lineRule="exact"/>
        <w:rPr>
          <w:sz w:val="20"/>
          <w:szCs w:val="20"/>
          <w:color w:val="auto"/>
        </w:rPr>
      </w:pPr>
    </w:p>
    <w:p>
      <w:pPr>
        <w:ind w:right="120" w:firstLine="325"/>
        <w:spacing w:after="0" w:line="276" w:lineRule="auto"/>
        <w:rPr>
          <w:sz w:val="20"/>
          <w:szCs w:val="20"/>
          <w:color w:val="auto"/>
        </w:rPr>
      </w:pPr>
      <w:r>
        <w:rPr>
          <w:rFonts w:ascii="Arial" w:cs="Arial" w:eastAsia="Arial" w:hAnsi="Arial"/>
          <w:sz w:val="13"/>
          <w:szCs w:val="13"/>
          <w:color w:val="auto"/>
        </w:rPr>
        <w:t>The Holders of a majority in principal amount of the outstanding Securities of a Series issued by the Company may waive any existing or past Default or Event of Default with respect to those Securities. Those Holders may not, however, waive any Default or Event of Default in any payment on any Security.</w:t>
      </w:r>
    </w:p>
    <w:p>
      <w:pPr>
        <w:spacing w:after="0" w:line="49" w:lineRule="exact"/>
        <w:rPr>
          <w:sz w:val="20"/>
          <w:szCs w:val="20"/>
          <w:color w:val="auto"/>
        </w:rPr>
      </w:pPr>
    </w:p>
    <w:p>
      <w:pPr>
        <w:ind w:right="60" w:firstLine="328"/>
        <w:spacing w:after="0" w:line="276" w:lineRule="auto"/>
        <w:rPr>
          <w:sz w:val="20"/>
          <w:szCs w:val="20"/>
          <w:color w:val="auto"/>
        </w:rPr>
      </w:pPr>
      <w:r>
        <w:rPr>
          <w:rFonts w:ascii="Arial" w:cs="Arial" w:eastAsia="Arial" w:hAnsi="Arial"/>
          <w:sz w:val="13"/>
          <w:szCs w:val="13"/>
          <w:color w:val="auto"/>
        </w:rPr>
        <w:t>For the avoidance of doubt, any amendment, supplement or waiver to any Series of Securities made with the consent of Holders of such Series of Securities, shall be made with respect to that Series of Securities only, and not any other Series of Securities.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43" w:name="page144"/>
    <w:bookmarkEnd w:id="143"/>
    <w:p>
      <w:pPr>
        <w:ind w:left="160"/>
        <w:spacing w:after="0"/>
        <w:rPr>
          <w:sz w:val="20"/>
          <w:szCs w:val="20"/>
          <w:color w:val="auto"/>
        </w:rPr>
      </w:pPr>
      <w:r>
        <w:rPr>
          <w:rFonts w:ascii="Arial" w:cs="Arial" w:eastAsia="Arial" w:hAnsi="Arial"/>
          <w:sz w:val="13"/>
          <w:szCs w:val="13"/>
          <w:color w:val="auto"/>
        </w:rPr>
        <w:t xml:space="preserve">Section 9.3. </w:t>
      </w:r>
      <w:r>
        <w:rPr>
          <w:rFonts w:ascii="Arial" w:cs="Arial" w:eastAsia="Arial" w:hAnsi="Arial"/>
          <w:sz w:val="13"/>
          <w:szCs w:val="13"/>
          <w:u w:val="single" w:color="auto"/>
          <w:color w:val="auto"/>
        </w:rPr>
        <w:t>Limitations</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Without the consent of each Holder of Securities of a Series affected thereby, an amendment, supplement or waiver may not (with respect to any Securities of such Series held by a non-consenting Holder):</w:t>
      </w:r>
    </w:p>
    <w:p>
      <w:pPr>
        <w:spacing w:after="0" w:line="98" w:lineRule="exact"/>
        <w:rPr>
          <w:sz w:val="20"/>
          <w:szCs w:val="20"/>
          <w:color w:val="auto"/>
        </w:rPr>
      </w:pPr>
    </w:p>
    <w:p>
      <w:pPr>
        <w:ind w:left="800" w:hanging="179"/>
        <w:spacing w:after="0"/>
        <w:tabs>
          <w:tab w:leader="none" w:pos="80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reduce the amount of the Securities of such Series whose Holders must consent to an amendment, supplement or waiver;</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reduce the rate of or change the time for payment of interest on the Securities of such Series;</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reduce the principal of the Securities of such Series or change the Stated Maturity of the Securities of such Series;</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reduce any premium payable on the redemption of the Securities of such Series or change the time at which the Securities of such Series may or must be redeemed;</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change any obligation to pay Additional Amounts on the Securities of such Series;</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make payments on the Security of such Series payable in currency other than as originally stated in such Security;</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modify the subordination provisions of the Security of such Series in a manner adverse in any material respect to the Holder thereof;</w:t>
      </w:r>
    </w:p>
    <w:p>
      <w:pPr>
        <w:spacing w:after="0" w:line="86" w:lineRule="exact"/>
        <w:rPr>
          <w:rFonts w:ascii="Arial" w:cs="Arial" w:eastAsia="Arial" w:hAnsi="Arial"/>
          <w:sz w:val="13"/>
          <w:szCs w:val="13"/>
          <w:color w:val="auto"/>
        </w:rPr>
      </w:pPr>
    </w:p>
    <w:p>
      <w:pPr>
        <w:ind w:left="800" w:hanging="179"/>
        <w:spacing w:after="0"/>
        <w:tabs>
          <w:tab w:leader="none" w:pos="80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impair the Holder’s right to institute suit for the enforcement of any payment on the Security of such Series;</w:t>
      </w:r>
    </w:p>
    <w:p>
      <w:pPr>
        <w:spacing w:after="0" w:line="86" w:lineRule="exact"/>
        <w:rPr>
          <w:rFonts w:ascii="Arial" w:cs="Arial" w:eastAsia="Arial" w:hAnsi="Arial"/>
          <w:sz w:val="13"/>
          <w:szCs w:val="13"/>
          <w:color w:val="auto"/>
        </w:rPr>
      </w:pPr>
    </w:p>
    <w:p>
      <w:pPr>
        <w:ind w:left="460" w:right="500" w:firstLine="161"/>
        <w:spacing w:after="0" w:line="276" w:lineRule="auto"/>
        <w:tabs>
          <w:tab w:leader="none" w:pos="809" w:val="left"/>
        </w:tabs>
        <w:numPr>
          <w:ilvl w:val="0"/>
          <w:numId w:val="103"/>
        </w:numPr>
        <w:rPr>
          <w:rFonts w:ascii="Arial" w:cs="Arial" w:eastAsia="Arial" w:hAnsi="Arial"/>
          <w:sz w:val="13"/>
          <w:szCs w:val="13"/>
          <w:color w:val="auto"/>
        </w:rPr>
      </w:pPr>
      <w:r>
        <w:rPr>
          <w:rFonts w:ascii="Arial" w:cs="Arial" w:eastAsia="Arial" w:hAnsi="Arial"/>
          <w:sz w:val="13"/>
          <w:szCs w:val="13"/>
          <w:color w:val="auto"/>
        </w:rPr>
        <w:t>make any change in the percentage of principal amount of the Securities of such Series necessary to waive compliance with Sections 6.8 and 6.13 of this Indenture or to make any change in this Section 9.3(9); or</w:t>
      </w:r>
    </w:p>
    <w:p>
      <w:pPr>
        <w:spacing w:after="0" w:line="49" w:lineRule="exact"/>
        <w:rPr>
          <w:rFonts w:ascii="Arial" w:cs="Arial" w:eastAsia="Arial" w:hAnsi="Arial"/>
          <w:sz w:val="13"/>
          <w:szCs w:val="13"/>
          <w:color w:val="auto"/>
        </w:rPr>
      </w:pPr>
    </w:p>
    <w:p>
      <w:pPr>
        <w:ind w:left="880" w:hanging="259"/>
        <w:spacing w:after="0"/>
        <w:tabs>
          <w:tab w:leader="none" w:pos="8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waive a continuing Default or Event of Default regarding any payment on Securities of such Series.</w:t>
      </w:r>
    </w:p>
    <w:p>
      <w:pPr>
        <w:spacing w:after="0" w:line="86" w:lineRule="exact"/>
        <w:rPr>
          <w:sz w:val="20"/>
          <w:szCs w:val="20"/>
          <w:color w:val="auto"/>
        </w:rPr>
      </w:pPr>
    </w:p>
    <w:p>
      <w:pPr>
        <w:jc w:val="both"/>
        <w:ind w:firstLine="328"/>
        <w:spacing w:after="0" w:line="264" w:lineRule="auto"/>
        <w:rPr>
          <w:sz w:val="20"/>
          <w:szCs w:val="20"/>
          <w:color w:val="auto"/>
        </w:rPr>
      </w:pPr>
      <w:r>
        <w:rPr>
          <w:rFonts w:ascii="Arial" w:cs="Arial" w:eastAsia="Arial" w:hAnsi="Arial"/>
          <w:sz w:val="13"/>
          <w:szCs w:val="13"/>
          <w:color w:val="auto"/>
        </w:rPr>
        <w:t>In the event that consent is obtained from some of the Holders but not from all of the Holders with respect to any amendments or waivers pursuant to clauses (1) through (10) of this Section 9.3, new Securities of such Series with such amendments or waivers will be issued to those consenting Holders. Such new Securities shall have separate CUSIP numbers and ISINs from those Securities of such Series held by non-consenting Holders.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9.4. </w:t>
      </w:r>
      <w:r>
        <w:rPr>
          <w:rFonts w:ascii="Arial" w:cs="Arial" w:eastAsia="Arial" w:hAnsi="Arial"/>
          <w:sz w:val="13"/>
          <w:szCs w:val="13"/>
          <w:u w:val="single" w:color="auto"/>
          <w:color w:val="auto"/>
        </w:rPr>
        <w:t>Form of Amendments</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Every amendment to this Indenture or the Securities of one or more Series shall be set forth in a supplemental indenture.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44" w:name="page145"/>
    <w:bookmarkEnd w:id="144"/>
    <w:p>
      <w:pPr>
        <w:ind w:left="160"/>
        <w:spacing w:after="0"/>
        <w:rPr>
          <w:sz w:val="20"/>
          <w:szCs w:val="20"/>
          <w:color w:val="auto"/>
        </w:rPr>
      </w:pPr>
      <w:r>
        <w:rPr>
          <w:rFonts w:ascii="Arial" w:cs="Arial" w:eastAsia="Arial" w:hAnsi="Arial"/>
          <w:sz w:val="13"/>
          <w:szCs w:val="13"/>
          <w:color w:val="auto"/>
        </w:rPr>
        <w:t xml:space="preserve">Section 9.5. </w:t>
      </w:r>
      <w:r>
        <w:rPr>
          <w:rFonts w:ascii="Arial" w:cs="Arial" w:eastAsia="Arial" w:hAnsi="Arial"/>
          <w:sz w:val="13"/>
          <w:szCs w:val="13"/>
          <w:u w:val="single" w:color="auto"/>
          <w:color w:val="auto"/>
        </w:rPr>
        <w:t>Revocation and Effect of Consents</w:t>
      </w:r>
      <w:r>
        <w:rPr>
          <w:rFonts w:ascii="Arial" w:cs="Arial" w:eastAsia="Arial" w:hAnsi="Arial"/>
          <w:sz w:val="13"/>
          <w:szCs w:val="13"/>
          <w:color w:val="auto"/>
        </w:rPr>
        <w:t>.</w:t>
      </w:r>
    </w:p>
    <w:p>
      <w:pPr>
        <w:spacing w:after="0" w:line="86" w:lineRule="exact"/>
        <w:rPr>
          <w:sz w:val="20"/>
          <w:szCs w:val="20"/>
          <w:color w:val="auto"/>
        </w:rPr>
      </w:pPr>
    </w:p>
    <w:p>
      <w:pPr>
        <w:ind w:firstLine="328"/>
        <w:spacing w:after="0" w:line="296" w:lineRule="auto"/>
        <w:rPr>
          <w:sz w:val="20"/>
          <w:szCs w:val="20"/>
          <w:color w:val="auto"/>
        </w:rPr>
      </w:pPr>
      <w:r>
        <w:rPr>
          <w:rFonts w:ascii="Arial" w:cs="Arial" w:eastAsia="Arial" w:hAnsi="Arial"/>
          <w:sz w:val="12"/>
          <w:szCs w:val="12"/>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written notice of revocation before the date of the supplemental indenture or the date the waiver becomes effective.</w:t>
      </w:r>
    </w:p>
    <w:p>
      <w:pPr>
        <w:spacing w:after="0" w:line="40" w:lineRule="exact"/>
        <w:rPr>
          <w:sz w:val="20"/>
          <w:szCs w:val="20"/>
          <w:color w:val="auto"/>
        </w:rPr>
      </w:pPr>
    </w:p>
    <w:p>
      <w:pPr>
        <w:ind w:right="20" w:firstLine="320"/>
        <w:spacing w:after="0" w:line="264" w:lineRule="auto"/>
        <w:rPr>
          <w:sz w:val="20"/>
          <w:szCs w:val="20"/>
          <w:color w:val="auto"/>
        </w:rPr>
      </w:pPr>
      <w:r>
        <w:rPr>
          <w:rFonts w:ascii="Arial" w:cs="Arial" w:eastAsia="Arial" w:hAnsi="Arial"/>
          <w:sz w:val="13"/>
          <w:szCs w:val="13"/>
          <w:color w:val="auto"/>
        </w:rPr>
        <w:t>Any amendment or waiver once effective shall bind every Securityholder of each Series affected by such amendment or waiver unless it is of the type described in any of clauses (1) through (10)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9.6. </w:t>
      </w:r>
      <w:r>
        <w:rPr>
          <w:rFonts w:ascii="Arial" w:cs="Arial" w:eastAsia="Arial" w:hAnsi="Arial"/>
          <w:sz w:val="13"/>
          <w:szCs w:val="13"/>
          <w:u w:val="single" w:color="auto"/>
          <w:color w:val="auto"/>
        </w:rPr>
        <w:t>Notation on or Exchange of Securities</w:t>
      </w:r>
      <w:r>
        <w:rPr>
          <w:rFonts w:ascii="Arial" w:cs="Arial" w:eastAsia="Arial" w:hAnsi="Arial"/>
          <w:sz w:val="13"/>
          <w:szCs w:val="13"/>
          <w:color w:val="auto"/>
        </w:rPr>
        <w:t>.</w:t>
      </w:r>
    </w:p>
    <w:p>
      <w:pPr>
        <w:spacing w:after="0" w:line="86" w:lineRule="exact"/>
        <w:rPr>
          <w:sz w:val="20"/>
          <w:szCs w:val="20"/>
          <w:color w:val="auto"/>
        </w:rPr>
      </w:pPr>
    </w:p>
    <w:p>
      <w:pPr>
        <w:ind w:right="100" w:firstLine="325"/>
        <w:spacing w:after="0" w:line="276" w:lineRule="auto"/>
        <w:rPr>
          <w:sz w:val="20"/>
          <w:szCs w:val="20"/>
          <w:color w:val="auto"/>
        </w:rPr>
      </w:pPr>
      <w:r>
        <w:rPr>
          <w:rFonts w:ascii="Arial" w:cs="Arial" w:eastAsia="Arial" w:hAnsi="Arial"/>
          <w:sz w:val="13"/>
          <w:szCs w:val="13"/>
          <w:color w:val="auto"/>
        </w:rPr>
        <w:t>The Trustee may place an appropriate notation about an amendment or waiver on any Security of any Series thereafter authenticated. The Company, in exchange for its Securities of that Series, may issue and the Trustee shall authenticate upon request new Securities of that Series that reflect the amendment or waiver.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9.7. </w:t>
      </w:r>
      <w:r>
        <w:rPr>
          <w:rFonts w:ascii="Arial" w:cs="Arial" w:eastAsia="Arial" w:hAnsi="Arial"/>
          <w:sz w:val="13"/>
          <w:szCs w:val="13"/>
          <w:u w:val="single" w:color="auto"/>
          <w:color w:val="auto"/>
        </w:rPr>
        <w:t>Trustee Protected</w:t>
      </w:r>
      <w:r>
        <w:rPr>
          <w:rFonts w:ascii="Arial" w:cs="Arial" w:eastAsia="Arial" w:hAnsi="Arial"/>
          <w:sz w:val="13"/>
          <w:szCs w:val="13"/>
          <w:color w:val="auto"/>
        </w:rPr>
        <w:t>.</w:t>
      </w:r>
    </w:p>
    <w:p>
      <w:pPr>
        <w:spacing w:after="0" w:line="86" w:lineRule="exact"/>
        <w:rPr>
          <w:sz w:val="20"/>
          <w:szCs w:val="20"/>
          <w:color w:val="auto"/>
        </w:rPr>
      </w:pPr>
    </w:p>
    <w:p>
      <w:pPr>
        <w:ind w:firstLine="328"/>
        <w:spacing w:after="0" w:line="296" w:lineRule="auto"/>
        <w:rPr>
          <w:sz w:val="20"/>
          <w:szCs w:val="20"/>
          <w:color w:val="auto"/>
        </w:rPr>
      </w:pPr>
      <w:r>
        <w:rPr>
          <w:rFonts w:ascii="Arial" w:cs="Arial" w:eastAsia="Arial" w:hAnsi="Arial"/>
          <w:sz w:val="12"/>
          <w:szCs w:val="12"/>
          <w:color w:val="auto"/>
        </w:rPr>
        <w:t>In executing, or accepting the additional trusts created by, any supplemental indenture permitted by this Article IX or the modifications thereby of the trusts created by this Indenture, the Trustee shall be entitled to receive, and (subject to Section 7.1) shall be fully protected in relying upon, an Opinion of Counsel stating that the execution of such supplemental indenture is authorized or permitted by this Indenture. The Trustee may, but shall not be obligated to, enter into any supplemental indentures which affect the Trustee’s own rights, duties, immunities, or indemnities under this Indenture, the Securities or otherwise.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MISCELLANEOUS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 </w:t>
      </w:r>
      <w:r>
        <w:rPr>
          <w:rFonts w:ascii="Arial" w:cs="Arial" w:eastAsia="Arial" w:hAnsi="Arial"/>
          <w:sz w:val="13"/>
          <w:szCs w:val="13"/>
          <w:u w:val="single" w:color="auto"/>
          <w:color w:val="auto"/>
        </w:rPr>
        <w:t>Notices</w:t>
      </w:r>
      <w:r>
        <w:rPr>
          <w:rFonts w:ascii="Arial" w:cs="Arial" w:eastAsia="Arial" w:hAnsi="Arial"/>
          <w:sz w:val="13"/>
          <w:szCs w:val="13"/>
          <w:color w:val="auto"/>
        </w:rPr>
        <w:t>.</w:t>
      </w:r>
    </w:p>
    <w:p>
      <w:pPr>
        <w:spacing w:after="0" w:line="86" w:lineRule="exact"/>
        <w:rPr>
          <w:sz w:val="20"/>
          <w:szCs w:val="20"/>
          <w:color w:val="auto"/>
        </w:rPr>
      </w:pPr>
    </w:p>
    <w:p>
      <w:pPr>
        <w:ind w:right="160" w:firstLine="320"/>
        <w:spacing w:after="0" w:line="276" w:lineRule="auto"/>
        <w:rPr>
          <w:sz w:val="20"/>
          <w:szCs w:val="20"/>
          <w:color w:val="auto"/>
        </w:rPr>
      </w:pPr>
      <w:r>
        <w:rPr>
          <w:rFonts w:ascii="Arial" w:cs="Arial" w:eastAsia="Arial" w:hAnsi="Arial"/>
          <w:sz w:val="13"/>
          <w:szCs w:val="13"/>
          <w:color w:val="auto"/>
        </w:rPr>
        <w:t>Any request, direction, instruction, demand, document, notice or communication by the Company or the Trustee to the other, or by a Holder to the Company or the Trustee, shall be in English and in writing and delivered in person, mailed by first-class mail, delivered via facsimile or delivered by overnight courier as follows: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5" w:name="page146"/>
    <w:bookmarkEnd w:id="145"/>
    <w:p>
      <w:pPr>
        <w:spacing w:after="0"/>
        <w:rPr>
          <w:sz w:val="20"/>
          <w:szCs w:val="20"/>
          <w:color w:val="auto"/>
        </w:rPr>
      </w:pPr>
      <w:r>
        <w:rPr>
          <w:rFonts w:ascii="Arial" w:cs="Arial" w:eastAsia="Arial" w:hAnsi="Arial"/>
          <w:sz w:val="13"/>
          <w:szCs w:val="13"/>
          <w:color w:val="auto"/>
        </w:rPr>
        <w:t>if to the Company:</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Schlumberger Limited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5599 San Felipe Street, 17th Floor</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 77056</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Fax: (713) 513-2006</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Vice President Treasurer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with a copy to:</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Gibson, Dunn &amp; Crutcher LLP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 Park Avenue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New York 10166</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Fax: (212) 351-4035</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Andrew L. Fabens</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if to the Trustee:</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[__________]</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[__________]</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[__________]</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[__________]</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with a copy to:</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[__________]</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[__________]</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[__________]</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[__________]</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Notices shall be effective upon the recipient’s actual receipt thereof. Any party by notice to the other parties may designate additional or different addresses for subsequent notices or communications.</w:t>
      </w:r>
    </w:p>
    <w:p>
      <w:pPr>
        <w:spacing w:after="0" w:line="98" w:lineRule="exact"/>
        <w:rPr>
          <w:sz w:val="20"/>
          <w:szCs w:val="20"/>
          <w:color w:val="auto"/>
        </w:rPr>
      </w:pPr>
    </w:p>
    <w:p>
      <w:pPr>
        <w:jc w:val="both"/>
        <w:ind w:firstLine="320"/>
        <w:spacing w:after="0" w:line="264" w:lineRule="auto"/>
        <w:rPr>
          <w:sz w:val="20"/>
          <w:szCs w:val="20"/>
          <w:color w:val="auto"/>
        </w:rPr>
      </w:pPr>
      <w:r>
        <w:rPr>
          <w:rFonts w:ascii="Arial" w:cs="Arial" w:eastAsia="Arial" w:hAnsi="Arial"/>
          <w:sz w:val="13"/>
          <w:szCs w:val="13"/>
          <w:color w:val="auto"/>
        </w:rPr>
        <w:t>Any notice or communication to (i) a Securityholder of a Certificated Security shall be mailed by first-class mail to his address shown on the register kept by the Registrar (ii) a Securityholder of a Global Security shall be delivered to the Depositary in accordance with its applicable procedures. Failure to mail a notice or communication to a Securityholder of any Series or any defect in it shall not affect its sufficiency with respect to other Securityholders of that or any other Series.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If a notice or communication to any Securityholder is mailed or published in the manner provided above, within the time prescribed, it is duly given, whether or not the Securityholder receives it.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46" w:name="page147"/>
    <w:bookmarkEnd w:id="146"/>
    <w:p>
      <w:pPr>
        <w:ind w:left="320"/>
        <w:spacing w:after="0"/>
        <w:rPr>
          <w:sz w:val="20"/>
          <w:szCs w:val="20"/>
          <w:color w:val="auto"/>
        </w:rPr>
      </w:pPr>
      <w:r>
        <w:rPr>
          <w:rFonts w:ascii="Arial" w:cs="Arial" w:eastAsia="Arial" w:hAnsi="Arial"/>
          <w:sz w:val="13"/>
          <w:szCs w:val="13"/>
          <w:color w:val="auto"/>
        </w:rPr>
        <w:t>If the Company mails a notice or communication to Securityholders, it shall mail a copy to the Trustee and each Agent at the same time.</w:t>
      </w:r>
    </w:p>
    <w:p>
      <w:pPr>
        <w:spacing w:after="0" w:line="86" w:lineRule="exact"/>
        <w:rPr>
          <w:sz w:val="20"/>
          <w:szCs w:val="20"/>
          <w:color w:val="auto"/>
        </w:rPr>
      </w:pPr>
    </w:p>
    <w:p>
      <w:pPr>
        <w:ind w:right="20" w:firstLine="325"/>
        <w:spacing w:after="0" w:line="316" w:lineRule="auto"/>
        <w:rPr>
          <w:sz w:val="20"/>
          <w:szCs w:val="20"/>
          <w:color w:val="auto"/>
        </w:rPr>
      </w:pPr>
      <w:r>
        <w:rPr>
          <w:rFonts w:ascii="Arial" w:cs="Arial" w:eastAsia="Arial" w:hAnsi="Arial"/>
          <w:sz w:val="11"/>
          <w:szCs w:val="11"/>
          <w:color w:val="auto"/>
        </w:rPr>
        <w:t>With respect to this Indenture, the Trustee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Trustee shall not have any liability for any losses, liabilities, costs or expenses incurred or sustained by any party as a result of such reliance upon or compliance with such instructions, directions, reports, notices or other communications or information. Each other party agrees to assume all risks arising out of the use of electronic methods to submit instructions, directions, reports, notices or other communications or information to the Trustee, including the risk of the Trustee acting on unauthorized instructions, notices, reports or other communications or information, and the risk of interception and misuse by third parties.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10.2. </w:t>
      </w:r>
      <w:r>
        <w:rPr>
          <w:rFonts w:ascii="Arial" w:cs="Arial" w:eastAsia="Arial" w:hAnsi="Arial"/>
          <w:sz w:val="13"/>
          <w:szCs w:val="13"/>
          <w:u w:val="single" w:color="auto"/>
          <w:color w:val="auto"/>
        </w:rPr>
        <w:t>Communication by Holders with Other Holders</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1"/>
          <w:szCs w:val="11"/>
          <w:color w:val="auto"/>
        </w:rPr>
        <w:t>Securityholders of a Series may communicate pursuant to TIA § 312(b), as if such section applied hereto, with other Securityholders of such Series with respect to their rights under this Indenture or the Securities.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10.3. </w:t>
      </w:r>
      <w:r>
        <w:rPr>
          <w:rFonts w:ascii="Arial" w:cs="Arial" w:eastAsia="Arial" w:hAnsi="Arial"/>
          <w:sz w:val="13"/>
          <w:szCs w:val="13"/>
          <w:u w:val="single" w:color="auto"/>
          <w:color w:val="auto"/>
        </w:rPr>
        <w:t>Certificate and Opinion as to Conditions Precedent</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Upon any request or application by the Company to the Trustee to take any action under this Indenture, the Company shall furnish to the Trustee:</w:t>
      </w:r>
    </w:p>
    <w:p>
      <w:pPr>
        <w:spacing w:after="0" w:line="86" w:lineRule="exact"/>
        <w:rPr>
          <w:sz w:val="20"/>
          <w:szCs w:val="20"/>
          <w:color w:val="auto"/>
        </w:rPr>
      </w:pPr>
    </w:p>
    <w:p>
      <w:pPr>
        <w:ind w:left="1600" w:hanging="461"/>
        <w:spacing w:after="0"/>
        <w:tabs>
          <w:tab w:leader="none" w:pos="160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an Officer’s Certificate stating that, in the opinion of the signer, all conditions precedent, if any, provided for in this Indenture relating to the proposed action have been complied with; and</w:t>
      </w:r>
    </w:p>
    <w:p>
      <w:pPr>
        <w:spacing w:after="0" w:line="107" w:lineRule="exact"/>
        <w:rPr>
          <w:rFonts w:ascii="Arial" w:cs="Arial" w:eastAsia="Arial" w:hAnsi="Arial"/>
          <w:sz w:val="12"/>
          <w:szCs w:val="12"/>
          <w:color w:val="auto"/>
        </w:rPr>
      </w:pPr>
    </w:p>
    <w:p>
      <w:pPr>
        <w:ind w:left="1600" w:hanging="461"/>
        <w:spacing w:after="0"/>
        <w:tabs>
          <w:tab w:leader="none" w:pos="16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an Opinion of Counsel stating that, in the opinion of such counsel, all such conditions precedent have been complied with.</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10.4. </w:t>
      </w:r>
      <w:r>
        <w:rPr>
          <w:rFonts w:ascii="Arial" w:cs="Arial" w:eastAsia="Arial" w:hAnsi="Arial"/>
          <w:sz w:val="13"/>
          <w:szCs w:val="13"/>
          <w:u w:val="single" w:color="auto"/>
          <w:color w:val="auto"/>
        </w:rPr>
        <w:t>Statements Required in Certificate or Opinion</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Each certificate or opinion with respect to compliance with a condition or covenant provided for in this Indenture shall include:</w:t>
      </w:r>
    </w:p>
    <w:p>
      <w:pPr>
        <w:spacing w:after="0" w:line="86" w:lineRule="exact"/>
        <w:rPr>
          <w:sz w:val="20"/>
          <w:szCs w:val="20"/>
          <w:color w:val="auto"/>
        </w:rPr>
      </w:pPr>
    </w:p>
    <w:p>
      <w:pPr>
        <w:ind w:left="1600" w:hanging="461"/>
        <w:spacing w:after="0"/>
        <w:tabs>
          <w:tab w:leader="none" w:pos="160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 statement that the Person making such certificate or opinion has read such covenant or condition;</w:t>
      </w:r>
    </w:p>
    <w:p>
      <w:pPr>
        <w:spacing w:after="0" w:line="96" w:lineRule="exact"/>
        <w:rPr>
          <w:rFonts w:ascii="Arial" w:cs="Arial" w:eastAsia="Arial" w:hAnsi="Arial"/>
          <w:sz w:val="13"/>
          <w:szCs w:val="13"/>
          <w:color w:val="auto"/>
        </w:rPr>
      </w:pPr>
    </w:p>
    <w:p>
      <w:pPr>
        <w:ind w:left="1600" w:hanging="461"/>
        <w:spacing w:after="0"/>
        <w:tabs>
          <w:tab w:leader="none" w:pos="160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 brief statement as to the nature and scope of the examination or investigation upon which the statements or opinions contained in such certificate or opinion are based;</w:t>
      </w:r>
    </w:p>
    <w:p>
      <w:pPr>
        <w:spacing w:after="0" w:line="96" w:lineRule="exact"/>
        <w:rPr>
          <w:rFonts w:ascii="Arial" w:cs="Arial" w:eastAsia="Arial" w:hAnsi="Arial"/>
          <w:sz w:val="13"/>
          <w:szCs w:val="13"/>
          <w:color w:val="auto"/>
        </w:rPr>
      </w:pPr>
    </w:p>
    <w:p>
      <w:pPr>
        <w:ind w:left="1600" w:hanging="461"/>
        <w:spacing w:after="0"/>
        <w:tabs>
          <w:tab w:leader="none" w:pos="160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 statement that, in the opinion of such Person, he has made such examination or investigation as is necessary to enable him to</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7" w:name="page148"/>
    <w:bookmarkEnd w:id="147"/>
    <w:p>
      <w:pPr>
        <w:ind w:left="1600"/>
        <w:spacing w:after="0"/>
        <w:rPr>
          <w:sz w:val="20"/>
          <w:szCs w:val="20"/>
          <w:color w:val="auto"/>
        </w:rPr>
      </w:pPr>
      <w:r>
        <w:rPr>
          <w:rFonts w:ascii="Arial" w:cs="Arial" w:eastAsia="Arial" w:hAnsi="Arial"/>
          <w:sz w:val="13"/>
          <w:szCs w:val="13"/>
          <w:color w:val="auto"/>
        </w:rPr>
        <w:t>express an informed opinion as to whether or not such covenant or condition has been complied with; and</w:t>
      </w:r>
    </w:p>
    <w:p>
      <w:pPr>
        <w:spacing w:after="0" w:line="96" w:lineRule="exact"/>
        <w:rPr>
          <w:sz w:val="20"/>
          <w:szCs w:val="20"/>
          <w:color w:val="auto"/>
        </w:rPr>
      </w:pPr>
    </w:p>
    <w:p>
      <w:pPr>
        <w:ind w:left="160" w:right="3760" w:firstLine="979"/>
        <w:spacing w:after="0" w:line="378" w:lineRule="auto"/>
        <w:tabs>
          <w:tab w:leader="none" w:pos="1589" w:val="left"/>
        </w:tabs>
        <w:numPr>
          <w:ilvl w:val="0"/>
          <w:numId w:val="106"/>
        </w:numPr>
        <w:rPr>
          <w:rFonts w:ascii="Arial" w:cs="Arial" w:eastAsia="Arial" w:hAnsi="Arial"/>
          <w:sz w:val="13"/>
          <w:szCs w:val="13"/>
          <w:color w:val="auto"/>
        </w:rPr>
      </w:pPr>
      <w:r>
        <w:rPr>
          <w:rFonts w:ascii="Arial" w:cs="Arial" w:eastAsia="Arial" w:hAnsi="Arial"/>
          <w:sz w:val="13"/>
          <w:szCs w:val="13"/>
          <w:color w:val="auto"/>
        </w:rPr>
        <w:t xml:space="preserve">a statement as to whether or not, in the opinion of such Person, such condition or covenant has been complied with. Section 10.5. </w:t>
      </w:r>
      <w:r>
        <w:rPr>
          <w:rFonts w:ascii="Arial" w:cs="Arial" w:eastAsia="Arial" w:hAnsi="Arial"/>
          <w:sz w:val="13"/>
          <w:szCs w:val="13"/>
          <w:u w:val="single" w:color="auto"/>
          <w:color w:val="auto"/>
        </w:rPr>
        <w:t>Rules by Trustee and Agents</w:t>
      </w:r>
      <w:r>
        <w:rPr>
          <w:rFonts w:ascii="Arial" w:cs="Arial" w:eastAsia="Arial" w:hAnsi="Arial"/>
          <w:sz w:val="13"/>
          <w:szCs w:val="13"/>
          <w:color w:val="auto"/>
        </w:rPr>
        <w:t>.</w:t>
      </w:r>
    </w:p>
    <w:p>
      <w:pPr>
        <w:ind w:left="160" w:right="740" w:firstLine="161"/>
        <w:spacing w:after="0" w:line="378" w:lineRule="auto"/>
        <w:rPr>
          <w:rFonts w:ascii="Arial" w:cs="Arial" w:eastAsia="Arial" w:hAnsi="Arial"/>
          <w:sz w:val="13"/>
          <w:szCs w:val="13"/>
          <w:color w:val="auto"/>
        </w:rPr>
      </w:pPr>
      <w:r>
        <w:rPr>
          <w:rFonts w:ascii="Arial" w:cs="Arial" w:eastAsia="Arial" w:hAnsi="Arial"/>
          <w:sz w:val="13"/>
          <w:szCs w:val="13"/>
          <w:color w:val="auto"/>
        </w:rPr>
        <w:t xml:space="preserve">The Trustee may make reasonable rules for action by or a meeting of Securityholders of one or more Series. Any Agent may make reasonable rules and set reasonable requirements for its functions. Section 10.6. </w:t>
      </w:r>
      <w:r>
        <w:rPr>
          <w:rFonts w:ascii="Arial" w:cs="Arial" w:eastAsia="Arial" w:hAnsi="Arial"/>
          <w:sz w:val="13"/>
          <w:szCs w:val="13"/>
          <w:u w:val="single" w:color="auto"/>
          <w:color w:val="auto"/>
        </w:rPr>
        <w:t>Legal Holidays</w:t>
      </w:r>
      <w:r>
        <w:rPr>
          <w:rFonts w:ascii="Arial" w:cs="Arial" w:eastAsia="Arial" w:hAnsi="Arial"/>
          <w:sz w:val="13"/>
          <w:szCs w:val="13"/>
          <w:color w:val="auto"/>
        </w:rPr>
        <w:t>.</w:t>
      </w:r>
    </w:p>
    <w:p>
      <w:pPr>
        <w:spacing w:after="0" w:line="1" w:lineRule="exact"/>
        <w:rPr>
          <w:sz w:val="20"/>
          <w:szCs w:val="20"/>
          <w:color w:val="auto"/>
        </w:rPr>
      </w:pPr>
    </w:p>
    <w:p>
      <w:pPr>
        <w:ind w:right="380" w:firstLine="328"/>
        <w:spacing w:after="0" w:line="320" w:lineRule="auto"/>
        <w:rPr>
          <w:sz w:val="20"/>
          <w:szCs w:val="20"/>
          <w:color w:val="auto"/>
        </w:rPr>
      </w:pPr>
      <w:r>
        <w:rPr>
          <w:rFonts w:ascii="Arial" w:cs="Arial" w:eastAsia="Arial" w:hAnsi="Arial"/>
          <w:sz w:val="12"/>
          <w:szCs w:val="12"/>
          <w:color w:val="auto"/>
        </w:rPr>
        <w:t>Unless otherwise provided by Board Resolution, Officer’s Certificate or supplemental indenture for a particular Series, a “</w:t>
      </w:r>
      <w:r>
        <w:rPr>
          <w:rFonts w:ascii="Arial" w:cs="Arial" w:eastAsia="Arial" w:hAnsi="Arial"/>
          <w:sz w:val="12"/>
          <w:szCs w:val="12"/>
          <w:i w:val="1"/>
          <w:iCs w:val="1"/>
          <w:color w:val="auto"/>
        </w:rPr>
        <w:t>Legal Holiday</w:t>
      </w:r>
      <w:r>
        <w:rPr>
          <w:rFonts w:ascii="Arial" w:cs="Arial" w:eastAsia="Arial" w:hAnsi="Arial"/>
          <w:sz w:val="12"/>
          <w:szCs w:val="12"/>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10.7. </w:t>
      </w:r>
      <w:r>
        <w:rPr>
          <w:rFonts w:ascii="Arial" w:cs="Arial" w:eastAsia="Arial" w:hAnsi="Arial"/>
          <w:sz w:val="13"/>
          <w:szCs w:val="13"/>
          <w:u w:val="single" w:color="auto"/>
          <w:color w:val="auto"/>
        </w:rPr>
        <w:t>No Personal Liability of Directors, Officers, Employees and Certain Others</w:t>
      </w:r>
      <w:r>
        <w:rPr>
          <w:rFonts w:ascii="Arial" w:cs="Arial" w:eastAsia="Arial" w:hAnsi="Arial"/>
          <w:sz w:val="13"/>
          <w:szCs w:val="13"/>
          <w:color w:val="auto"/>
        </w:rPr>
        <w:t>.</w:t>
      </w:r>
    </w:p>
    <w:p>
      <w:pPr>
        <w:spacing w:after="0" w:line="86" w:lineRule="exact"/>
        <w:rPr>
          <w:sz w:val="20"/>
          <w:szCs w:val="20"/>
          <w:color w:val="auto"/>
        </w:rPr>
      </w:pPr>
    </w:p>
    <w:p>
      <w:pPr>
        <w:ind w:right="140" w:firstLine="328"/>
        <w:spacing w:after="0" w:line="264" w:lineRule="auto"/>
        <w:rPr>
          <w:sz w:val="20"/>
          <w:szCs w:val="20"/>
          <w:color w:val="auto"/>
        </w:rPr>
      </w:pPr>
      <w:r>
        <w:rPr>
          <w:rFonts w:ascii="Arial" w:cs="Arial" w:eastAsia="Arial" w:hAnsi="Arial"/>
          <w:sz w:val="13"/>
          <w:szCs w:val="13"/>
          <w:color w:val="auto"/>
        </w:rPr>
        <w:t>No director, officer, employee, incorporator or similar founder, stockholder or member of the Company will have any liability for or any obligations of the Company under this Indenture or the Securities or for any claim based on, with respect to or by reason of, such obligations or their creation. Each Holder of Securities by accepting a Security waives and releases all such liability. The waiver and release are part of the consideration for issuance of the Securities. The waiver may not be effective to waive liabilities under the federal securities laws.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10.8. </w:t>
      </w:r>
      <w:r>
        <w:rPr>
          <w:rFonts w:ascii="Arial" w:cs="Arial" w:eastAsia="Arial" w:hAnsi="Arial"/>
          <w:sz w:val="13"/>
          <w:szCs w:val="13"/>
          <w:u w:val="single" w:color="auto"/>
          <w:color w:val="auto"/>
        </w:rPr>
        <w:t>Counterparts</w:t>
      </w:r>
      <w:r>
        <w:rPr>
          <w:rFonts w:ascii="Arial" w:cs="Arial" w:eastAsia="Arial" w:hAnsi="Arial"/>
          <w:sz w:val="13"/>
          <w:szCs w:val="13"/>
          <w:color w:val="auto"/>
        </w:rPr>
        <w:t>.</w:t>
      </w:r>
    </w:p>
    <w:p>
      <w:pPr>
        <w:spacing w:after="0" w:line="86" w:lineRule="exact"/>
        <w:rPr>
          <w:sz w:val="20"/>
          <w:szCs w:val="20"/>
          <w:color w:val="auto"/>
        </w:rPr>
      </w:pPr>
    </w:p>
    <w:p>
      <w:pPr>
        <w:ind w:firstLine="325"/>
        <w:spacing w:after="0" w:line="276" w:lineRule="auto"/>
        <w:rPr>
          <w:sz w:val="20"/>
          <w:szCs w:val="20"/>
          <w:color w:val="auto"/>
        </w:rPr>
      </w:pPr>
      <w:r>
        <w:rPr>
          <w:rFonts w:ascii="Arial" w:cs="Arial" w:eastAsia="Arial" w:hAnsi="Arial"/>
          <w:sz w:val="13"/>
          <w:szCs w:val="13"/>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10.9. </w:t>
      </w:r>
      <w:r>
        <w:rPr>
          <w:rFonts w:ascii="Arial" w:cs="Arial" w:eastAsia="Arial" w:hAnsi="Arial"/>
          <w:sz w:val="13"/>
          <w:szCs w:val="13"/>
          <w:u w:val="single" w:color="auto"/>
          <w:color w:val="auto"/>
        </w:rPr>
        <w:t>Governing Laws</w:t>
      </w:r>
      <w:r>
        <w:rPr>
          <w:rFonts w:ascii="Arial" w:cs="Arial" w:eastAsia="Arial" w:hAnsi="Arial"/>
          <w:sz w:val="13"/>
          <w:szCs w:val="13"/>
          <w:color w:val="auto"/>
        </w:rPr>
        <w:t>.</w:t>
      </w:r>
    </w:p>
    <w:p>
      <w:pPr>
        <w:spacing w:after="0" w:line="82" w:lineRule="exact"/>
        <w:rPr>
          <w:sz w:val="20"/>
          <w:szCs w:val="20"/>
          <w:color w:val="auto"/>
        </w:rPr>
      </w:pPr>
    </w:p>
    <w:p>
      <w:pPr>
        <w:ind w:right="40" w:firstLine="327"/>
        <w:spacing w:after="0" w:line="267" w:lineRule="auto"/>
        <w:rPr>
          <w:sz w:val="20"/>
          <w:szCs w:val="20"/>
          <w:color w:val="auto"/>
        </w:rPr>
      </w:pPr>
      <w:r>
        <w:rPr>
          <w:rFonts w:ascii="Arial" w:cs="Arial" w:eastAsia="Arial" w:hAnsi="Arial"/>
          <w:sz w:val="13"/>
          <w:szCs w:val="13"/>
          <w:b w:val="1"/>
          <w:bCs w:val="1"/>
          <w:color w:val="auto"/>
        </w:rPr>
        <w:t>THIS INDENTURE AND THE SECURITIES, INCLUDING ANY CLAIM OR CONTROVERSY ARISING OUT OF OR RELATING TO THIS INDENTURE OR THE SECURITIES, SHALL BE GOVERNED BY THE LAWS OF THE STATE OF NEW YORK WITHOUT REGARD TO CONFLICT OF LAW PRINCIPLES THAT WOULD RESULT IN THE APPLICATION OF ANY LAW OTHER THAN THE LAW OF THE STATE OF NEW YORK.</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48" w:name="page149"/>
    <w:bookmarkEnd w:id="148"/>
    <w:p>
      <w:pPr>
        <w:ind w:left="160"/>
        <w:spacing w:after="0"/>
        <w:rPr>
          <w:sz w:val="20"/>
          <w:szCs w:val="20"/>
          <w:color w:val="auto"/>
        </w:rPr>
      </w:pPr>
      <w:r>
        <w:rPr>
          <w:rFonts w:ascii="Arial" w:cs="Arial" w:eastAsia="Arial" w:hAnsi="Arial"/>
          <w:sz w:val="13"/>
          <w:szCs w:val="13"/>
          <w:color w:val="auto"/>
        </w:rPr>
        <w:t xml:space="preserve">Section 10.10. </w:t>
      </w:r>
      <w:r>
        <w:rPr>
          <w:rFonts w:ascii="Arial" w:cs="Arial" w:eastAsia="Arial" w:hAnsi="Arial"/>
          <w:sz w:val="13"/>
          <w:szCs w:val="13"/>
          <w:u w:val="single" w:color="auto"/>
          <w:color w:val="auto"/>
        </w:rPr>
        <w:t>No Adverse Interpretation of Other Agreements</w:t>
      </w:r>
      <w:r>
        <w:rPr>
          <w:rFonts w:ascii="Arial" w:cs="Arial" w:eastAsia="Arial" w:hAnsi="Arial"/>
          <w:sz w:val="13"/>
          <w:szCs w:val="13"/>
          <w:color w:val="auto"/>
        </w:rPr>
        <w:t>.</w:t>
      </w:r>
    </w:p>
    <w:p>
      <w:pPr>
        <w:spacing w:after="0" w:line="86" w:lineRule="exact"/>
        <w:rPr>
          <w:sz w:val="20"/>
          <w:szCs w:val="20"/>
          <w:color w:val="auto"/>
        </w:rPr>
      </w:pPr>
    </w:p>
    <w:p>
      <w:pPr>
        <w:ind w:right="80" w:firstLine="325"/>
        <w:spacing w:after="0" w:line="276" w:lineRule="auto"/>
        <w:rPr>
          <w:sz w:val="20"/>
          <w:szCs w:val="20"/>
          <w:color w:val="auto"/>
        </w:rPr>
      </w:pPr>
      <w:r>
        <w:rPr>
          <w:rFonts w:ascii="Arial" w:cs="Arial" w:eastAsia="Arial" w:hAnsi="Arial"/>
          <w:sz w:val="13"/>
          <w:szCs w:val="13"/>
          <w:color w:val="auto"/>
        </w:rPr>
        <w:t>This Indenture may not be used to interpret another indenture, loan or debt agreement of the Company or any Subsidiary of the Company. Any such indenture, loan or debt agreement may not be used to interpret this Indenture.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10.11. </w:t>
      </w:r>
      <w:r>
        <w:rPr>
          <w:rFonts w:ascii="Arial" w:cs="Arial" w:eastAsia="Arial" w:hAnsi="Arial"/>
          <w:sz w:val="13"/>
          <w:szCs w:val="13"/>
          <w:u w:val="single" w:color="auto"/>
          <w:color w:val="auto"/>
        </w:rPr>
        <w:t>Successors</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All agreements of the Company in this Indenture and the Securities shall bind its respective successors. All agreements of the Trustee in this Indenture shall bind its successor.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10.12. </w:t>
      </w:r>
      <w:r>
        <w:rPr>
          <w:rFonts w:ascii="Arial" w:cs="Arial" w:eastAsia="Arial" w:hAnsi="Arial"/>
          <w:sz w:val="13"/>
          <w:szCs w:val="13"/>
          <w:u w:val="single" w:color="auto"/>
          <w:color w:val="auto"/>
        </w:rPr>
        <w:t>Severability</w:t>
      </w:r>
      <w:r>
        <w:rPr>
          <w:rFonts w:ascii="Arial" w:cs="Arial" w:eastAsia="Arial" w:hAnsi="Arial"/>
          <w:sz w:val="13"/>
          <w:szCs w:val="13"/>
          <w:color w:val="auto"/>
        </w:rPr>
        <w:t>.</w:t>
      </w:r>
    </w:p>
    <w:p>
      <w:pPr>
        <w:spacing w:after="0" w:line="86" w:lineRule="exact"/>
        <w:rPr>
          <w:sz w:val="20"/>
          <w:szCs w:val="20"/>
          <w:color w:val="auto"/>
        </w:rPr>
      </w:pPr>
    </w:p>
    <w:p>
      <w:pPr>
        <w:ind w:right="60" w:firstLine="328"/>
        <w:spacing w:after="0" w:line="276" w:lineRule="auto"/>
        <w:rPr>
          <w:sz w:val="20"/>
          <w:szCs w:val="20"/>
          <w:color w:val="auto"/>
        </w:rPr>
      </w:pPr>
      <w:r>
        <w:rPr>
          <w:rFonts w:ascii="Arial" w:cs="Arial" w:eastAsia="Arial" w:hAnsi="Arial"/>
          <w:sz w:val="13"/>
          <w:szCs w:val="13"/>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10.13. </w:t>
      </w:r>
      <w:r>
        <w:rPr>
          <w:rFonts w:ascii="Arial" w:cs="Arial" w:eastAsia="Arial" w:hAnsi="Arial"/>
          <w:sz w:val="13"/>
          <w:szCs w:val="13"/>
          <w:u w:val="single" w:color="auto"/>
          <w:color w:val="auto"/>
        </w:rPr>
        <w:t>Table of Contents, Headings, Etc.</w:t>
      </w:r>
    </w:p>
    <w:p>
      <w:pPr>
        <w:spacing w:after="0" w:line="86" w:lineRule="exact"/>
        <w:rPr>
          <w:sz w:val="20"/>
          <w:szCs w:val="20"/>
          <w:color w:val="auto"/>
        </w:rPr>
      </w:pPr>
    </w:p>
    <w:p>
      <w:pPr>
        <w:ind w:right="100" w:firstLine="325"/>
        <w:spacing w:after="0" w:line="276" w:lineRule="auto"/>
        <w:rPr>
          <w:sz w:val="20"/>
          <w:szCs w:val="20"/>
          <w:color w:val="auto"/>
        </w:rPr>
      </w:pPr>
      <w:r>
        <w:rPr>
          <w:rFonts w:ascii="Arial" w:cs="Arial" w:eastAsia="Arial" w:hAnsi="Arial"/>
          <w:sz w:val="13"/>
          <w:szCs w:val="13"/>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10.14. </w:t>
      </w:r>
      <w:r>
        <w:rPr>
          <w:rFonts w:ascii="Arial" w:cs="Arial" w:eastAsia="Arial" w:hAnsi="Arial"/>
          <w:sz w:val="13"/>
          <w:szCs w:val="13"/>
          <w:u w:val="single" w:color="auto"/>
          <w:color w:val="auto"/>
        </w:rPr>
        <w:t>Judgment Currency</w:t>
      </w:r>
      <w:r>
        <w:rPr>
          <w:rFonts w:ascii="Arial" w:cs="Arial" w:eastAsia="Arial" w:hAnsi="Arial"/>
          <w:sz w:val="13"/>
          <w:szCs w:val="13"/>
          <w:color w:val="auto"/>
        </w:rPr>
        <w:t>.</w:t>
      </w:r>
    </w:p>
    <w:p>
      <w:pPr>
        <w:spacing w:after="0" w:line="86" w:lineRule="exact"/>
        <w:rPr>
          <w:sz w:val="20"/>
          <w:szCs w:val="20"/>
          <w:color w:val="auto"/>
        </w:rPr>
      </w:pPr>
    </w:p>
    <w:p>
      <w:pPr>
        <w:ind w:firstLine="325"/>
        <w:spacing w:after="0" w:line="255" w:lineRule="auto"/>
        <w:rPr>
          <w:sz w:val="20"/>
          <w:szCs w:val="20"/>
          <w:color w:val="auto"/>
        </w:rPr>
      </w:pPr>
      <w:r>
        <w:rPr>
          <w:rFonts w:ascii="Arial" w:cs="Arial" w:eastAsia="Arial" w:hAnsi="Arial"/>
          <w:sz w:val="13"/>
          <w:szCs w:val="13"/>
          <w:color w:val="auto"/>
        </w:rPr>
        <w:t>The Company agrees, to the fullest extent that it may effectively do so under applicable law, that (a) if for the purpose of obtaining judgment in any court it is necessary to convert the sum due with respect to the principal of or interest or other amount on the Securities of any Series (the “</w:t>
      </w:r>
      <w:r>
        <w:rPr>
          <w:rFonts w:ascii="Arial" w:cs="Arial" w:eastAsia="Arial" w:hAnsi="Arial"/>
          <w:sz w:val="13"/>
          <w:szCs w:val="13"/>
          <w:i w:val="1"/>
          <w:iCs w:val="1"/>
          <w:color w:val="auto"/>
        </w:rPr>
        <w:t>Required Currency</w:t>
      </w:r>
      <w:r>
        <w:rPr>
          <w:rFonts w:ascii="Arial" w:cs="Arial" w:eastAsia="Arial" w:hAnsi="Arial"/>
          <w:sz w:val="13"/>
          <w:szCs w:val="13"/>
          <w:color w:val="auto"/>
        </w:rPr>
        <w:t>”) into a currency in which a judgment will be rendered (the “</w:t>
      </w:r>
      <w:r>
        <w:rPr>
          <w:rFonts w:ascii="Arial" w:cs="Arial" w:eastAsia="Arial" w:hAnsi="Arial"/>
          <w:sz w:val="13"/>
          <w:szCs w:val="13"/>
          <w:i w:val="1"/>
          <w:iCs w:val="1"/>
          <w:color w:val="auto"/>
        </w:rPr>
        <w:t>Judgment Currency</w:t>
      </w:r>
      <w:r>
        <w:rPr>
          <w:rFonts w:ascii="Arial" w:cs="Arial" w:eastAsia="Arial" w:hAnsi="Arial"/>
          <w:sz w:val="13"/>
          <w:szCs w:val="13"/>
          <w:color w:val="auto"/>
        </w:rPr>
        <w:t>”), the rate of exchange used shall be the rate at which in accordance with normal banking procedures the recipient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recipient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with respect to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3"/>
          <w:szCs w:val="13"/>
          <w:i w:val="1"/>
          <w:iCs w:val="1"/>
          <w:color w:val="auto"/>
        </w:rPr>
        <w:t>New York Banking Day</w:t>
      </w:r>
      <w:r>
        <w:rPr>
          <w:rFonts w:ascii="Arial" w:cs="Arial" w:eastAsia="Arial" w:hAnsi="Arial"/>
          <w:sz w:val="13"/>
          <w:szCs w:val="13"/>
          <w:color w:val="auto"/>
        </w:rPr>
        <w:t>” means any day except a Saturday, Sunday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9" w:name="page150"/>
    <w:bookmarkEnd w:id="149"/>
    <w:p>
      <w:pPr>
        <w:spacing w:after="0"/>
        <w:rPr>
          <w:sz w:val="20"/>
          <w:szCs w:val="20"/>
          <w:color w:val="auto"/>
        </w:rPr>
      </w:pPr>
      <w:r>
        <w:rPr>
          <w:rFonts w:ascii="Arial" w:cs="Arial" w:eastAsia="Arial" w:hAnsi="Arial"/>
          <w:sz w:val="13"/>
          <w:szCs w:val="13"/>
          <w:color w:val="auto"/>
        </w:rPr>
        <w:t>or a Legal Holiday in The City of New York on which banking institutions are authorized or required by law, regulation or executive order to close.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10.15. </w:t>
      </w:r>
      <w:r>
        <w:rPr>
          <w:rFonts w:ascii="Arial" w:cs="Arial" w:eastAsia="Arial" w:hAnsi="Arial"/>
          <w:sz w:val="13"/>
          <w:szCs w:val="13"/>
          <w:u w:val="single" w:color="auto"/>
          <w:color w:val="auto"/>
        </w:rPr>
        <w:t>English Language</w:t>
      </w:r>
      <w:r>
        <w:rPr>
          <w:rFonts w:ascii="Arial" w:cs="Arial" w:eastAsia="Arial" w:hAnsi="Arial"/>
          <w:sz w:val="13"/>
          <w:szCs w:val="13"/>
          <w:color w:val="auto"/>
        </w:rPr>
        <w:t>.</w:t>
      </w:r>
    </w:p>
    <w:p>
      <w:pPr>
        <w:spacing w:after="0" w:line="86" w:lineRule="exact"/>
        <w:rPr>
          <w:sz w:val="20"/>
          <w:szCs w:val="20"/>
          <w:color w:val="auto"/>
        </w:rPr>
      </w:pPr>
    </w:p>
    <w:p>
      <w:pPr>
        <w:ind w:right="20" w:firstLine="325"/>
        <w:spacing w:after="0" w:line="264" w:lineRule="auto"/>
        <w:rPr>
          <w:sz w:val="20"/>
          <w:szCs w:val="20"/>
          <w:color w:val="auto"/>
        </w:rPr>
      </w:pPr>
      <w:r>
        <w:rPr>
          <w:rFonts w:ascii="Arial" w:cs="Arial" w:eastAsia="Arial" w:hAnsi="Arial"/>
          <w:sz w:val="13"/>
          <w:szCs w:val="13"/>
          <w:color w:val="auto"/>
        </w:rPr>
        <w:t>This Indenture has been negotiated and executed in the English language. All certificates, reports, notices and other documents and communications delivered or delivered pursuant to this Indenture (including any modifications or supplements hereto), shall be in the English language, or accompanied by a certified English translation thereof. In the case of any document originally issued in a language other than English, the English language version of any such document shall for purposes of this Indenture, and absent manifest error, control the meaning of the matters set out therein.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10.16. </w:t>
      </w:r>
      <w:r>
        <w:rPr>
          <w:rFonts w:ascii="Arial" w:cs="Arial" w:eastAsia="Arial" w:hAnsi="Arial"/>
          <w:sz w:val="13"/>
          <w:szCs w:val="13"/>
          <w:u w:val="single" w:color="auto"/>
          <w:color w:val="auto"/>
        </w:rPr>
        <w:t>Submission to Jurisdiction; Appointment of Agent</w:t>
      </w:r>
      <w:r>
        <w:rPr>
          <w:rFonts w:ascii="Arial" w:cs="Arial" w:eastAsia="Arial" w:hAnsi="Arial"/>
          <w:sz w:val="13"/>
          <w:szCs w:val="13"/>
          <w:color w:val="auto"/>
        </w:rPr>
        <w:t>.</w:t>
      </w:r>
    </w:p>
    <w:p>
      <w:pPr>
        <w:spacing w:after="0" w:line="86" w:lineRule="exact"/>
        <w:rPr>
          <w:sz w:val="20"/>
          <w:szCs w:val="20"/>
          <w:color w:val="auto"/>
        </w:rPr>
      </w:pPr>
    </w:p>
    <w:p>
      <w:pPr>
        <w:ind w:right="20" w:firstLine="320"/>
        <w:spacing w:after="0" w:line="279" w:lineRule="auto"/>
        <w:rPr>
          <w:sz w:val="20"/>
          <w:szCs w:val="20"/>
          <w:color w:val="auto"/>
        </w:rPr>
      </w:pPr>
      <w:r>
        <w:rPr>
          <w:rFonts w:ascii="Arial" w:cs="Arial" w:eastAsia="Arial" w:hAnsi="Arial"/>
          <w:sz w:val="12"/>
          <w:szCs w:val="12"/>
          <w:color w:val="auto"/>
        </w:rPr>
        <w:t>Any suit, action or proceeding against the Company or its respective properties, assets or revenues with respect to this Indenture or the Securities (a “</w:t>
      </w:r>
      <w:r>
        <w:rPr>
          <w:rFonts w:ascii="Arial" w:cs="Arial" w:eastAsia="Arial" w:hAnsi="Arial"/>
          <w:sz w:val="12"/>
          <w:szCs w:val="12"/>
          <w:i w:val="1"/>
          <w:iCs w:val="1"/>
          <w:color w:val="auto"/>
        </w:rPr>
        <w:t>Related Proceeding</w:t>
      </w:r>
      <w:r>
        <w:rPr>
          <w:rFonts w:ascii="Arial" w:cs="Arial" w:eastAsia="Arial" w:hAnsi="Arial"/>
          <w:sz w:val="12"/>
          <w:szCs w:val="12"/>
          <w:color w:val="auto"/>
        </w:rPr>
        <w:t>”) may be brought in any state or Federal court in the Borough of Manhattan in The City of New York, New York, as the Person bringing such Related Proceeding may elect in its sole discretion. The Company hereby consents to the non-exclusive jurisdiction of each such court for the purpose of any Related Proceeding and has irrevocably waived any objection to the laying of venue of any Related Proceeding brought in any such court and to the fullest extent it may effectively do so and the defense of an inconvenient forum to the maintenance of any Related Proceeding or any such suit, action or proceeding in any such court. The Company hereby agrees that service of all writs, claims, process and summonses in any Related Proceeding brought against it in the State of New York may be made upon Schlumberger Limited, 5599 San Felipe Street, 17</w:t>
      </w:r>
      <w:r>
        <w:rPr>
          <w:rFonts w:ascii="Arial" w:cs="Arial" w:eastAsia="Arial" w:hAnsi="Arial"/>
          <w:sz w:val="10"/>
          <w:szCs w:val="10"/>
          <w:color w:val="auto"/>
        </w:rPr>
        <w:t>th</w:t>
      </w:r>
      <w:r>
        <w:rPr>
          <w:rFonts w:ascii="Arial" w:cs="Arial" w:eastAsia="Arial" w:hAnsi="Arial"/>
          <w:sz w:val="12"/>
          <w:szCs w:val="12"/>
          <w:color w:val="auto"/>
        </w:rPr>
        <w:t xml:space="preserve"> Floor, Houston, Texas 77057 Attention: Vice President Treasurer (the “</w:t>
      </w:r>
      <w:r>
        <w:rPr>
          <w:rFonts w:ascii="Arial" w:cs="Arial" w:eastAsia="Arial" w:hAnsi="Arial"/>
          <w:sz w:val="12"/>
          <w:szCs w:val="12"/>
          <w:i w:val="1"/>
          <w:iCs w:val="1"/>
          <w:color w:val="auto"/>
        </w:rPr>
        <w:t>Process Agent</w:t>
      </w:r>
      <w:r>
        <w:rPr>
          <w:rFonts w:ascii="Arial" w:cs="Arial" w:eastAsia="Arial" w:hAnsi="Arial"/>
          <w:sz w:val="12"/>
          <w:szCs w:val="12"/>
          <w:color w:val="auto"/>
        </w:rPr>
        <w:t>”). The Company irrevocably appointed the Process Agent as its agent and true and lawful attorney in fact in its name, place and stead to accept such service of any and all such writs, claims, process and summonses, and hereby agrees that the failure of the Process Agent to give any notice to it of any such service of process shall not impair or affect the validity of such service or of any judgment based thereon. The Company hereby agrees to have an office or to maintain at all times an agent with offices in the United States of America to act as Process Agent. Nothing in this Indenture shall in any way be deemed to limit the ability to serve any such writs, process or summonses in any other manner permitted by applicable law.</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10.17. </w:t>
      </w:r>
      <w:r>
        <w:rPr>
          <w:rFonts w:ascii="Arial" w:cs="Arial" w:eastAsia="Arial" w:hAnsi="Arial"/>
          <w:sz w:val="13"/>
          <w:szCs w:val="13"/>
          <w:u w:val="single" w:color="auto"/>
          <w:color w:val="auto"/>
        </w:rPr>
        <w:t>Waiver of Immunity</w:t>
      </w:r>
      <w:r>
        <w:rPr>
          <w:rFonts w:ascii="Arial" w:cs="Arial" w:eastAsia="Arial" w:hAnsi="Arial"/>
          <w:sz w:val="13"/>
          <w:szCs w:val="13"/>
          <w:color w:val="auto"/>
        </w:rPr>
        <w:t>.</w:t>
      </w:r>
    </w:p>
    <w:p>
      <w:pPr>
        <w:spacing w:after="0" w:line="86" w:lineRule="exact"/>
        <w:rPr>
          <w:sz w:val="20"/>
          <w:szCs w:val="20"/>
          <w:color w:val="auto"/>
        </w:rPr>
      </w:pPr>
    </w:p>
    <w:p>
      <w:pPr>
        <w:jc w:val="both"/>
        <w:ind w:firstLine="325"/>
        <w:spacing w:after="0" w:line="264" w:lineRule="auto"/>
        <w:rPr>
          <w:sz w:val="20"/>
          <w:szCs w:val="20"/>
          <w:color w:val="auto"/>
        </w:rPr>
      </w:pPr>
      <w:r>
        <w:rPr>
          <w:rFonts w:ascii="Arial" w:cs="Arial" w:eastAsia="Arial" w:hAnsi="Arial"/>
          <w:sz w:val="13"/>
          <w:szCs w:val="13"/>
          <w:color w:val="auto"/>
        </w:rPr>
        <w:t>To the extent that the Company has or hereafter may acquire any immunity from jurisdiction of any court or from any legal process (whether through service of notice, attachment prior to judgment, attachment in aid of execution or execution, on the ground of sovereignty or otherwise) with respect to itself or its property, it hereby irrevocably waives, to the fullest extent permitted by applicable law, such immunity with respect to its obligations under this Indenture, and, Securities.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0" w:name="page151"/>
    <w:bookmarkEnd w:id="150"/>
    <w:p>
      <w:pPr>
        <w:ind w:left="160"/>
        <w:spacing w:after="0"/>
        <w:rPr>
          <w:sz w:val="20"/>
          <w:szCs w:val="20"/>
          <w:color w:val="auto"/>
        </w:rPr>
      </w:pPr>
      <w:r>
        <w:rPr>
          <w:rFonts w:ascii="Arial" w:cs="Arial" w:eastAsia="Arial" w:hAnsi="Arial"/>
          <w:sz w:val="13"/>
          <w:szCs w:val="13"/>
          <w:color w:val="auto"/>
        </w:rPr>
        <w:t xml:space="preserve">Section 10.18. </w:t>
      </w:r>
      <w:r>
        <w:rPr>
          <w:rFonts w:ascii="Arial" w:cs="Arial" w:eastAsia="Arial" w:hAnsi="Arial"/>
          <w:sz w:val="13"/>
          <w:szCs w:val="13"/>
          <w:u w:val="single" w:color="auto"/>
          <w:color w:val="auto"/>
        </w:rPr>
        <w:t>Waiver of Jury Trial</w:t>
      </w:r>
      <w:r>
        <w:rPr>
          <w:rFonts w:ascii="Arial" w:cs="Arial" w:eastAsia="Arial" w:hAnsi="Arial"/>
          <w:sz w:val="13"/>
          <w:szCs w:val="13"/>
          <w:color w:val="auto"/>
        </w:rPr>
        <w:t>.</w:t>
      </w:r>
    </w:p>
    <w:p>
      <w:pPr>
        <w:spacing w:after="0" w:line="86" w:lineRule="exact"/>
        <w:rPr>
          <w:sz w:val="20"/>
          <w:szCs w:val="20"/>
          <w:color w:val="auto"/>
        </w:rPr>
      </w:pPr>
    </w:p>
    <w:p>
      <w:pPr>
        <w:ind w:firstLine="328"/>
        <w:spacing w:after="0" w:line="320" w:lineRule="auto"/>
        <w:rPr>
          <w:sz w:val="20"/>
          <w:szCs w:val="20"/>
          <w:color w:val="auto"/>
        </w:rPr>
      </w:pPr>
      <w:r>
        <w:rPr>
          <w:rFonts w:ascii="Arial" w:cs="Arial" w:eastAsia="Arial" w:hAnsi="Arial"/>
          <w:sz w:val="12"/>
          <w:szCs w:val="12"/>
          <w:color w:val="auto"/>
        </w:rPr>
        <w:t>EACH OF THE COMPANY AND THE TRUSTEE HERETO HEREBY IRREVOCABLY WAIVE ALL RIGHTS TO TRIAL BY JURY IN ANY ACTION, PROCEEDING OR COUNTERCLAIM (WHETHER BASED ON CONTRACT, TORT OR OTHERWISE) ARISING OUT OF OR RELATING TO THIS INDENTURE, THE SECURITIES, OR THE TRANSACTIONS CONTEMPLATED HEREBY OR THEREBY.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XI.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SUBORDINATION OF SECURITIES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11.1. </w:t>
      </w:r>
      <w:r>
        <w:rPr>
          <w:rFonts w:ascii="Arial" w:cs="Arial" w:eastAsia="Arial" w:hAnsi="Arial"/>
          <w:sz w:val="13"/>
          <w:szCs w:val="13"/>
          <w:u w:val="single" w:color="auto"/>
          <w:color w:val="auto"/>
        </w:rPr>
        <w:t>Subordination Terms</w:t>
      </w:r>
      <w:r>
        <w:rPr>
          <w:rFonts w:ascii="Arial" w:cs="Arial" w:eastAsia="Arial" w:hAnsi="Arial"/>
          <w:sz w:val="13"/>
          <w:szCs w:val="13"/>
          <w:color w:val="auto"/>
        </w:rPr>
        <w:t>.</w:t>
      </w:r>
    </w:p>
    <w:p>
      <w:pPr>
        <w:spacing w:after="0" w:line="86" w:lineRule="exact"/>
        <w:rPr>
          <w:sz w:val="20"/>
          <w:szCs w:val="20"/>
          <w:color w:val="auto"/>
        </w:rPr>
      </w:pPr>
    </w:p>
    <w:p>
      <w:pPr>
        <w:ind w:right="140" w:firstLine="325"/>
        <w:spacing w:after="0" w:line="276" w:lineRule="auto"/>
        <w:rPr>
          <w:sz w:val="20"/>
          <w:szCs w:val="20"/>
          <w:color w:val="auto"/>
        </w:rPr>
      </w:pPr>
      <w:r>
        <w:rPr>
          <w:rFonts w:ascii="Arial" w:cs="Arial" w:eastAsia="Arial" w:hAnsi="Arial"/>
          <w:sz w:val="13"/>
          <w:szCs w:val="13"/>
          <w:color w:val="auto"/>
        </w:rPr>
        <w:t>The Securities of a Series issued hereunder shall be subordinated in right of payment to the extent provided in the subordination terms with respect to the Securities of such Series that are established pursuant to Section 2.2.</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1" w:name="page152"/>
    <w:bookmarkEnd w:id="151"/>
    <w:p>
      <w:pPr>
        <w:spacing w:after="0"/>
        <w:rPr>
          <w:sz w:val="20"/>
          <w:szCs w:val="20"/>
          <w:color w:val="auto"/>
        </w:rPr>
      </w:pPr>
      <w:r>
        <w:rPr>
          <w:rFonts w:ascii="Arial" w:cs="Arial" w:eastAsia="Arial" w:hAnsi="Arial"/>
          <w:sz w:val="11"/>
          <w:szCs w:val="11"/>
          <w:color w:val="auto"/>
        </w:rPr>
        <w:t>IN WITNESS WHEREOF, the parties hereto have caused this Indenture to be duly executed as of the day and year first above written.</w:t>
      </w:r>
    </w:p>
    <w:p>
      <w:pPr>
        <w:spacing w:after="0" w:line="188"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Schlumberger N.V.</w:t>
      </w:r>
    </w:p>
    <w:p>
      <w:pPr>
        <w:spacing w:after="0" w:line="165"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10795</wp:posOffset>
            </wp:positionV>
            <wp:extent cx="2727325"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Its:</w:t>
      </w:r>
    </w:p>
    <w:p>
      <w:pPr>
        <w:spacing w:after="0" w:line="393"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Base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294640</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19"/>
          </w:cols>
          <w:pgMar w:left="540" w:top="720" w:right="1440" w:bottom="1440" w:gutter="0" w:footer="0" w:header="0"/>
        </w:sectPr>
      </w:pPr>
    </w:p>
    <w:bookmarkStart w:id="152" w:name="page153"/>
    <w:bookmarkEnd w:id="152"/>
    <w:p>
      <w:pPr>
        <w:ind w:left="4060"/>
        <w:spacing w:after="0"/>
        <w:rPr>
          <w:sz w:val="20"/>
          <w:szCs w:val="20"/>
          <w:color w:val="auto"/>
        </w:rPr>
      </w:pPr>
      <w:r>
        <w:rPr>
          <w:rFonts w:ascii="Arial" w:cs="Arial" w:eastAsia="Arial" w:hAnsi="Arial"/>
          <w:sz w:val="13"/>
          <w:szCs w:val="13"/>
          <w:color w:val="auto"/>
        </w:rPr>
        <w:t>[Trustee]</w:t>
      </w:r>
    </w:p>
    <w:p>
      <w:pPr>
        <w:spacing w:after="0" w:line="16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2738755</wp:posOffset>
            </wp:positionH>
            <wp:positionV relativeFrom="paragraph">
              <wp:posOffset>10795</wp:posOffset>
            </wp:positionV>
            <wp:extent cx="271526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15260" cy="635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Title: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Base Indenture</w:t>
      </w:r>
    </w:p>
    <w:p>
      <w:pPr>
        <w:sectPr>
          <w:pgSz w:w="11900" w:h="16838" w:orient="portrait"/>
          <w:cols w:equalWidth="0" w:num="1">
            <w:col w:w="9019"/>
          </w:cols>
          <w:pgMar w:left="1440" w:top="878" w:right="1440" w:bottom="1440" w:gutter="0" w:footer="0" w:header="0"/>
        </w:sectPr>
      </w:pPr>
    </w:p>
    <w:bookmarkStart w:id="153" w:name="page154"/>
    <w:bookmarkEnd w:id="153"/>
    <w:p>
      <w:pPr>
        <w:jc w:val="right"/>
        <w:spacing w:after="0"/>
        <w:rPr>
          <w:sz w:val="20"/>
          <w:szCs w:val="20"/>
          <w:color w:val="auto"/>
        </w:rPr>
      </w:pPr>
      <w:r>
        <w:rPr>
          <w:rFonts w:ascii="Arial" w:cs="Arial" w:eastAsia="Arial" w:hAnsi="Arial"/>
          <w:sz w:val="13"/>
          <w:szCs w:val="13"/>
          <w:b w:val="1"/>
          <w:bCs w:val="1"/>
          <w:color w:val="auto"/>
        </w:rPr>
        <w:t>Exhibit 5.1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[Letterhead of Schlumberger N.V.]</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April 7, 2011</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Schlumberger N.V.</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(Schlumberger Limited)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5599 San Felipe, 17th Floor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77056</w:t>
      </w:r>
    </w:p>
    <w:p>
      <w:pPr>
        <w:spacing w:after="0" w:line="158" w:lineRule="exact"/>
        <w:rPr>
          <w:sz w:val="20"/>
          <w:szCs w:val="20"/>
          <w:color w:val="auto"/>
        </w:rPr>
      </w:pPr>
    </w:p>
    <w:p>
      <w:pPr>
        <w:ind w:left="160"/>
        <w:spacing w:after="0"/>
        <w:tabs>
          <w:tab w:leader="none" w:pos="440" w:val="left"/>
        </w:tabs>
        <w:rPr>
          <w:sz w:val="20"/>
          <w:szCs w:val="20"/>
          <w:color w:val="auto"/>
        </w:rPr>
      </w:pPr>
      <w:r>
        <w:rPr>
          <w:rFonts w:ascii="Arial" w:cs="Arial" w:eastAsia="Arial" w:hAnsi="Arial"/>
          <w:sz w:val="13"/>
          <w:szCs w:val="13"/>
          <w:color w:val="auto"/>
        </w:rPr>
        <w:t>Re:</w:t>
      </w:r>
      <w:r>
        <w:rPr>
          <w:sz w:val="20"/>
          <w:szCs w:val="20"/>
          <w:color w:val="auto"/>
        </w:rPr>
        <w:tab/>
      </w:r>
      <w:r>
        <w:rPr>
          <w:rFonts w:ascii="Arial" w:cs="Arial" w:eastAsia="Arial" w:hAnsi="Arial"/>
          <w:sz w:val="11"/>
          <w:szCs w:val="11"/>
          <w:i w:val="1"/>
          <w:iCs w:val="1"/>
          <w:color w:val="auto"/>
        </w:rPr>
        <w:t>Schlumberger N.V. (Schlumberger Limited)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Registration Statement on Form S-3</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jc w:val="both"/>
        <w:ind w:right="40"/>
        <w:spacing w:after="0" w:line="296" w:lineRule="auto"/>
        <w:rPr>
          <w:sz w:val="20"/>
          <w:szCs w:val="20"/>
          <w:color w:val="auto"/>
        </w:rPr>
      </w:pPr>
      <w:r>
        <w:rPr>
          <w:rFonts w:ascii="Arial" w:cs="Arial" w:eastAsia="Arial" w:hAnsi="Arial"/>
          <w:sz w:val="12"/>
          <w:szCs w:val="12"/>
          <w:color w:val="auto"/>
        </w:rPr>
        <w:t>I am the Secretary and General Counsel of Schlumberger N.V. (Schlumberger Limited), a Curaçao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and am delivering this opinion to you in connection with the preparation and filing with the Securities and Exchange Commission (the “</w:t>
      </w:r>
      <w:r>
        <w:rPr>
          <w:rFonts w:ascii="Arial" w:cs="Arial" w:eastAsia="Arial" w:hAnsi="Arial"/>
          <w:sz w:val="12"/>
          <w:szCs w:val="12"/>
          <w:u w:val="single" w:color="auto"/>
          <w:color w:val="auto"/>
        </w:rPr>
        <w:t>Commission</w:t>
      </w:r>
      <w:r>
        <w:rPr>
          <w:rFonts w:ascii="Arial" w:cs="Arial" w:eastAsia="Arial" w:hAnsi="Arial"/>
          <w:sz w:val="12"/>
          <w:szCs w:val="12"/>
          <w:color w:val="auto"/>
        </w:rPr>
        <w:t>”) of a Registration Statement on Form S-3 (the “</w:t>
      </w:r>
      <w:r>
        <w:rPr>
          <w:rFonts w:ascii="Arial" w:cs="Arial" w:eastAsia="Arial" w:hAnsi="Arial"/>
          <w:sz w:val="12"/>
          <w:szCs w:val="12"/>
          <w:u w:val="single" w:color="auto"/>
          <w:color w:val="auto"/>
        </w:rPr>
        <w:t>Registration Statement</w:t>
      </w:r>
      <w:r>
        <w:rPr>
          <w:rFonts w:ascii="Arial" w:cs="Arial" w:eastAsia="Arial" w:hAnsi="Arial"/>
          <w:sz w:val="12"/>
          <w:szCs w:val="12"/>
          <w:color w:val="auto"/>
        </w:rPr>
        <w:t>”) under the Securities Act of 1933, as amended (the “</w:t>
      </w:r>
      <w:r>
        <w:rPr>
          <w:rFonts w:ascii="Arial" w:cs="Arial" w:eastAsia="Arial" w:hAnsi="Arial"/>
          <w:sz w:val="12"/>
          <w:szCs w:val="12"/>
          <w:u w:val="single" w:color="auto"/>
          <w:color w:val="auto"/>
        </w:rPr>
        <w:t>Securities Act</w:t>
      </w:r>
      <w:r>
        <w:rPr>
          <w:rFonts w:ascii="Arial" w:cs="Arial" w:eastAsia="Arial" w:hAnsi="Arial"/>
          <w:sz w:val="12"/>
          <w:szCs w:val="12"/>
          <w:color w:val="auto"/>
        </w:rPr>
        <w:t>”), relating to the registration under the Securities Act and the proposed issuance and sale from time to time pursuant to Rule 415 under the Securities Act, together or separately and in one or more series (if applicable) of:</w:t>
      </w:r>
    </w:p>
    <w:p>
      <w:pPr>
        <w:spacing w:after="0" w:line="40" w:lineRule="exact"/>
        <w:rPr>
          <w:sz w:val="20"/>
          <w:szCs w:val="20"/>
          <w:color w:val="auto"/>
        </w:rPr>
      </w:pPr>
    </w:p>
    <w:p>
      <w:pPr>
        <w:ind w:left="480" w:hanging="154"/>
        <w:spacing w:after="0"/>
        <w:tabs>
          <w:tab w:leader="none" w:pos="4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the Company’s unsecured debt securities, which may either be senior debt securities or subordinated debt securities;</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guarantees of debt securities;</w:t>
      </w:r>
    </w:p>
    <w:p>
      <w:pPr>
        <w:spacing w:after="0" w:line="86" w:lineRule="exact"/>
        <w:rPr>
          <w:rFonts w:ascii="Arial" w:cs="Arial" w:eastAsia="Arial" w:hAnsi="Arial"/>
          <w:sz w:val="13"/>
          <w:szCs w:val="13"/>
          <w:color w:val="auto"/>
        </w:rPr>
      </w:pPr>
    </w:p>
    <w:p>
      <w:pPr>
        <w:ind w:left="560" w:hanging="234"/>
        <w:spacing w:after="0"/>
        <w:tabs>
          <w:tab w:leader="none" w:pos="56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shares of the Company’s common stock, par value $0.01 per share (the “</w:t>
      </w:r>
      <w:r>
        <w:rPr>
          <w:rFonts w:ascii="Arial" w:cs="Arial" w:eastAsia="Arial" w:hAnsi="Arial"/>
          <w:sz w:val="13"/>
          <w:szCs w:val="13"/>
          <w:u w:val="single" w:color="auto"/>
          <w:color w:val="auto"/>
        </w:rPr>
        <w:t>Common Stock</w:t>
      </w:r>
      <w:r>
        <w:rPr>
          <w:rFonts w:ascii="Arial" w:cs="Arial" w:eastAsia="Arial" w:hAnsi="Arial"/>
          <w:sz w:val="13"/>
          <w:szCs w:val="13"/>
          <w:color w:val="auto"/>
        </w:rPr>
        <w:t>”).</w:t>
      </w:r>
    </w:p>
    <w:p>
      <w:pPr>
        <w:spacing w:after="0" w:line="86" w:lineRule="exact"/>
        <w:rPr>
          <w:sz w:val="20"/>
          <w:szCs w:val="20"/>
          <w:color w:val="auto"/>
        </w:rPr>
      </w:pPr>
    </w:p>
    <w:p>
      <w:pPr>
        <w:ind w:right="100"/>
        <w:spacing w:after="0" w:line="289" w:lineRule="auto"/>
        <w:rPr>
          <w:sz w:val="20"/>
          <w:szCs w:val="20"/>
          <w:color w:val="auto"/>
        </w:rPr>
      </w:pPr>
      <w:r>
        <w:rPr>
          <w:rFonts w:ascii="Arial" w:cs="Arial" w:eastAsia="Arial" w:hAnsi="Arial"/>
          <w:sz w:val="12"/>
          <w:szCs w:val="12"/>
          <w:color w:val="auto"/>
        </w:rPr>
        <w:t>In arriving at the opinion expressed below, I have examined originals, or copies certified or otherwise identified to my satisfaction as being true and complete copies of the originals, of the Articles of Incorporation and Amended and Restated Bylaws of the Company, each as amended to date, and such other documents, corporate records, certificates of officers of the Company and of public officials and other instruments as I have deemed necessary or advisable to enable me to render this opinion. In my examination, I have assumed the genuineness of all signatures not witnessed by me, the legal capacity and competency of all natural persons, the authenticity of all documents submitted to me as originals and the conformity to original documents of all documents submitted to me as copies. As to any facts material to this opinion, I have relied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260350</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54" w:name="page155"/>
    <w:bookmarkEnd w:id="154"/>
    <w:p>
      <w:pPr>
        <w:spacing w:after="0"/>
        <w:rPr>
          <w:sz w:val="20"/>
          <w:szCs w:val="20"/>
          <w:color w:val="auto"/>
        </w:rPr>
      </w:pPr>
      <w:r>
        <w:rPr>
          <w:rFonts w:ascii="Arial" w:cs="Arial" w:eastAsia="Arial" w:hAnsi="Arial"/>
          <w:sz w:val="13"/>
          <w:szCs w:val="13"/>
          <w:color w:val="auto"/>
        </w:rPr>
        <w:t>the extent I deemed appropriate and without independent investigation upon statements and representations of officers and other representatives of the Company and others.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Based on the foregoing and in reliance thereon, and subject to the assumptions, exceptions, qualifications and limitations set forth herein, I am of the opinion that with respect to shares of Common Stock, when:</w:t>
      </w:r>
    </w:p>
    <w:p>
      <w:pPr>
        <w:spacing w:after="0" w:line="98" w:lineRule="exact"/>
        <w:rPr>
          <w:sz w:val="20"/>
          <w:szCs w:val="20"/>
          <w:color w:val="auto"/>
        </w:rPr>
      </w:pPr>
    </w:p>
    <w:p>
      <w:pPr>
        <w:ind w:left="1140" w:hanging="453"/>
        <w:spacing w:after="0"/>
        <w:tabs>
          <w:tab w:leader="none" w:pos="11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Board of Directors has taken all necessary corporate action to approve the issuance of and the terms of the offering of such shares of Common Stock and related matters, and</w:t>
      </w:r>
    </w:p>
    <w:p>
      <w:pPr>
        <w:spacing w:after="0" w:line="96" w:lineRule="exact"/>
        <w:rPr>
          <w:rFonts w:ascii="Arial" w:cs="Arial" w:eastAsia="Arial" w:hAnsi="Arial"/>
          <w:sz w:val="13"/>
          <w:szCs w:val="13"/>
          <w:color w:val="auto"/>
        </w:rPr>
      </w:pPr>
    </w:p>
    <w:p>
      <w:pPr>
        <w:ind w:left="1140" w:hanging="453"/>
        <w:spacing w:after="0" w:line="276" w:lineRule="auto"/>
        <w:tabs>
          <w:tab w:leader="none" w:pos="11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such shares of Common Stock have been duly executed (in the case of certificated shares) and delivered in accordance with the applicable definitive purchase, underwriting or similar agreement for the consideration provided for therein,</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such shares of Common Stock will be validly issued, fully paid and non-assessable.</w:t>
      </w:r>
    </w:p>
    <w:p>
      <w:pPr>
        <w:spacing w:after="0" w:line="86" w:lineRule="exact"/>
        <w:rPr>
          <w:sz w:val="20"/>
          <w:szCs w:val="20"/>
          <w:color w:val="auto"/>
        </w:rPr>
      </w:pPr>
    </w:p>
    <w:p>
      <w:pPr>
        <w:ind w:right="40"/>
        <w:spacing w:after="0" w:line="320" w:lineRule="auto"/>
        <w:rPr>
          <w:sz w:val="20"/>
          <w:szCs w:val="20"/>
          <w:color w:val="auto"/>
        </w:rPr>
      </w:pPr>
      <w:r>
        <w:rPr>
          <w:rFonts w:ascii="Arial" w:cs="Arial" w:eastAsia="Arial" w:hAnsi="Arial"/>
          <w:sz w:val="12"/>
          <w:szCs w:val="12"/>
          <w:color w:val="auto"/>
        </w:rPr>
        <w:t>I am admitted to practice in the State of Texas. I am not admitted to practice in, nor do I hold myself out as an expert on the laws of, Curacao. I have, however, consulted with the law firm of STvB Advocaten (Curaçao) N.V., counsel qualified to practice in Curacao. Insofar as the opinion expressed above involves conclusions as to matters governed by the laws of Curacao, I am relying on the opinion of such counsel.</w:t>
      </w:r>
    </w:p>
    <w:p>
      <w:pPr>
        <w:spacing w:after="0" w:line="25" w:lineRule="exact"/>
        <w:rPr>
          <w:sz w:val="20"/>
          <w:szCs w:val="20"/>
          <w:color w:val="auto"/>
        </w:rPr>
      </w:pPr>
    </w:p>
    <w:p>
      <w:pPr>
        <w:ind w:right="120"/>
        <w:spacing w:after="0" w:line="264" w:lineRule="auto"/>
        <w:rPr>
          <w:sz w:val="20"/>
          <w:szCs w:val="20"/>
          <w:color w:val="auto"/>
        </w:rPr>
      </w:pPr>
      <w:r>
        <w:rPr>
          <w:rFonts w:ascii="Arial" w:cs="Arial" w:eastAsia="Arial" w:hAnsi="Arial"/>
          <w:sz w:val="13"/>
          <w:szCs w:val="13"/>
          <w:color w:val="auto"/>
        </w:rPr>
        <w:t>I consent to the filing of this opinion as an exhibit to the Registration Statement, and I further consent to the use of my name under the caption “Validity of the Securities” in the Registration Statement and the prospectus that forms a part thereof. In giving these consents, I do not thereby admit that I am within the category of persons whose consent is required under Section 7 of the Securities Act or the rules and regulations of the Commission promulgated thereunder.</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Very truly yours,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 Alexander C. Juden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460"/>
          </w:cols>
          <w:pgMar w:left="220" w:top="720" w:right="219" w:bottom="1440" w:gutter="0" w:footer="0" w:header="0"/>
        </w:sectPr>
      </w:pPr>
    </w:p>
    <w:bookmarkStart w:id="155" w:name="page156"/>
    <w:bookmarkEnd w:id="155"/>
    <w:p>
      <w:pPr>
        <w:jc w:val="right"/>
        <w:spacing w:after="0"/>
        <w:rPr>
          <w:sz w:val="20"/>
          <w:szCs w:val="20"/>
          <w:color w:val="auto"/>
        </w:rPr>
      </w:pPr>
      <w:r>
        <w:rPr>
          <w:rFonts w:ascii="Arial" w:cs="Arial" w:eastAsia="Arial" w:hAnsi="Arial"/>
          <w:sz w:val="13"/>
          <w:szCs w:val="13"/>
          <w:b w:val="1"/>
          <w:bCs w:val="1"/>
          <w:color w:val="auto"/>
        </w:rPr>
        <w:t>Exhibit 5.2</w:t>
      </w:r>
    </w:p>
    <w:p>
      <w:pPr>
        <w:spacing w:after="0" w:line="169" w:lineRule="exact"/>
        <w:rPr>
          <w:sz w:val="20"/>
          <w:szCs w:val="20"/>
          <w:color w:val="auto"/>
        </w:rPr>
      </w:pPr>
    </w:p>
    <w:p>
      <w:pPr>
        <w:ind w:left="8020"/>
        <w:spacing w:after="0"/>
        <w:rPr>
          <w:sz w:val="20"/>
          <w:szCs w:val="20"/>
          <w:color w:val="auto"/>
        </w:rPr>
      </w:pPr>
      <w:r>
        <w:rPr>
          <w:rFonts w:ascii="Arial" w:cs="Arial" w:eastAsia="Arial" w:hAnsi="Arial"/>
          <w:sz w:val="13"/>
          <w:szCs w:val="13"/>
          <w:color w:val="auto"/>
        </w:rPr>
        <w:t>Gibson, Dunn &amp; Crutcher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1204595" cy="162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04595" cy="162560"/>
                    </a:xfrm>
                    <a:prstGeom prst="rect">
                      <a:avLst/>
                    </a:prstGeom>
                    <a:noFill/>
                  </pic:spPr>
                </pic:pic>
              </a:graphicData>
            </a:graphic>
          </wp:anchor>
        </w:drawing>
      </w:r>
    </w:p>
    <w:p>
      <w:pPr>
        <w:spacing w:after="0" w:line="145" w:lineRule="exact"/>
        <w:rPr>
          <w:sz w:val="20"/>
          <w:szCs w:val="20"/>
          <w:color w:val="auto"/>
        </w:rPr>
      </w:pPr>
    </w:p>
    <w:p>
      <w:pPr>
        <w:ind w:left="8020"/>
        <w:spacing w:after="0"/>
        <w:rPr>
          <w:sz w:val="20"/>
          <w:szCs w:val="20"/>
          <w:color w:val="auto"/>
        </w:rPr>
      </w:pPr>
      <w:r>
        <w:rPr>
          <w:rFonts w:ascii="Arial" w:cs="Arial" w:eastAsia="Arial" w:hAnsi="Arial"/>
          <w:sz w:val="13"/>
          <w:szCs w:val="13"/>
          <w:color w:val="auto"/>
        </w:rPr>
        <w:t>200 Park Avenue</w:t>
      </w:r>
    </w:p>
    <w:p>
      <w:pPr>
        <w:spacing w:after="0" w:line="15" w:lineRule="exact"/>
        <w:rPr>
          <w:sz w:val="20"/>
          <w:szCs w:val="20"/>
          <w:color w:val="auto"/>
        </w:rPr>
      </w:pPr>
    </w:p>
    <w:p>
      <w:pPr>
        <w:ind w:left="8020"/>
        <w:spacing w:after="0"/>
        <w:rPr>
          <w:sz w:val="20"/>
          <w:szCs w:val="20"/>
          <w:color w:val="auto"/>
        </w:rPr>
      </w:pPr>
      <w:r>
        <w:rPr>
          <w:rFonts w:ascii="Arial" w:cs="Arial" w:eastAsia="Arial" w:hAnsi="Arial"/>
          <w:sz w:val="13"/>
          <w:szCs w:val="13"/>
          <w:color w:val="auto"/>
        </w:rPr>
        <w:t>New York, NY 10166-0193</w:t>
      </w:r>
    </w:p>
    <w:p>
      <w:pPr>
        <w:spacing w:after="0" w:line="8" w:lineRule="exact"/>
        <w:rPr>
          <w:sz w:val="20"/>
          <w:szCs w:val="20"/>
          <w:color w:val="auto"/>
        </w:rPr>
      </w:pPr>
    </w:p>
    <w:p>
      <w:pPr>
        <w:ind w:left="8020"/>
        <w:spacing w:after="0"/>
        <w:rPr>
          <w:sz w:val="20"/>
          <w:szCs w:val="20"/>
          <w:color w:val="auto"/>
        </w:rPr>
      </w:pPr>
      <w:r>
        <w:rPr>
          <w:rFonts w:ascii="Arial" w:cs="Arial" w:eastAsia="Arial" w:hAnsi="Arial"/>
          <w:sz w:val="13"/>
          <w:szCs w:val="13"/>
          <w:color w:val="auto"/>
        </w:rPr>
        <w:t>Tel 212.351.4000</w:t>
      </w:r>
    </w:p>
    <w:p>
      <w:pPr>
        <w:spacing w:after="0" w:line="8" w:lineRule="exact"/>
        <w:rPr>
          <w:sz w:val="20"/>
          <w:szCs w:val="20"/>
          <w:color w:val="auto"/>
        </w:rPr>
      </w:pPr>
    </w:p>
    <w:p>
      <w:pPr>
        <w:ind w:left="8020"/>
        <w:spacing w:after="0"/>
        <w:rPr>
          <w:sz w:val="20"/>
          <w:szCs w:val="20"/>
          <w:color w:val="auto"/>
        </w:rPr>
      </w:pPr>
      <w:r>
        <w:rPr>
          <w:rFonts w:ascii="Arial" w:cs="Arial" w:eastAsia="Arial" w:hAnsi="Arial"/>
          <w:sz w:val="13"/>
          <w:szCs w:val="13"/>
          <w:color w:val="auto"/>
        </w:rPr>
        <w:t>www.gibsondunn.com</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April 7, 2011</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Schlumberger N.V.</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(Schlumberger Limited)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5599 San Felipe, 17th Floor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77056</w:t>
      </w:r>
    </w:p>
    <w:p>
      <w:pPr>
        <w:spacing w:after="0" w:line="158" w:lineRule="exact"/>
        <w:rPr>
          <w:sz w:val="20"/>
          <w:szCs w:val="20"/>
          <w:color w:val="auto"/>
        </w:rPr>
      </w:pPr>
    </w:p>
    <w:p>
      <w:pPr>
        <w:ind w:left="160"/>
        <w:spacing w:after="0"/>
        <w:tabs>
          <w:tab w:leader="none" w:pos="440" w:val="left"/>
        </w:tabs>
        <w:rPr>
          <w:sz w:val="20"/>
          <w:szCs w:val="20"/>
          <w:color w:val="auto"/>
        </w:rPr>
      </w:pPr>
      <w:r>
        <w:rPr>
          <w:rFonts w:ascii="Arial" w:cs="Arial" w:eastAsia="Arial" w:hAnsi="Arial"/>
          <w:sz w:val="13"/>
          <w:szCs w:val="13"/>
          <w:color w:val="auto"/>
        </w:rPr>
        <w:t>Re:</w:t>
      </w:r>
      <w:r>
        <w:rPr>
          <w:sz w:val="20"/>
          <w:szCs w:val="20"/>
          <w:color w:val="auto"/>
        </w:rPr>
        <w:tab/>
      </w:r>
      <w:r>
        <w:rPr>
          <w:rFonts w:ascii="Arial" w:cs="Arial" w:eastAsia="Arial" w:hAnsi="Arial"/>
          <w:sz w:val="11"/>
          <w:szCs w:val="11"/>
          <w:i w:val="1"/>
          <w:iCs w:val="1"/>
          <w:color w:val="auto"/>
        </w:rPr>
        <w:t>Schlumberger N.V. (Schlumberger Limited)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Registration Statement on Form S-3</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right="160"/>
        <w:spacing w:after="0" w:line="296" w:lineRule="auto"/>
        <w:rPr>
          <w:sz w:val="20"/>
          <w:szCs w:val="20"/>
          <w:color w:val="auto"/>
        </w:rPr>
      </w:pPr>
      <w:r>
        <w:rPr>
          <w:rFonts w:ascii="Arial" w:cs="Arial" w:eastAsia="Arial" w:hAnsi="Arial"/>
          <w:sz w:val="12"/>
          <w:szCs w:val="12"/>
          <w:color w:val="auto"/>
        </w:rPr>
        <w:t>We have acted as counsel to of Schlumberger N.V. (Schlumberger Limited), a Curaçao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in connection with the preparation and filing with the Securities and Exchange Commission (the “</w:t>
      </w:r>
      <w:r>
        <w:rPr>
          <w:rFonts w:ascii="Arial" w:cs="Arial" w:eastAsia="Arial" w:hAnsi="Arial"/>
          <w:sz w:val="12"/>
          <w:szCs w:val="12"/>
          <w:u w:val="single" w:color="auto"/>
          <w:color w:val="auto"/>
        </w:rPr>
        <w:t>Commission</w:t>
      </w:r>
      <w:r>
        <w:rPr>
          <w:rFonts w:ascii="Arial" w:cs="Arial" w:eastAsia="Arial" w:hAnsi="Arial"/>
          <w:sz w:val="12"/>
          <w:szCs w:val="12"/>
          <w:color w:val="auto"/>
        </w:rPr>
        <w:t>”) of a Registration Statement on Form S-3 (the “</w:t>
      </w:r>
      <w:r>
        <w:rPr>
          <w:rFonts w:ascii="Arial" w:cs="Arial" w:eastAsia="Arial" w:hAnsi="Arial"/>
          <w:sz w:val="12"/>
          <w:szCs w:val="12"/>
          <w:u w:val="single" w:color="auto"/>
          <w:color w:val="auto"/>
        </w:rPr>
        <w:t>Registration Statement</w:t>
      </w:r>
      <w:r>
        <w:rPr>
          <w:rFonts w:ascii="Arial" w:cs="Arial" w:eastAsia="Arial" w:hAnsi="Arial"/>
          <w:sz w:val="12"/>
          <w:szCs w:val="12"/>
          <w:color w:val="auto"/>
        </w:rPr>
        <w:t>”) under the Securities Act of 1933, as amended (the “</w:t>
      </w:r>
      <w:r>
        <w:rPr>
          <w:rFonts w:ascii="Arial" w:cs="Arial" w:eastAsia="Arial" w:hAnsi="Arial"/>
          <w:sz w:val="12"/>
          <w:szCs w:val="12"/>
          <w:u w:val="single" w:color="auto"/>
          <w:color w:val="auto"/>
        </w:rPr>
        <w:t>Securities Act</w:t>
      </w:r>
      <w:r>
        <w:rPr>
          <w:rFonts w:ascii="Arial" w:cs="Arial" w:eastAsia="Arial" w:hAnsi="Arial"/>
          <w:sz w:val="12"/>
          <w:szCs w:val="12"/>
          <w:color w:val="auto"/>
        </w:rPr>
        <w:t>”), relating to the registration under the Securities Act and the proposed issuance and sale from time to time pursuant to Rule 415 under the Securities Act, together or separately and in one or more series (if applicable) of:</w:t>
      </w:r>
    </w:p>
    <w:p>
      <w:pPr>
        <w:spacing w:after="0" w:line="40" w:lineRule="exact"/>
        <w:rPr>
          <w:sz w:val="20"/>
          <w:szCs w:val="20"/>
          <w:color w:val="auto"/>
        </w:rPr>
      </w:pPr>
    </w:p>
    <w:p>
      <w:pPr>
        <w:ind w:right="240" w:firstLine="326"/>
        <w:spacing w:after="0" w:line="276" w:lineRule="auto"/>
        <w:tabs>
          <w:tab w:leader="none" w:pos="484" w:val="left"/>
        </w:tabs>
        <w:numPr>
          <w:ilvl w:val="0"/>
          <w:numId w:val="109"/>
        </w:numPr>
        <w:rPr>
          <w:rFonts w:ascii="Arial" w:cs="Arial" w:eastAsia="Arial" w:hAnsi="Arial"/>
          <w:sz w:val="13"/>
          <w:szCs w:val="13"/>
          <w:color w:val="auto"/>
        </w:rPr>
      </w:pPr>
      <w:r>
        <w:rPr>
          <w:rFonts w:ascii="Arial" w:cs="Arial" w:eastAsia="Arial" w:hAnsi="Arial"/>
          <w:sz w:val="13"/>
          <w:szCs w:val="13"/>
          <w:color w:val="auto"/>
        </w:rPr>
        <w:t>the Company’s unsecured debt securities, which may either be senior debt securities (“</w:t>
      </w:r>
      <w:r>
        <w:rPr>
          <w:rFonts w:ascii="Arial" w:cs="Arial" w:eastAsia="Arial" w:hAnsi="Arial"/>
          <w:sz w:val="13"/>
          <w:szCs w:val="13"/>
          <w:u w:val="single" w:color="auto"/>
          <w:color w:val="auto"/>
        </w:rPr>
        <w:t>Senior Debt Securities</w:t>
      </w:r>
      <w:r>
        <w:rPr>
          <w:rFonts w:ascii="Arial" w:cs="Arial" w:eastAsia="Arial" w:hAnsi="Arial"/>
          <w:sz w:val="13"/>
          <w:szCs w:val="13"/>
          <w:color w:val="auto"/>
        </w:rPr>
        <w:t>”) or subordinated debt securities (the “</w:t>
      </w:r>
      <w:r>
        <w:rPr>
          <w:rFonts w:ascii="Arial" w:cs="Arial" w:eastAsia="Arial" w:hAnsi="Arial"/>
          <w:sz w:val="13"/>
          <w:szCs w:val="13"/>
          <w:u w:val="single" w:color="auto"/>
          <w:color w:val="auto"/>
        </w:rPr>
        <w:t>Subordinated Debt Securities</w:t>
      </w:r>
      <w:r>
        <w:rPr>
          <w:rFonts w:ascii="Arial" w:cs="Arial" w:eastAsia="Arial" w:hAnsi="Arial"/>
          <w:sz w:val="13"/>
          <w:szCs w:val="13"/>
          <w:color w:val="auto"/>
        </w:rPr>
        <w:t>” and, collectively with the Senior Debt Securities the “</w:t>
      </w:r>
      <w:r>
        <w:rPr>
          <w:rFonts w:ascii="Arial" w:cs="Arial" w:eastAsia="Arial" w:hAnsi="Arial"/>
          <w:sz w:val="13"/>
          <w:szCs w:val="13"/>
          <w:u w:val="single" w:color="auto"/>
          <w:color w:val="auto"/>
        </w:rPr>
        <w:t>Debt Securities</w:t>
      </w:r>
      <w:r>
        <w:rPr>
          <w:rFonts w:ascii="Arial" w:cs="Arial" w:eastAsia="Arial" w:hAnsi="Arial"/>
          <w:sz w:val="13"/>
          <w:szCs w:val="13"/>
          <w:color w:val="auto"/>
        </w:rPr>
        <w:t>”);</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guarantees of debt securities (the “</w:t>
      </w:r>
      <w:r>
        <w:rPr>
          <w:rFonts w:ascii="Arial" w:cs="Arial" w:eastAsia="Arial" w:hAnsi="Arial"/>
          <w:sz w:val="13"/>
          <w:szCs w:val="13"/>
          <w:u w:val="single" w:color="auto"/>
          <w:color w:val="auto"/>
        </w:rPr>
        <w:t>Guarantees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60" w:hanging="234"/>
        <w:spacing w:after="0"/>
        <w:tabs>
          <w:tab w:leader="none" w:pos="56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shares of the Company’s common stock, par value $0.01 per share (the “</w:t>
      </w:r>
      <w:r>
        <w:rPr>
          <w:rFonts w:ascii="Arial" w:cs="Arial" w:eastAsia="Arial" w:hAnsi="Arial"/>
          <w:sz w:val="13"/>
          <w:szCs w:val="13"/>
          <w:u w:val="single" w:color="auto"/>
          <w:color w:val="auto"/>
        </w:rPr>
        <w:t>Common Stock</w:t>
      </w:r>
      <w:r>
        <w:rPr>
          <w:rFonts w:ascii="Arial" w:cs="Arial" w:eastAsia="Arial" w:hAnsi="Arial"/>
          <w:sz w:val="13"/>
          <w:szCs w:val="13"/>
          <w:color w:val="auto"/>
        </w:rPr>
        <w:t>”).</w:t>
      </w:r>
    </w:p>
    <w:p>
      <w:pPr>
        <w:spacing w:after="0" w:line="86"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The Debt Securities, Guarantees and Common Stock, are collectively referred to herein as the “</w:t>
      </w:r>
      <w:r>
        <w:rPr>
          <w:rFonts w:ascii="Arial" w:cs="Arial" w:eastAsia="Arial" w:hAnsi="Arial"/>
          <w:sz w:val="12"/>
          <w:szCs w:val="12"/>
          <w:u w:val="single" w:color="auto"/>
          <w:color w:val="auto"/>
        </w:rPr>
        <w:t>Securities</w:t>
      </w:r>
      <w:r>
        <w:rPr>
          <w:rFonts w:ascii="Arial" w:cs="Arial" w:eastAsia="Arial" w:hAnsi="Arial"/>
          <w:sz w:val="12"/>
          <w:szCs w:val="12"/>
          <w:color w:val="auto"/>
        </w:rPr>
        <w:t>.” Any Senior Debt Securities are to be issued under an indenture to be entered into between the Company and a financial institution to be named at the time such indenture is executed (the “</w:t>
      </w:r>
      <w:r>
        <w:rPr>
          <w:rFonts w:ascii="Arial" w:cs="Arial" w:eastAsia="Arial" w:hAnsi="Arial"/>
          <w:sz w:val="12"/>
          <w:szCs w:val="12"/>
          <w:u w:val="single" w:color="auto"/>
          <w:color w:val="auto"/>
        </w:rPr>
        <w:t>Trust Company</w:t>
      </w:r>
      <w:r>
        <w:rPr>
          <w:rFonts w:ascii="Arial" w:cs="Arial" w:eastAsia="Arial" w:hAnsi="Arial"/>
          <w:sz w:val="12"/>
          <w:szCs w:val="12"/>
          <w:color w:val="auto"/>
        </w:rPr>
        <w:t>”), as indenture trustee (the “</w:t>
      </w:r>
      <w:r>
        <w:rPr>
          <w:rFonts w:ascii="Arial" w:cs="Arial" w:eastAsia="Arial" w:hAnsi="Arial"/>
          <w:sz w:val="12"/>
          <w:szCs w:val="12"/>
          <w:u w:val="single" w:color="auto"/>
          <w:color w:val="auto"/>
        </w:rPr>
        <w:t>Senior Base Indenture</w:t>
      </w:r>
      <w:r>
        <w:rPr>
          <w:rFonts w:ascii="Arial" w:cs="Arial" w:eastAsia="Arial" w:hAnsi="Arial"/>
          <w:sz w:val="12"/>
          <w:szCs w:val="12"/>
          <w:color w:val="auto"/>
        </w:rPr>
        <w:t>”). Any Subordinated Debt Securities are to be issued under an indenture to be entered into between the Company and Trust Company, as indenture trustee (the “</w:t>
      </w:r>
      <w:r>
        <w:rPr>
          <w:rFonts w:ascii="Arial" w:cs="Arial" w:eastAsia="Arial" w:hAnsi="Arial"/>
          <w:sz w:val="12"/>
          <w:szCs w:val="12"/>
          <w:u w:val="single" w:color="auto"/>
          <w:color w:val="auto"/>
        </w:rPr>
        <w:t>Subordinated Base Indenture</w:t>
      </w:r>
      <w:r>
        <w:rPr>
          <w:rFonts w:ascii="Arial" w:cs="Arial" w:eastAsia="Arial" w:hAnsi="Arial"/>
          <w:sz w:val="12"/>
          <w:szCs w:val="12"/>
          <w:color w:val="auto"/>
        </w:rPr>
        <w:t>” and together with the Senior Base Indenture, the “</w:t>
      </w:r>
      <w:r>
        <w:rPr>
          <w:rFonts w:ascii="Arial" w:cs="Arial" w:eastAsia="Arial" w:hAnsi="Arial"/>
          <w:sz w:val="12"/>
          <w:szCs w:val="12"/>
          <w:u w:val="single" w:color="auto"/>
          <w:color w:val="auto"/>
        </w:rPr>
        <w:t>Base Indentures</w:t>
      </w:r>
      <w:r>
        <w:rPr>
          <w:rFonts w:ascii="Arial" w:cs="Arial" w:eastAsia="Arial" w:hAnsi="Arial"/>
          <w:sz w:val="12"/>
          <w:szCs w:val="12"/>
          <w:color w:val="auto"/>
        </w:rPr>
        <w:t>”).</w:t>
      </w:r>
    </w:p>
    <w:p>
      <w:pPr>
        <w:spacing w:after="0" w:line="40" w:lineRule="exact"/>
        <w:rPr>
          <w:sz w:val="20"/>
          <w:szCs w:val="20"/>
          <w:color w:val="auto"/>
        </w:rPr>
      </w:pPr>
    </w:p>
    <w:p>
      <w:pPr>
        <w:jc w:val="both"/>
        <w:ind w:right="100"/>
        <w:spacing w:after="0" w:line="264" w:lineRule="auto"/>
        <w:rPr>
          <w:sz w:val="20"/>
          <w:szCs w:val="20"/>
          <w:color w:val="auto"/>
        </w:rPr>
      </w:pPr>
      <w:r>
        <w:rPr>
          <w:rFonts w:ascii="Arial" w:cs="Arial" w:eastAsia="Arial" w:hAnsi="Arial"/>
          <w:sz w:val="13"/>
          <w:szCs w:val="13"/>
          <w:color w:val="auto"/>
        </w:rPr>
        <w:t>In arriving at the opinions expressed below, we have examined originals, or copies certified or otherwise identified to our satisfaction as being true and complete copies of the originals, of forms of the Base Indentures, forms of the Debt Securities and such other documents, corporate records, certificates of officers of the Company and of public officials and other instruments as we have deemed necessary or advisable to enable us to render these opinions. In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56" w:name="page157"/>
    <w:bookmarkEnd w:id="156"/>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139065</wp:posOffset>
            </wp:positionH>
            <wp:positionV relativeFrom="page">
              <wp:posOffset>463550</wp:posOffset>
            </wp:positionV>
            <wp:extent cx="1204595" cy="162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1204595" cy="162560"/>
                    </a:xfrm>
                    <a:prstGeom prst="rect">
                      <a:avLst/>
                    </a:prstGeom>
                    <a:noFill/>
                  </pic:spPr>
                </pic:pic>
              </a:graphicData>
            </a:graphic>
          </wp:anchor>
        </w:drawing>
        <w:t>April 7, 2011</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Page 2</w:t>
      </w:r>
    </w:p>
    <w:p>
      <w:pPr>
        <w:spacing w:after="0" w:line="79" w:lineRule="exact"/>
        <w:rPr>
          <w:sz w:val="20"/>
          <w:szCs w:val="20"/>
          <w:color w:val="auto"/>
        </w:rPr>
      </w:pPr>
    </w:p>
    <w:p>
      <w:pPr>
        <w:ind w:right="240"/>
        <w:spacing w:after="0" w:line="264" w:lineRule="auto"/>
        <w:rPr>
          <w:sz w:val="20"/>
          <w:szCs w:val="20"/>
          <w:color w:val="auto"/>
        </w:rPr>
      </w:pPr>
      <w:r>
        <w:rPr>
          <w:rFonts w:ascii="Arial" w:cs="Arial" w:eastAsia="Arial" w:hAnsi="Arial"/>
          <w:sz w:val="13"/>
          <w:szCs w:val="13"/>
          <w:color w:val="auto"/>
        </w:rPr>
        <w:t>examination, we have assumed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We have assumed without independent investigation that:</w:t>
      </w:r>
    </w:p>
    <w:p>
      <w:pPr>
        <w:spacing w:after="0" w:line="86" w:lineRule="exact"/>
        <w:rPr>
          <w:sz w:val="20"/>
          <w:szCs w:val="20"/>
          <w:color w:val="auto"/>
        </w:rPr>
      </w:pPr>
    </w:p>
    <w:p>
      <w:pPr>
        <w:ind w:firstLine="326"/>
        <w:spacing w:after="0" w:line="276" w:lineRule="auto"/>
        <w:tabs>
          <w:tab w:leader="none" w:pos="484" w:val="left"/>
        </w:tabs>
        <w:numPr>
          <w:ilvl w:val="0"/>
          <w:numId w:val="110"/>
        </w:numPr>
        <w:rPr>
          <w:rFonts w:ascii="Arial" w:cs="Arial" w:eastAsia="Arial" w:hAnsi="Arial"/>
          <w:sz w:val="13"/>
          <w:szCs w:val="13"/>
          <w:color w:val="auto"/>
        </w:rPr>
      </w:pPr>
      <w:r>
        <w:rPr>
          <w:rFonts w:ascii="Arial" w:cs="Arial" w:eastAsia="Arial" w:hAnsi="Arial"/>
          <w:sz w:val="13"/>
          <w:szCs w:val="13"/>
          <w:color w:val="auto"/>
        </w:rPr>
        <w:t>at the time any Securities are sold pursuant to the Registration Statement (the “</w:t>
      </w:r>
      <w:r>
        <w:rPr>
          <w:rFonts w:ascii="Arial" w:cs="Arial" w:eastAsia="Arial" w:hAnsi="Arial"/>
          <w:sz w:val="13"/>
          <w:szCs w:val="13"/>
          <w:u w:val="single" w:color="auto"/>
          <w:color w:val="auto"/>
        </w:rPr>
        <w:t>Relevant Time</w:t>
      </w:r>
      <w:r>
        <w:rPr>
          <w:rFonts w:ascii="Arial" w:cs="Arial" w:eastAsia="Arial" w:hAnsi="Arial"/>
          <w:sz w:val="13"/>
          <w:szCs w:val="13"/>
          <w:color w:val="auto"/>
        </w:rPr>
        <w:t>”), the Registration Statement and any supplements and amendments thereto (including post-effective amendments) will be effective and will comply with all applicable laws;</w:t>
      </w:r>
    </w:p>
    <w:p>
      <w:pPr>
        <w:spacing w:after="0" w:line="49" w:lineRule="exact"/>
        <w:rPr>
          <w:rFonts w:ascii="Arial" w:cs="Arial" w:eastAsia="Arial" w:hAnsi="Arial"/>
          <w:sz w:val="13"/>
          <w:szCs w:val="13"/>
          <w:color w:val="auto"/>
        </w:rPr>
      </w:pPr>
    </w:p>
    <w:p>
      <w:pPr>
        <w:ind w:right="500" w:firstLine="326"/>
        <w:spacing w:after="0" w:line="276" w:lineRule="auto"/>
        <w:tabs>
          <w:tab w:leader="none" w:pos="5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at the Relevant Time, a prospectus supplement will have been prepared and filed with the Commission describing the Securities offered thereby and all related documentation and will comply with all applicable laws;</w:t>
      </w:r>
    </w:p>
    <w:p>
      <w:pPr>
        <w:spacing w:after="0" w:line="49" w:lineRule="exact"/>
        <w:rPr>
          <w:rFonts w:ascii="Arial" w:cs="Arial" w:eastAsia="Arial" w:hAnsi="Arial"/>
          <w:sz w:val="13"/>
          <w:szCs w:val="13"/>
          <w:color w:val="auto"/>
        </w:rPr>
      </w:pPr>
    </w:p>
    <w:p>
      <w:pPr>
        <w:ind w:left="560" w:hanging="234"/>
        <w:spacing w:after="0"/>
        <w:tabs>
          <w:tab w:leader="none" w:pos="56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all Securities will be issued and sold in the manner stated in the Registration Statement and the applicable prospectus supplement;</w:t>
      </w:r>
    </w:p>
    <w:p>
      <w:pPr>
        <w:spacing w:after="0" w:line="86" w:lineRule="exact"/>
        <w:rPr>
          <w:rFonts w:ascii="Arial" w:cs="Arial" w:eastAsia="Arial" w:hAnsi="Arial"/>
          <w:sz w:val="13"/>
          <w:szCs w:val="13"/>
          <w:color w:val="auto"/>
        </w:rPr>
      </w:pPr>
    </w:p>
    <w:p>
      <w:pPr>
        <w:ind w:firstLine="326"/>
        <w:spacing w:after="0" w:line="371" w:lineRule="auto"/>
        <w:tabs>
          <w:tab w:leader="none" w:pos="549" w:val="left"/>
        </w:tabs>
        <w:numPr>
          <w:ilvl w:val="0"/>
          <w:numId w:val="110"/>
        </w:numPr>
        <w:rPr>
          <w:rFonts w:ascii="Arial" w:cs="Arial" w:eastAsia="Arial" w:hAnsi="Arial"/>
          <w:sz w:val="11"/>
          <w:szCs w:val="11"/>
          <w:color w:val="auto"/>
        </w:rPr>
      </w:pPr>
      <w:r>
        <w:rPr>
          <w:rFonts w:ascii="Arial" w:cs="Arial" w:eastAsia="Arial" w:hAnsi="Arial"/>
          <w:sz w:val="11"/>
          <w:szCs w:val="11"/>
          <w:color w:val="auto"/>
        </w:rPr>
        <w:t>at the Relevant Time, all corporate or other action required to be taken by the Company to duly authorize each proposed issuance of Securities and any related documentation, and (ii) the execution (in the case of certificated Securities), delivery and performance of the Securities and any related documentation referred to in paragraphs 1 and 2 below) shall have been duly completed and shall remain in full force and effect;</w:t>
      </w:r>
    </w:p>
    <w:p>
      <w:pPr>
        <w:spacing w:after="0" w:line="2" w:lineRule="exact"/>
        <w:rPr>
          <w:rFonts w:ascii="Arial" w:cs="Arial" w:eastAsia="Arial" w:hAnsi="Arial"/>
          <w:sz w:val="11"/>
          <w:szCs w:val="11"/>
          <w:color w:val="auto"/>
        </w:rPr>
      </w:pPr>
    </w:p>
    <w:p>
      <w:pPr>
        <w:ind w:right="60" w:firstLine="326"/>
        <w:spacing w:after="0" w:line="264" w:lineRule="auto"/>
        <w:tabs>
          <w:tab w:leader="none" w:pos="513"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in the case of Debt Securities and Guarantees, at the Relevant Time, the relevant trustee shall have been qualified under the Trust Indenture Act of 1939, as amended (the “</w:t>
      </w:r>
      <w:r>
        <w:rPr>
          <w:rFonts w:ascii="Arial" w:cs="Arial" w:eastAsia="Arial" w:hAnsi="Arial"/>
          <w:sz w:val="13"/>
          <w:szCs w:val="13"/>
          <w:u w:val="single" w:color="auto"/>
          <w:color w:val="auto"/>
        </w:rPr>
        <w:t>TIA</w:t>
      </w:r>
      <w:r>
        <w:rPr>
          <w:rFonts w:ascii="Arial" w:cs="Arial" w:eastAsia="Arial" w:hAnsi="Arial"/>
          <w:sz w:val="13"/>
          <w:szCs w:val="13"/>
          <w:color w:val="auto"/>
        </w:rPr>
        <w:t>”), a Statement of Eligibility of the Trustee on Form T-1 shall have been properly filed with the Commission and the relevant Base Indenture shall have been duly executed and delivered by the Company and all other parties thereto and duly qualified under the TIA; and</w:t>
      </w:r>
    </w:p>
    <w:p>
      <w:pPr>
        <w:spacing w:after="0" w:line="57" w:lineRule="exact"/>
        <w:rPr>
          <w:rFonts w:ascii="Arial" w:cs="Arial" w:eastAsia="Arial" w:hAnsi="Arial"/>
          <w:sz w:val="13"/>
          <w:szCs w:val="13"/>
          <w:color w:val="auto"/>
        </w:rPr>
      </w:pPr>
    </w:p>
    <w:p>
      <w:pPr>
        <w:ind w:right="480" w:firstLine="326"/>
        <w:spacing w:after="0" w:line="276" w:lineRule="auto"/>
        <w:tabs>
          <w:tab w:leader="none" w:pos="549" w:val="left"/>
        </w:tabs>
        <w:numPr>
          <w:ilvl w:val="0"/>
          <w:numId w:val="110"/>
        </w:numPr>
        <w:rPr>
          <w:rFonts w:ascii="Arial" w:cs="Arial" w:eastAsia="Arial" w:hAnsi="Arial"/>
          <w:sz w:val="13"/>
          <w:szCs w:val="13"/>
          <w:color w:val="auto"/>
        </w:rPr>
      </w:pPr>
      <w:r>
        <w:rPr>
          <w:rFonts w:ascii="Arial" w:cs="Arial" w:eastAsia="Arial" w:hAnsi="Arial"/>
          <w:sz w:val="13"/>
          <w:szCs w:val="13"/>
          <w:color w:val="auto"/>
        </w:rPr>
        <w:t>at the Relevant Time, a definitive purchase, underwriting or similar agreement and any other necessary agreement with respect to any Securities offered or issued will have been duly authorized by all necessary corporate action of the Company and duly executed and delivered by the Company and the other parties thereto.</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Based on the foregoing and in reliance thereon, and subject to the assumptions, exceptions, qualifications and limitations set forth herein, we are of the opinion that:</w:t>
      </w:r>
    </w:p>
    <w:p>
      <w:pPr>
        <w:spacing w:after="0" w:line="86" w:lineRule="exact"/>
        <w:rPr>
          <w:sz w:val="20"/>
          <w:szCs w:val="20"/>
          <w:color w:val="auto"/>
        </w:rPr>
      </w:pPr>
    </w:p>
    <w:p>
      <w:pPr>
        <w:ind w:left="900" w:hanging="449"/>
        <w:spacing w:after="0"/>
        <w:tabs>
          <w:tab w:leader="none" w:pos="9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With respect to any Debt Securities, when:</w:t>
      </w:r>
    </w:p>
    <w:p>
      <w:pPr>
        <w:spacing w:after="0" w:line="86" w:lineRule="exact"/>
        <w:rPr>
          <w:rFonts w:ascii="Arial" w:cs="Arial" w:eastAsia="Arial" w:hAnsi="Arial"/>
          <w:sz w:val="13"/>
          <w:szCs w:val="13"/>
          <w:color w:val="auto"/>
        </w:rPr>
      </w:pPr>
    </w:p>
    <w:p>
      <w:pPr>
        <w:ind w:left="680"/>
        <w:spacing w:after="0"/>
        <w:rPr>
          <w:rFonts w:ascii="Arial" w:cs="Arial" w:eastAsia="Arial" w:hAnsi="Arial"/>
          <w:sz w:val="13"/>
          <w:szCs w:val="13"/>
          <w:color w:val="auto"/>
        </w:rPr>
      </w:pPr>
      <w:r>
        <w:rPr>
          <w:rFonts w:ascii="Arial" w:cs="Arial" w:eastAsia="Arial" w:hAnsi="Arial"/>
          <w:sz w:val="13"/>
          <w:szCs w:val="13"/>
          <w:color w:val="auto"/>
        </w:rPr>
        <w:t>a.</w:t>
      </w:r>
      <w:r>
        <w:rPr>
          <w:rFonts w:ascii="Arial" w:cs="Arial" w:eastAsia="Arial" w:hAnsi="Arial"/>
          <w:sz w:val="11"/>
          <w:szCs w:val="11"/>
          <w:color w:val="auto"/>
        </w:rPr>
        <w:t>the Base Indenture has been duly executed and delivered by the Company and the trustee,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055" w:right="219" w:bottom="1440" w:gutter="0" w:footer="0" w:header="0"/>
        </w:sectPr>
      </w:pPr>
    </w:p>
    <w:bookmarkStart w:id="157" w:name="page158"/>
    <w:bookmarkEnd w:id="157"/>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139065</wp:posOffset>
            </wp:positionH>
            <wp:positionV relativeFrom="page">
              <wp:posOffset>563245</wp:posOffset>
            </wp:positionV>
            <wp:extent cx="1204595" cy="162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204595" cy="162560"/>
                    </a:xfrm>
                    <a:prstGeom prst="rect">
                      <a:avLst/>
                    </a:prstGeom>
                    <a:noFill/>
                  </pic:spPr>
                </pic:pic>
              </a:graphicData>
            </a:graphic>
          </wp:anchor>
        </w:drawing>
        <w:t>April 7, 2011</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Page 3</w:t>
      </w:r>
    </w:p>
    <w:p>
      <w:pPr>
        <w:spacing w:after="0" w:line="79" w:lineRule="exact"/>
        <w:rPr>
          <w:sz w:val="20"/>
          <w:szCs w:val="20"/>
          <w:color w:val="auto"/>
        </w:rPr>
      </w:pPr>
    </w:p>
    <w:p>
      <w:pPr>
        <w:ind w:left="1140" w:hanging="453"/>
        <w:spacing w:after="0"/>
        <w:tabs>
          <w:tab w:leader="none" w:pos="114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terms and conditions of such Debt Securities have been duly established by supplemental indenture or officers’ certificate in accordance with the terms and conditions of the Base Indenture,</w:t>
      </w:r>
    </w:p>
    <w:p>
      <w:pPr>
        <w:spacing w:after="0" w:line="107" w:lineRule="exact"/>
        <w:rPr>
          <w:rFonts w:ascii="Arial" w:cs="Arial" w:eastAsia="Arial" w:hAnsi="Arial"/>
          <w:sz w:val="12"/>
          <w:szCs w:val="12"/>
          <w:color w:val="auto"/>
        </w:rPr>
      </w:pPr>
    </w:p>
    <w:p>
      <w:pPr>
        <w:ind w:left="1140" w:hanging="453"/>
        <w:spacing w:after="0"/>
        <w:tabs>
          <w:tab w:leader="none" w:pos="11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any such supplemental indenture has been duly executed and delivered by the Company and the trustee (together with the Base Indenture, the “</w:t>
      </w:r>
      <w:r>
        <w:rPr>
          <w:rFonts w:ascii="Arial" w:cs="Arial" w:eastAsia="Arial" w:hAnsi="Arial"/>
          <w:sz w:val="13"/>
          <w:szCs w:val="13"/>
          <w:u w:val="single" w:color="auto"/>
          <w:color w:val="auto"/>
        </w:rPr>
        <w:t>Indenture</w:t>
      </w:r>
      <w:r>
        <w:rPr>
          <w:rFonts w:ascii="Arial" w:cs="Arial" w:eastAsia="Arial" w:hAnsi="Arial"/>
          <w:sz w:val="13"/>
          <w:szCs w:val="13"/>
          <w:color w:val="auto"/>
        </w:rPr>
        <w:t>”), and</w:t>
      </w:r>
    </w:p>
    <w:p>
      <w:pPr>
        <w:spacing w:after="0" w:line="96" w:lineRule="exact"/>
        <w:rPr>
          <w:rFonts w:ascii="Arial" w:cs="Arial" w:eastAsia="Arial" w:hAnsi="Arial"/>
          <w:sz w:val="13"/>
          <w:szCs w:val="13"/>
          <w:color w:val="auto"/>
        </w:rPr>
      </w:pPr>
    </w:p>
    <w:p>
      <w:pPr>
        <w:ind w:left="1140" w:hanging="453"/>
        <w:spacing w:after="0" w:line="276" w:lineRule="auto"/>
        <w:tabs>
          <w:tab w:leader="none" w:pos="11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such Debt Securities have been executed (in the case of certificated Debt Securities), delivered and authenticated in accordance with the terms of the applicable Indenture and issued and sold for the consideration set forth in the applicable definitive purchase, underwriting or similar agreement,</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such Debt Securities will be legal, valid and binding obligations of the Company, enforceable against the Company in accordance with their respective terms.</w:t>
      </w:r>
    </w:p>
    <w:p>
      <w:pPr>
        <w:spacing w:after="0" w:line="86" w:lineRule="exact"/>
        <w:rPr>
          <w:sz w:val="20"/>
          <w:szCs w:val="20"/>
          <w:color w:val="auto"/>
        </w:rPr>
      </w:pPr>
    </w:p>
    <w:p>
      <w:pPr>
        <w:ind w:left="900" w:hanging="449"/>
        <w:spacing w:after="0"/>
        <w:tabs>
          <w:tab w:leader="none" w:pos="9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With respect to any Guarantees, when:</w:t>
      </w:r>
    </w:p>
    <w:p>
      <w:pPr>
        <w:spacing w:after="0" w:line="86" w:lineRule="exact"/>
        <w:rPr>
          <w:rFonts w:ascii="Arial" w:cs="Arial" w:eastAsia="Arial" w:hAnsi="Arial"/>
          <w:sz w:val="13"/>
          <w:szCs w:val="13"/>
          <w:color w:val="auto"/>
        </w:rPr>
      </w:pPr>
    </w:p>
    <w:p>
      <w:pPr>
        <w:ind w:left="1140" w:hanging="453"/>
        <w:spacing w:after="0"/>
        <w:tabs>
          <w:tab w:leader="none" w:pos="114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a guarantee agreement relating to such Guarantees (“</w:t>
      </w:r>
      <w:r>
        <w:rPr>
          <w:rFonts w:ascii="Arial" w:cs="Arial" w:eastAsia="Arial" w:hAnsi="Arial"/>
          <w:sz w:val="13"/>
          <w:szCs w:val="13"/>
          <w:u w:val="single" w:color="auto"/>
          <w:color w:val="auto"/>
        </w:rPr>
        <w:t>Guarantee Agreement</w:t>
      </w:r>
      <w:r>
        <w:rPr>
          <w:rFonts w:ascii="Arial" w:cs="Arial" w:eastAsia="Arial" w:hAnsi="Arial"/>
          <w:sz w:val="13"/>
          <w:szCs w:val="13"/>
          <w:color w:val="auto"/>
        </w:rPr>
        <w:t>”) has been duly executed and delivered by the Company and each other party thereto,</w:t>
      </w:r>
    </w:p>
    <w:p>
      <w:pPr>
        <w:spacing w:after="0" w:line="96" w:lineRule="exact"/>
        <w:rPr>
          <w:rFonts w:ascii="Arial" w:cs="Arial" w:eastAsia="Arial" w:hAnsi="Arial"/>
          <w:sz w:val="13"/>
          <w:szCs w:val="13"/>
          <w:color w:val="auto"/>
        </w:rPr>
      </w:pPr>
    </w:p>
    <w:p>
      <w:pPr>
        <w:ind w:left="1140" w:hanging="453"/>
        <w:spacing w:after="0"/>
        <w:tabs>
          <w:tab w:leader="none" w:pos="114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the terms of the Guarantees have been established in accordance with the Guarantee Agreement, and</w:t>
      </w:r>
    </w:p>
    <w:p>
      <w:pPr>
        <w:spacing w:after="0" w:line="96" w:lineRule="exact"/>
        <w:rPr>
          <w:rFonts w:ascii="Arial" w:cs="Arial" w:eastAsia="Arial" w:hAnsi="Arial"/>
          <w:sz w:val="13"/>
          <w:szCs w:val="13"/>
          <w:color w:val="auto"/>
        </w:rPr>
      </w:pPr>
    </w:p>
    <w:p>
      <w:pPr>
        <w:ind w:left="1140" w:right="220" w:hanging="453"/>
        <w:spacing w:after="0" w:line="276" w:lineRule="auto"/>
        <w:tabs>
          <w:tab w:leader="none" w:pos="114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the Guarantees have been duly executed and delivered in accordance with the applicable Guarantee Agreement, and the applicable definitive purchase, underwriting or similar agreement for the consideration provided for therein,</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such Guarantees will be legal, valid and binding obligations of the Company, enforceable against the Company in accordance with their respective terms.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opinions expressed above are subject to the following exceptions, qualifications, limitations and assumptions:</w:t>
      </w:r>
    </w:p>
    <w:p>
      <w:pPr>
        <w:spacing w:after="0" w:line="86" w:lineRule="exact"/>
        <w:rPr>
          <w:sz w:val="20"/>
          <w:szCs w:val="20"/>
          <w:color w:val="auto"/>
        </w:rPr>
      </w:pPr>
    </w:p>
    <w:p>
      <w:pPr>
        <w:ind w:right="40" w:firstLine="320"/>
        <w:spacing w:after="0" w:line="296" w:lineRule="auto"/>
        <w:rPr>
          <w:sz w:val="20"/>
          <w:szCs w:val="20"/>
          <w:color w:val="auto"/>
        </w:rPr>
      </w:pPr>
      <w:r>
        <w:rPr>
          <w:rFonts w:ascii="Arial" w:cs="Arial" w:eastAsia="Arial" w:hAnsi="Arial"/>
          <w:sz w:val="12"/>
          <w:szCs w:val="12"/>
          <w:color w:val="auto"/>
        </w:rPr>
        <w:t>A. We render no opinion herein as to matters involving the laws of any jurisdiction other than the State of New York and the United States of America and to the extent relevant for our opinions herein, the New York Business Corporation Law. This opinion is limited to the effect of the current state of the laws of the State of New York and the United States of America and the New York Business Corporation Law and the facts as they currently exist. We assume no obligation to revise or supplement this opinion in the event of future changes in such laws or the interpretations thereof or such facts.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12" w:right="219" w:bottom="1440" w:gutter="0" w:footer="0" w:header="0"/>
        </w:sectPr>
      </w:pPr>
    </w:p>
    <w:bookmarkStart w:id="158" w:name="page159"/>
    <w:bookmarkEnd w:id="158"/>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139065</wp:posOffset>
            </wp:positionH>
            <wp:positionV relativeFrom="page">
              <wp:posOffset>463550</wp:posOffset>
            </wp:positionV>
            <wp:extent cx="1204595" cy="162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1204595" cy="162560"/>
                    </a:xfrm>
                    <a:prstGeom prst="rect">
                      <a:avLst/>
                    </a:prstGeom>
                    <a:noFill/>
                  </pic:spPr>
                </pic:pic>
              </a:graphicData>
            </a:graphic>
          </wp:anchor>
        </w:drawing>
        <w:t>April 7, 2011</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Page 4</w:t>
      </w:r>
    </w:p>
    <w:p>
      <w:pPr>
        <w:spacing w:after="0" w:line="79" w:lineRule="exact"/>
        <w:rPr>
          <w:sz w:val="20"/>
          <w:szCs w:val="20"/>
          <w:color w:val="auto"/>
        </w:rPr>
      </w:pPr>
    </w:p>
    <w:p>
      <w:pPr>
        <w:ind w:right="140" w:firstLine="328"/>
        <w:spacing w:after="0" w:line="296" w:lineRule="auto"/>
        <w:rPr>
          <w:sz w:val="20"/>
          <w:szCs w:val="20"/>
          <w:color w:val="auto"/>
        </w:rPr>
      </w:pPr>
      <w:r>
        <w:rPr>
          <w:rFonts w:ascii="Arial" w:cs="Arial" w:eastAsia="Arial" w:hAnsi="Arial"/>
          <w:sz w:val="12"/>
          <w:szCs w:val="12"/>
          <w:color w:val="auto"/>
        </w:rPr>
        <w:t>B. The opinions above are each subject to (i) the effect of any bankruptcy, insolvency, reorganization, moratorium, arrangement or similar laws affecting the rights and remedies of creditors’ generally, including the effect of statutory or other laws regarding fraudulent transfers or preferential transfers, and (ii) general principles of equity, including concepts of materiality, reasonableness, good faith and fair dealing and the possible unavailability of specific performance, injunctive relief or other equitable remedies regardless of whether enforceability is considered in a proceeding in equity or at law.</w:t>
      </w:r>
    </w:p>
    <w:p>
      <w:pPr>
        <w:spacing w:after="0" w:line="40"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C. We express no opinion regarding the effectiveness of (i) any waiver of stay, extension or usury laws or of unknown future rights and (ii) provisions relating to indemnification, exculpation or contribution, to the extent such provisions may be held unenforceable as contrary to public policy or federal or state securities laws.</w:t>
      </w:r>
    </w:p>
    <w:p>
      <w:pPr>
        <w:spacing w:after="0" w:line="49"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D. To the extent relevant to our opinions in paragraph 2, we have assumed that the debt underlying any Guarantees is a legal, valid and binding obligation of the issuer thereof, enforceable against such issuer in accordance with its terms.</w:t>
      </w:r>
    </w:p>
    <w:p>
      <w:pPr>
        <w:spacing w:after="0" w:line="49" w:lineRule="exact"/>
        <w:rPr>
          <w:sz w:val="20"/>
          <w:szCs w:val="20"/>
          <w:color w:val="auto"/>
        </w:rPr>
      </w:pPr>
    </w:p>
    <w:p>
      <w:pPr>
        <w:jc w:val="both"/>
        <w:ind w:right="280"/>
        <w:spacing w:after="0" w:line="264" w:lineRule="auto"/>
        <w:rPr>
          <w:sz w:val="20"/>
          <w:szCs w:val="20"/>
          <w:color w:val="auto"/>
        </w:rPr>
      </w:pPr>
      <w:r>
        <w:rPr>
          <w:rFonts w:ascii="Arial" w:cs="Arial" w:eastAsia="Arial" w:hAnsi="Arial"/>
          <w:sz w:val="13"/>
          <w:szCs w:val="13"/>
          <w:color w:val="auto"/>
        </w:rPr>
        <w:t>You have informed us that you intend to issue Securities from time to time on a delayed or continuous basis, and we understand that prior to issuing any Securities pursuant to the Registration Statement (i) you will advise us in writing of the terms thereof, and (ii) you will afford us an opportunity to (x) review the operative documents pursuant to which such Securities are to be issued or sold (including the applicable offering documents), and (y) file such supplement or amendment to this opinion (if any) as we may reasonably consider necessary or appropriate.</w:t>
      </w:r>
    </w:p>
    <w:p>
      <w:pPr>
        <w:spacing w:after="0" w:line="57" w:lineRule="exact"/>
        <w:rPr>
          <w:sz w:val="20"/>
          <w:szCs w:val="20"/>
          <w:color w:val="auto"/>
        </w:rPr>
      </w:pPr>
    </w:p>
    <w:p>
      <w:pPr>
        <w:ind w:right="340"/>
        <w:spacing w:after="0" w:line="264" w:lineRule="auto"/>
        <w:rPr>
          <w:sz w:val="20"/>
          <w:szCs w:val="20"/>
          <w:color w:val="auto"/>
        </w:rPr>
      </w:pPr>
      <w:r>
        <w:rPr>
          <w:rFonts w:ascii="Arial" w:cs="Arial" w:eastAsia="Arial" w:hAnsi="Arial"/>
          <w:sz w:val="13"/>
          <w:szCs w:val="13"/>
          <w:color w:val="auto"/>
        </w:rPr>
        <w:t>We consent to the filing of this opinion as an exhibit to the Registration Statement, and we further consent to the use of our name under the caption “Validity of the Securities”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Very truly yours,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 Gibson, Dunn &amp; Crutcher LLP</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60"/>
          </w:cols>
          <w:pgMar w:left="220" w:top="1055" w:right="21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w w:val="91"/>
              </w:rPr>
              <w:t>Exhibit 12.1</w:t>
            </w: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0" w:type="dxa"/>
            <w:vAlign w:val="bottom"/>
            <w:gridSpan w:val="7"/>
          </w:tcPr>
          <w:p>
            <w:pPr>
              <w:jc w:val="center"/>
              <w:ind w:left="434"/>
              <w:spacing w:after="0"/>
              <w:rPr>
                <w:sz w:val="20"/>
                <w:szCs w:val="20"/>
                <w:color w:val="auto"/>
              </w:rPr>
            </w:pPr>
            <w:r>
              <w:rPr>
                <w:rFonts w:ascii="Arial" w:cs="Arial" w:eastAsia="Arial" w:hAnsi="Arial"/>
                <w:sz w:val="13"/>
                <w:szCs w:val="13"/>
                <w:b w:val="1"/>
                <w:bCs w:val="1"/>
                <w:color w:val="auto"/>
              </w:rPr>
              <w:t>SCHLUMBERGER LIMITED AND SUBSIDIARIES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00" w:type="dxa"/>
            <w:vAlign w:val="bottom"/>
            <w:gridSpan w:val="7"/>
          </w:tcPr>
          <w:p>
            <w:pPr>
              <w:jc w:val="center"/>
              <w:ind w:left="434"/>
              <w:spacing w:after="0"/>
              <w:rPr>
                <w:sz w:val="20"/>
                <w:szCs w:val="20"/>
                <w:color w:val="auto"/>
              </w:rPr>
            </w:pPr>
            <w:r>
              <w:rPr>
                <w:rFonts w:ascii="Arial" w:cs="Arial" w:eastAsia="Arial" w:hAnsi="Arial"/>
                <w:sz w:val="13"/>
                <w:szCs w:val="13"/>
                <w:b w:val="1"/>
                <w:bCs w:val="1"/>
                <w:color w:val="auto"/>
                <w:w w:val="90"/>
              </w:rPr>
              <w:t>Computation of Ratios of Earnings to Fixed Charges</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80" w:type="dxa"/>
            <w:vAlign w:val="bottom"/>
            <w:gridSpan w:val="4"/>
          </w:tcPr>
          <w:p>
            <w:pPr>
              <w:jc w:val="center"/>
              <w:ind w:left="1374"/>
              <w:spacing w:after="0"/>
              <w:rPr>
                <w:sz w:val="20"/>
                <w:szCs w:val="20"/>
                <w:color w:val="auto"/>
              </w:rPr>
            </w:pPr>
            <w:r>
              <w:rPr>
                <w:rFonts w:ascii="Arial" w:cs="Arial" w:eastAsia="Arial" w:hAnsi="Arial"/>
                <w:sz w:val="13"/>
                <w:szCs w:val="13"/>
                <w:b w:val="1"/>
                <w:bCs w:val="1"/>
                <w:color w:val="auto"/>
                <w:w w:val="91"/>
              </w:rPr>
              <w:t>(in millions of dollars)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0"/>
                <w:szCs w:val="10"/>
                <w:b w:val="1"/>
                <w:bCs w:val="1"/>
                <w:color w:val="auto"/>
              </w:rPr>
              <w:t>Years Ended December 31,</w:t>
            </w:r>
          </w:p>
        </w:tc>
        <w:tc>
          <w:tcPr>
            <w:tcW w:w="1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2010</w:t>
            </w:r>
          </w:p>
        </w:tc>
        <w:tc>
          <w:tcPr>
            <w:tcW w:w="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2009</w:t>
            </w: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2008</w:t>
            </w:r>
          </w:p>
        </w:tc>
        <w:tc>
          <w:tcPr>
            <w:tcW w:w="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55"/>
              <w:spacing w:after="0" w:line="98" w:lineRule="exact"/>
              <w:rPr>
                <w:sz w:val="20"/>
                <w:szCs w:val="20"/>
                <w:color w:val="auto"/>
              </w:rPr>
            </w:pPr>
            <w:r>
              <w:rPr>
                <w:rFonts w:ascii="Arial" w:cs="Arial" w:eastAsia="Arial" w:hAnsi="Arial"/>
                <w:sz w:val="10"/>
                <w:szCs w:val="10"/>
                <w:b w:val="1"/>
                <w:bCs w:val="1"/>
                <w:color w:val="auto"/>
              </w:rPr>
              <w:t>2007</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6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Earnings:</w:t>
            </w:r>
          </w:p>
        </w:tc>
        <w:tc>
          <w:tcPr>
            <w:tcW w:w="1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40" w:type="dxa"/>
            <w:vAlign w:val="bottom"/>
            <w:gridSpan w:val="2"/>
          </w:tcPr>
          <w:p>
            <w:pPr>
              <w:spacing w:after="0"/>
              <w:rPr>
                <w:sz w:val="20"/>
                <w:szCs w:val="20"/>
                <w:color w:val="auto"/>
              </w:rPr>
            </w:pPr>
            <w:r>
              <w:rPr>
                <w:rFonts w:ascii="Arial" w:cs="Arial" w:eastAsia="Arial" w:hAnsi="Arial"/>
                <w:sz w:val="13"/>
                <w:szCs w:val="13"/>
                <w:color w:val="auto"/>
              </w:rPr>
              <w:t>Income from Continuing Operations before taxes</w:t>
            </w:r>
          </w:p>
        </w:tc>
        <w:tc>
          <w:tcPr>
            <w:tcW w:w="184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5,156</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3,934</w:t>
            </w:r>
          </w:p>
        </w:tc>
        <w:tc>
          <w:tcPr>
            <w:tcW w:w="22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6,852</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6,625</w:t>
            </w:r>
          </w:p>
        </w:tc>
        <w:tc>
          <w:tcPr>
            <w:tcW w:w="36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4,949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Add / (Deduct):</w:t>
            </w:r>
          </w:p>
        </w:tc>
        <w:tc>
          <w:tcPr>
            <w:tcW w:w="1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40" w:type="dxa"/>
            <w:vAlign w:val="bottom"/>
            <w:gridSpan w:val="2"/>
          </w:tcPr>
          <w:p>
            <w:pPr>
              <w:ind w:left="160"/>
              <w:spacing w:after="0"/>
              <w:rPr>
                <w:sz w:val="20"/>
                <w:szCs w:val="20"/>
                <w:color w:val="auto"/>
              </w:rPr>
            </w:pPr>
            <w:r>
              <w:rPr>
                <w:rFonts w:ascii="Arial" w:cs="Arial" w:eastAsia="Arial" w:hAnsi="Arial"/>
                <w:sz w:val="13"/>
                <w:szCs w:val="13"/>
                <w:color w:val="auto"/>
              </w:rPr>
              <w:t>Fixed charges</w:t>
            </w: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333</w:t>
            </w:r>
          </w:p>
        </w:tc>
        <w:tc>
          <w:tcPr>
            <w:tcW w:w="1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349</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388</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366</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304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Amortization of capitalized interest</w:t>
            </w:r>
          </w:p>
        </w:tc>
        <w:tc>
          <w:tcPr>
            <w:tcW w:w="1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2</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w:t>
            </w: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40" w:type="dxa"/>
            <w:vAlign w:val="bottom"/>
            <w:gridSpan w:val="2"/>
          </w:tcPr>
          <w:p>
            <w:pPr>
              <w:ind w:left="160"/>
              <w:spacing w:after="0"/>
              <w:rPr>
                <w:sz w:val="20"/>
                <w:szCs w:val="20"/>
                <w:color w:val="auto"/>
              </w:rPr>
            </w:pPr>
            <w:r>
              <w:rPr>
                <w:rFonts w:ascii="Arial" w:cs="Arial" w:eastAsia="Arial" w:hAnsi="Arial"/>
                <w:sz w:val="13"/>
                <w:szCs w:val="13"/>
                <w:color w:val="auto"/>
              </w:rPr>
              <w:t>Distributions from equity investments</w:t>
            </w: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79</w:t>
            </w:r>
          </w:p>
        </w:tc>
        <w:tc>
          <w:tcPr>
            <w:tcW w:w="1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106</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57</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Capitalized interest</w:t>
            </w:r>
          </w:p>
        </w:tc>
        <w:tc>
          <w:tcPr>
            <w:tcW w:w="1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(28)</w:t>
            </w: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(31)</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40" w:type="dxa"/>
            <w:vAlign w:val="bottom"/>
            <w:gridSpan w:val="2"/>
          </w:tcPr>
          <w:p>
            <w:pPr>
              <w:ind w:left="160"/>
              <w:spacing w:after="0"/>
              <w:rPr>
                <w:sz w:val="20"/>
                <w:szCs w:val="20"/>
                <w:color w:val="auto"/>
              </w:rPr>
            </w:pPr>
            <w:r>
              <w:rPr>
                <w:rFonts w:ascii="Arial" w:cs="Arial" w:eastAsia="Arial" w:hAnsi="Arial"/>
                <w:sz w:val="13"/>
                <w:szCs w:val="13"/>
                <w:color w:val="auto"/>
              </w:rPr>
              <w:t>Equity income</w:t>
            </w: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3"/>
                <w:szCs w:val="13"/>
                <w:color w:val="auto"/>
              </w:rPr>
              <w:t>(164)</w:t>
            </w:r>
          </w:p>
        </w:tc>
        <w:tc>
          <w:tcPr>
            <w:tcW w:w="1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(209)</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3"/>
                <w:szCs w:val="13"/>
                <w:color w:val="auto"/>
              </w:rPr>
              <w:t>(293)</w:t>
            </w:r>
          </w:p>
        </w:tc>
        <w:tc>
          <w:tcPr>
            <w:tcW w:w="160" w:type="dxa"/>
            <w:vAlign w:val="bottom"/>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(249)</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earnings</w:t>
            </w:r>
          </w:p>
        </w:tc>
        <w:tc>
          <w:tcPr>
            <w:tcW w:w="16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5,400</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4,153</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6,974</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6,784</w:t>
            </w:r>
          </w:p>
        </w:tc>
        <w:tc>
          <w:tcPr>
            <w:tcW w:w="3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480" w:type="dxa"/>
            <w:vAlign w:val="bottom"/>
            <w:gridSpan w:val="4"/>
          </w:tcPr>
          <w:p>
            <w:pPr>
              <w:spacing w:after="0"/>
              <w:rPr>
                <w:sz w:val="20"/>
                <w:szCs w:val="20"/>
                <w:color w:val="auto"/>
              </w:rPr>
            </w:pPr>
            <w:r>
              <w:rPr>
                <w:rFonts w:ascii="Arial" w:cs="Arial" w:eastAsia="Arial" w:hAnsi="Arial"/>
                <w:sz w:val="13"/>
                <w:szCs w:val="13"/>
                <w:color w:val="auto"/>
              </w:rPr>
              <w:t>Fixed charges:</w:t>
            </w:r>
          </w:p>
        </w:tc>
        <w:tc>
          <w:tcPr>
            <w:tcW w:w="16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 (net of capitalized interest)</w:t>
            </w:r>
          </w:p>
        </w:tc>
        <w:tc>
          <w:tcPr>
            <w:tcW w:w="184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207</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247</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3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40" w:type="dxa"/>
            <w:vAlign w:val="bottom"/>
            <w:gridSpan w:val="2"/>
          </w:tcPr>
          <w:p>
            <w:pPr>
              <w:spacing w:after="0"/>
              <w:rPr>
                <w:sz w:val="20"/>
                <w:szCs w:val="20"/>
                <w:color w:val="auto"/>
              </w:rPr>
            </w:pPr>
            <w:r>
              <w:rPr>
                <w:rFonts w:ascii="Arial" w:cs="Arial" w:eastAsia="Arial" w:hAnsi="Arial"/>
                <w:sz w:val="13"/>
                <w:szCs w:val="13"/>
                <w:color w:val="auto"/>
              </w:rPr>
              <w:t>Add:</w:t>
            </w: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Capitalized interest</w:t>
            </w:r>
          </w:p>
        </w:tc>
        <w:tc>
          <w:tcPr>
            <w:tcW w:w="1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31</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213</w:t>
            </w:r>
          </w:p>
        </w:tc>
        <w:tc>
          <w:tcPr>
            <w:tcW w:w="1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249</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278</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275</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 xml:space="preserve">Interest component of rental expense </w:t>
            </w:r>
            <w:r>
              <w:rPr>
                <w:rFonts w:ascii="Arial" w:cs="Arial" w:eastAsia="Arial" w:hAnsi="Arial"/>
                <w:sz w:val="11"/>
                <w:szCs w:val="11"/>
                <w:color w:val="auto"/>
              </w:rPr>
              <w:t>(*)</w:t>
            </w:r>
          </w:p>
        </w:tc>
        <w:tc>
          <w:tcPr>
            <w:tcW w:w="1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120</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110</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80" w:type="dxa"/>
            <w:vAlign w:val="bottom"/>
            <w:gridSpan w:val="4"/>
            <w:vMerge w:val="restart"/>
          </w:tcPr>
          <w:p>
            <w:pPr>
              <w:spacing w:after="0"/>
              <w:rPr>
                <w:sz w:val="20"/>
                <w:szCs w:val="20"/>
                <w:color w:val="auto"/>
              </w:rPr>
            </w:pPr>
            <w:r>
              <w:rPr>
                <w:rFonts w:ascii="Arial" w:cs="Arial" w:eastAsia="Arial" w:hAnsi="Arial"/>
                <w:sz w:val="13"/>
                <w:szCs w:val="13"/>
                <w:color w:val="auto"/>
              </w:rPr>
              <w:t>Total fixed charges</w:t>
            </w:r>
          </w:p>
        </w:tc>
        <w:tc>
          <w:tcPr>
            <w:tcW w:w="1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80" w:type="dxa"/>
            <w:vAlign w:val="bottom"/>
            <w:gridSpan w:val="4"/>
            <w:vMerge w:val="continue"/>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333</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349</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388</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366</w:t>
            </w:r>
          </w:p>
        </w:tc>
        <w:tc>
          <w:tcPr>
            <w:tcW w:w="360" w:type="dxa"/>
            <w:vAlign w:val="bottom"/>
          </w:tcPr>
          <w:p>
            <w:pPr>
              <w:spacing w:after="0"/>
              <w:rPr>
                <w:sz w:val="14"/>
                <w:szCs w:val="1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304</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Ratio of earnings to fixed charges</w:t>
            </w:r>
          </w:p>
        </w:tc>
        <w:tc>
          <w:tcPr>
            <w:tcW w:w="1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16.2</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18.0</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18.5</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0" w:type="dxa"/>
            <w:vAlign w:val="bottom"/>
            <w:gridSpan w:val="2"/>
          </w:tcPr>
          <w:p>
            <w:pPr>
              <w:spacing w:after="0"/>
              <w:rPr>
                <w:sz w:val="20"/>
                <w:szCs w:val="20"/>
                <w:color w:val="auto"/>
              </w:rPr>
            </w:pPr>
            <w:r>
              <w:rPr>
                <w:rFonts w:ascii="Arial" w:cs="Arial" w:eastAsia="Arial" w:hAnsi="Arial"/>
                <w:sz w:val="11"/>
                <w:szCs w:val="11"/>
                <w:color w:val="auto"/>
              </w:rPr>
              <w:t>(*)</w:t>
            </w:r>
          </w:p>
        </w:tc>
        <w:tc>
          <w:tcPr>
            <w:tcW w:w="3340" w:type="dxa"/>
            <w:vAlign w:val="bottom"/>
            <w:gridSpan w:val="2"/>
          </w:tcPr>
          <w:p>
            <w:pPr>
              <w:ind w:left="320"/>
              <w:spacing w:after="0"/>
              <w:rPr>
                <w:sz w:val="20"/>
                <w:szCs w:val="20"/>
                <w:color w:val="auto"/>
              </w:rPr>
            </w:pPr>
            <w:r>
              <w:rPr>
                <w:rFonts w:ascii="Arial" w:cs="Arial" w:eastAsia="Arial" w:hAnsi="Arial"/>
                <w:sz w:val="13"/>
                <w:szCs w:val="13"/>
                <w:color w:val="auto"/>
              </w:rPr>
              <w:t>10% of Operating Lease rental expense.</w:t>
            </w: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7" w:right="2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3"/>
          <w:szCs w:val="13"/>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CONSENT OF INDEPENDENT REGISTERED PUBLIC ACCOUNTING FIRM</w:t>
      </w:r>
    </w:p>
    <w:p>
      <w:pPr>
        <w:spacing w:after="0" w:line="86" w:lineRule="exact"/>
        <w:rPr>
          <w:sz w:val="20"/>
          <w:szCs w:val="20"/>
          <w:color w:val="auto"/>
        </w:rPr>
      </w:pPr>
    </w:p>
    <w:p>
      <w:pPr>
        <w:ind w:right="300"/>
        <w:spacing w:after="0" w:line="264" w:lineRule="auto"/>
        <w:rPr>
          <w:sz w:val="20"/>
          <w:szCs w:val="20"/>
          <w:color w:val="auto"/>
        </w:rPr>
      </w:pPr>
      <w:r>
        <w:rPr>
          <w:rFonts w:ascii="Arial" w:cs="Arial" w:eastAsia="Arial" w:hAnsi="Arial"/>
          <w:sz w:val="13"/>
          <w:szCs w:val="13"/>
          <w:color w:val="auto"/>
        </w:rPr>
        <w:t>We hereby consent to the incorporation by reference in this Registration Statement on Form S-3 of our report dated February 4, 2011 relating to the financial statements and the effectiveness of internal control over financial reporting, which appears in Schlumberger Limited’s Annual Report on Form 10-K for the year ended December 31, 2010. We also consent to the reference to us under the heading “Experts” in such Registration Statement.</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Houston, TX</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April 7, 2011</w:t>
      </w:r>
    </w:p>
    <w:p>
      <w:pPr>
        <w:sectPr>
          <w:pgSz w:w="11900" w:h="16838" w:orient="portrait"/>
          <w:cols w:equalWidth="0" w:num="1">
            <w:col w:w="11460"/>
          </w:cols>
          <w:pgMar w:left="220" w:top="127" w:right="2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3"/>
          <w:szCs w:val="13"/>
          <w:color w:val="auto"/>
        </w:rPr>
        <w:t>Exhibit 24.1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86" w:lineRule="exact"/>
        <w:rPr>
          <w:sz w:val="20"/>
          <w:szCs w:val="20"/>
          <w:color w:val="auto"/>
        </w:rPr>
      </w:pPr>
    </w:p>
    <w:p>
      <w:pPr>
        <w:ind w:right="40"/>
        <w:spacing w:after="0" w:line="281" w:lineRule="auto"/>
        <w:rPr>
          <w:sz w:val="20"/>
          <w:szCs w:val="20"/>
          <w:color w:val="auto"/>
        </w:rPr>
      </w:pPr>
      <w:r>
        <w:rPr>
          <w:rFonts w:ascii="Arial" w:cs="Arial" w:eastAsia="Arial" w:hAnsi="Arial"/>
          <w:sz w:val="12"/>
          <w:szCs w:val="12"/>
          <w:b w:val="1"/>
          <w:bCs w:val="1"/>
          <w:color w:val="auto"/>
        </w:rPr>
        <w:t>KNOW ALL MEN BY THESE PRESENTS</w:t>
      </w:r>
      <w:r>
        <w:rPr>
          <w:rFonts w:ascii="Arial" w:cs="Arial" w:eastAsia="Arial" w:hAnsi="Arial"/>
          <w:sz w:val="12"/>
          <w:szCs w:val="12"/>
          <w:color w:val="auto"/>
        </w:rPr>
        <w:t>, that each of the undersigned, being a director or officer of Schlumberger Limited, a Curacao corporation (the “Company”), hereby constitutes and appoints Alexander C.</w:t>
      </w:r>
      <w:r>
        <w:rPr>
          <w:rFonts w:ascii="Arial" w:cs="Arial" w:eastAsia="Arial" w:hAnsi="Arial"/>
          <w:sz w:val="12"/>
          <w:szCs w:val="12"/>
          <w:b w:val="1"/>
          <w:bCs w:val="1"/>
          <w:color w:val="auto"/>
        </w:rPr>
        <w:t xml:space="preserve"> </w:t>
      </w:r>
      <w:r>
        <w:rPr>
          <w:rFonts w:ascii="Arial" w:cs="Arial" w:eastAsia="Arial" w:hAnsi="Arial"/>
          <w:sz w:val="12"/>
          <w:szCs w:val="12"/>
          <w:color w:val="auto"/>
        </w:rPr>
        <w:t>Juden, Howard Guild, or Saul R. Laureles, and each of them, his or her true and lawful attorney-in-fact and agent, with full and several power of substitution and resubstitution and to act with or without the others, for him or her and in his or her name, place and stead in any and all capacities: (i) to sign this Registration Statement under the Securities Act of 1933, as amended, on Form S-3, any amendments thereto, and all post-effective amendments and supplements to this Registration Statement for the registration of the Company’s securities;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of 1933, as amended,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This Power of Attorney may be signed in any number of counterparts, each of which will constitute an original and all of which, taken together, will constitute one Power of Attorney.</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IN WITNESS WHEREOF, </w:t>
      </w:r>
      <w:r>
        <w:rPr>
          <w:rFonts w:ascii="Arial" w:cs="Arial" w:eastAsia="Arial" w:hAnsi="Arial"/>
          <w:sz w:val="13"/>
          <w:szCs w:val="13"/>
          <w:color w:val="auto"/>
        </w:rPr>
        <w:t>each of the undersigned has hereunto set his or her hand this 20</w:t>
      </w:r>
      <w:r>
        <w:rPr>
          <w:rFonts w:ascii="Arial" w:cs="Arial" w:eastAsia="Arial" w:hAnsi="Arial"/>
          <w:sz w:val="11"/>
          <w:szCs w:val="11"/>
          <w:color w:val="auto"/>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day of January, 2011.</w:t>
      </w:r>
    </w:p>
    <w:p>
      <w:pPr>
        <w:sectPr>
          <w:pgSz w:w="11900" w:h="16838" w:orient="portrait"/>
          <w:cols w:equalWidth="0" w:num="1">
            <w:col w:w="11460"/>
          </w:cols>
          <w:pgMar w:left="220" w:top="131" w:right="21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42646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646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Andrew Gould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Director, Chairman and Chief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(Principal Executive Officer and Director)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42646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646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Simon Ayat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Executive Vice President and 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(Principal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42646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646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Howard Guild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Chief Accounting Officer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(Principal Accounting Officer)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/s/ Philippe Camus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42646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646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Philippe Camus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Director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/s/ 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43281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32810" cy="635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Nikolay Kudryavtsev</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Director</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/s/ Adrian Lajous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343281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3281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Director</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/s/ Michael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343281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3281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Michael E. Marks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Director</w:t>
      </w: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color w:val="auto"/>
        </w:rPr>
        <w:t>/s/ Elizabeth Anne Moler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43281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32810" cy="635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Elizabeth Anne Moler</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283210</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2">
            <w:col w:w="5340" w:space="720"/>
            <w:col w:w="5400"/>
          </w:cols>
          <w:pgMar w:left="220" w:top="131" w:right="219" w:bottom="1440" w:gutter="0" w:footer="0" w:header="0"/>
          <w:type w:val="continuous"/>
        </w:sectPr>
      </w:pPr>
    </w:p>
    <w:bookmarkStart w:id="162" w:name="page163"/>
    <w:bookmarkEnd w:id="162"/>
    <w:tbl>
      <w:tblPr>
        <w:tblLayout w:type="fixed"/>
        <w:tblInd w:w="0" w:type="dxa"/>
        <w:tblCellMar>
          <w:top w:w="0" w:type="dxa"/>
          <w:left w:w="0" w:type="dxa"/>
          <w:bottom w:w="0" w:type="dxa"/>
          <w:right w:w="0" w:type="dxa"/>
        </w:tblCellMar>
      </w:tblPr>
      <w:tr>
        <w:trPr>
          <w:trHeight w:val="165"/>
        </w:trPr>
        <w:tc>
          <w:tcPr>
            <w:tcW w:w="54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Peter L.S. Currie</w:t>
            </w:r>
          </w:p>
        </w:tc>
        <w:tc>
          <w:tcPr>
            <w:tcW w:w="660" w:type="dxa"/>
            <w:vAlign w:val="bottom"/>
          </w:tcPr>
          <w:p>
            <w:pPr>
              <w:spacing w:after="0"/>
              <w:rPr>
                <w:sz w:val="14"/>
                <w:szCs w:val="1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Leo Rafael Reif</w:t>
            </w:r>
          </w:p>
        </w:tc>
      </w:tr>
      <w:tr>
        <w:trPr>
          <w:trHeight w:val="149"/>
        </w:trPr>
        <w:tc>
          <w:tcPr>
            <w:tcW w:w="5400" w:type="dxa"/>
            <w:vAlign w:val="bottom"/>
          </w:tcPr>
          <w:p>
            <w:pPr>
              <w:spacing w:after="0"/>
              <w:rPr>
                <w:sz w:val="20"/>
                <w:szCs w:val="20"/>
                <w:color w:val="auto"/>
              </w:rPr>
            </w:pPr>
            <w:r>
              <w:rPr>
                <w:rFonts w:ascii="Arial" w:cs="Arial" w:eastAsia="Arial" w:hAnsi="Arial"/>
                <w:sz w:val="13"/>
                <w:szCs w:val="13"/>
                <w:color w:val="auto"/>
              </w:rPr>
              <w:t>Peter L.S. Currie</w:t>
            </w:r>
          </w:p>
        </w:tc>
        <w:tc>
          <w:tcPr>
            <w:tcW w:w="6060" w:type="dxa"/>
            <w:vAlign w:val="bottom"/>
            <w:gridSpan w:val="2"/>
          </w:tcPr>
          <w:p>
            <w:pPr>
              <w:ind w:left="660"/>
              <w:spacing w:after="0"/>
              <w:rPr>
                <w:sz w:val="20"/>
                <w:szCs w:val="20"/>
                <w:color w:val="auto"/>
              </w:rPr>
            </w:pPr>
            <w:r>
              <w:rPr>
                <w:rFonts w:ascii="Arial" w:cs="Arial" w:eastAsia="Arial" w:hAnsi="Arial"/>
                <w:sz w:val="13"/>
                <w:szCs w:val="13"/>
                <w:color w:val="auto"/>
              </w:rPr>
              <w:t>Leo Rafael Reif</w:t>
            </w:r>
          </w:p>
        </w:tc>
      </w:tr>
      <w:tr>
        <w:trPr>
          <w:trHeight w:val="165"/>
        </w:trPr>
        <w:tc>
          <w:tcPr>
            <w:tcW w:w="5400" w:type="dxa"/>
            <w:vAlign w:val="bottom"/>
          </w:tcPr>
          <w:p>
            <w:pPr>
              <w:spacing w:after="0"/>
              <w:rPr>
                <w:sz w:val="20"/>
                <w:szCs w:val="20"/>
                <w:color w:val="auto"/>
              </w:rPr>
            </w:pPr>
            <w:r>
              <w:rPr>
                <w:rFonts w:ascii="Arial" w:cs="Arial" w:eastAsia="Arial" w:hAnsi="Arial"/>
                <w:sz w:val="13"/>
                <w:szCs w:val="13"/>
                <w:color w:val="auto"/>
              </w:rPr>
              <w:t>Director</w:t>
            </w:r>
          </w:p>
        </w:tc>
        <w:tc>
          <w:tcPr>
            <w:tcW w:w="6060" w:type="dxa"/>
            <w:vAlign w:val="bottom"/>
            <w:gridSpan w:val="2"/>
          </w:tcPr>
          <w:p>
            <w:pPr>
              <w:ind w:left="660"/>
              <w:spacing w:after="0"/>
              <w:rPr>
                <w:sz w:val="20"/>
                <w:szCs w:val="20"/>
                <w:color w:val="auto"/>
              </w:rPr>
            </w:pPr>
            <w:r>
              <w:rPr>
                <w:rFonts w:ascii="Arial" w:cs="Arial" w:eastAsia="Arial" w:hAnsi="Arial"/>
                <w:sz w:val="13"/>
                <w:szCs w:val="13"/>
                <w:color w:val="auto"/>
              </w:rPr>
              <w:t>Director</w:t>
            </w:r>
          </w:p>
        </w:tc>
      </w:tr>
      <w:tr>
        <w:trPr>
          <w:trHeight w:val="315"/>
        </w:trPr>
        <w:tc>
          <w:tcPr>
            <w:tcW w:w="54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Tony Isaac</w:t>
            </w:r>
          </w:p>
        </w:tc>
        <w:tc>
          <w:tcPr>
            <w:tcW w:w="66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Tore I. Sandvold</w:t>
            </w:r>
          </w:p>
        </w:tc>
      </w:tr>
      <w:tr>
        <w:trPr>
          <w:trHeight w:val="149"/>
        </w:trPr>
        <w:tc>
          <w:tcPr>
            <w:tcW w:w="5400" w:type="dxa"/>
            <w:vAlign w:val="bottom"/>
          </w:tcPr>
          <w:p>
            <w:pPr>
              <w:spacing w:after="0"/>
              <w:rPr>
                <w:sz w:val="20"/>
                <w:szCs w:val="20"/>
                <w:color w:val="auto"/>
              </w:rPr>
            </w:pPr>
            <w:r>
              <w:rPr>
                <w:rFonts w:ascii="Arial" w:cs="Arial" w:eastAsia="Arial" w:hAnsi="Arial"/>
                <w:sz w:val="13"/>
                <w:szCs w:val="13"/>
                <w:color w:val="auto"/>
              </w:rPr>
              <w:t>Tony Isaac</w:t>
            </w:r>
          </w:p>
        </w:tc>
        <w:tc>
          <w:tcPr>
            <w:tcW w:w="6060" w:type="dxa"/>
            <w:vAlign w:val="bottom"/>
            <w:gridSpan w:val="2"/>
          </w:tcPr>
          <w:p>
            <w:pPr>
              <w:ind w:left="660"/>
              <w:spacing w:after="0"/>
              <w:rPr>
                <w:sz w:val="20"/>
                <w:szCs w:val="20"/>
                <w:color w:val="auto"/>
              </w:rPr>
            </w:pPr>
            <w:r>
              <w:rPr>
                <w:rFonts w:ascii="Arial" w:cs="Arial" w:eastAsia="Arial" w:hAnsi="Arial"/>
                <w:sz w:val="13"/>
                <w:szCs w:val="13"/>
                <w:color w:val="auto"/>
              </w:rPr>
              <w:t>Tore I. Sandvold</w:t>
            </w:r>
          </w:p>
        </w:tc>
      </w:tr>
      <w:tr>
        <w:trPr>
          <w:trHeight w:val="165"/>
        </w:trPr>
        <w:tc>
          <w:tcPr>
            <w:tcW w:w="5400" w:type="dxa"/>
            <w:vAlign w:val="bottom"/>
          </w:tcPr>
          <w:p>
            <w:pPr>
              <w:spacing w:after="0"/>
              <w:rPr>
                <w:sz w:val="20"/>
                <w:szCs w:val="20"/>
                <w:color w:val="auto"/>
              </w:rPr>
            </w:pPr>
            <w:r>
              <w:rPr>
                <w:rFonts w:ascii="Arial" w:cs="Arial" w:eastAsia="Arial" w:hAnsi="Arial"/>
                <w:sz w:val="13"/>
                <w:szCs w:val="13"/>
                <w:color w:val="auto"/>
              </w:rPr>
              <w:t>Director</w:t>
            </w:r>
          </w:p>
        </w:tc>
        <w:tc>
          <w:tcPr>
            <w:tcW w:w="6060" w:type="dxa"/>
            <w:vAlign w:val="bottom"/>
            <w:gridSpan w:val="2"/>
          </w:tcPr>
          <w:p>
            <w:pPr>
              <w:ind w:left="660"/>
              <w:spacing w:after="0"/>
              <w:rPr>
                <w:sz w:val="20"/>
                <w:szCs w:val="20"/>
                <w:color w:val="auto"/>
              </w:rPr>
            </w:pPr>
            <w:r>
              <w:rPr>
                <w:rFonts w:ascii="Arial" w:cs="Arial" w:eastAsia="Arial" w:hAnsi="Arial"/>
                <w:sz w:val="13"/>
                <w:szCs w:val="13"/>
                <w:color w:val="auto"/>
              </w:rPr>
              <w:t>Director</w:t>
            </w:r>
          </w:p>
        </w:tc>
      </w:tr>
      <w:tr>
        <w:trPr>
          <w:trHeight w:val="315"/>
        </w:trPr>
        <w:tc>
          <w:tcPr>
            <w:tcW w:w="54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 Vaman Kamath</w:t>
            </w:r>
          </w:p>
        </w:tc>
        <w:tc>
          <w:tcPr>
            <w:tcW w:w="66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Henri Seydoux</w:t>
            </w:r>
          </w:p>
        </w:tc>
      </w:tr>
      <w:tr>
        <w:trPr>
          <w:trHeight w:val="149"/>
        </w:trPr>
        <w:tc>
          <w:tcPr>
            <w:tcW w:w="5400" w:type="dxa"/>
            <w:vAlign w:val="bottom"/>
          </w:tcPr>
          <w:p>
            <w:pPr>
              <w:spacing w:after="0"/>
              <w:rPr>
                <w:sz w:val="20"/>
                <w:szCs w:val="20"/>
                <w:color w:val="auto"/>
              </w:rPr>
            </w:pPr>
            <w:r>
              <w:rPr>
                <w:rFonts w:ascii="Arial" w:cs="Arial" w:eastAsia="Arial" w:hAnsi="Arial"/>
                <w:sz w:val="13"/>
                <w:szCs w:val="13"/>
                <w:color w:val="auto"/>
              </w:rPr>
              <w:t>K. Vaman Kamath</w:t>
            </w:r>
          </w:p>
        </w:tc>
        <w:tc>
          <w:tcPr>
            <w:tcW w:w="6060" w:type="dxa"/>
            <w:vAlign w:val="bottom"/>
            <w:gridSpan w:val="2"/>
          </w:tcPr>
          <w:p>
            <w:pPr>
              <w:ind w:left="660"/>
              <w:spacing w:after="0"/>
              <w:rPr>
                <w:sz w:val="20"/>
                <w:szCs w:val="20"/>
                <w:color w:val="auto"/>
              </w:rPr>
            </w:pPr>
            <w:r>
              <w:rPr>
                <w:rFonts w:ascii="Arial" w:cs="Arial" w:eastAsia="Arial" w:hAnsi="Arial"/>
                <w:sz w:val="13"/>
                <w:szCs w:val="13"/>
                <w:color w:val="auto"/>
              </w:rPr>
              <w:t>Henri Seydoux</w:t>
            </w:r>
          </w:p>
        </w:tc>
      </w:tr>
      <w:tr>
        <w:trPr>
          <w:trHeight w:val="165"/>
        </w:trPr>
        <w:tc>
          <w:tcPr>
            <w:tcW w:w="5400" w:type="dxa"/>
            <w:vAlign w:val="bottom"/>
          </w:tcPr>
          <w:p>
            <w:pPr>
              <w:spacing w:after="0"/>
              <w:rPr>
                <w:sz w:val="20"/>
                <w:szCs w:val="20"/>
                <w:color w:val="auto"/>
              </w:rPr>
            </w:pPr>
            <w:r>
              <w:rPr>
                <w:rFonts w:ascii="Arial" w:cs="Arial" w:eastAsia="Arial" w:hAnsi="Arial"/>
                <w:sz w:val="13"/>
                <w:szCs w:val="13"/>
                <w:color w:val="auto"/>
              </w:rPr>
              <w:t>Director</w:t>
            </w:r>
          </w:p>
        </w:tc>
        <w:tc>
          <w:tcPr>
            <w:tcW w:w="6060" w:type="dxa"/>
            <w:vAlign w:val="bottom"/>
            <w:gridSpan w:val="2"/>
          </w:tcPr>
          <w:p>
            <w:pPr>
              <w:ind w:left="660"/>
              <w:spacing w:after="0"/>
              <w:rPr>
                <w:sz w:val="20"/>
                <w:szCs w:val="20"/>
                <w:color w:val="auto"/>
              </w:rPr>
            </w:pPr>
            <w:r>
              <w:rPr>
                <w:rFonts w:ascii="Arial" w:cs="Arial" w:eastAsia="Arial" w:hAnsi="Arial"/>
                <w:sz w:val="13"/>
                <w:szCs w:val="13"/>
                <w:color w:val="auto"/>
              </w:rPr>
              <w:t>Director</w:t>
            </w:r>
          </w:p>
        </w:tc>
      </w:tr>
      <w:tr>
        <w:trPr>
          <w:trHeight w:val="295"/>
        </w:trPr>
        <w:tc>
          <w:tcPr>
            <w:tcW w:w="5400" w:type="dxa"/>
            <w:vAlign w:val="bottom"/>
          </w:tcPr>
          <w:p>
            <w:pPr>
              <w:spacing w:after="0"/>
              <w:rPr>
                <w:sz w:val="24"/>
                <w:szCs w:val="24"/>
                <w:color w:val="auto"/>
              </w:rPr>
            </w:pPr>
          </w:p>
        </w:tc>
        <w:tc>
          <w:tcPr>
            <w:tcW w:w="660" w:type="dxa"/>
            <w:vAlign w:val="bottom"/>
          </w:tcPr>
          <w:p>
            <w:pPr>
              <w:jc w:val="right"/>
              <w:ind w:right="234"/>
              <w:spacing w:after="0"/>
              <w:rPr>
                <w:sz w:val="20"/>
                <w:szCs w:val="20"/>
                <w:color w:val="auto"/>
              </w:rPr>
            </w:pPr>
            <w:r>
              <w:rPr>
                <w:rFonts w:ascii="Arial" w:cs="Arial" w:eastAsia="Arial" w:hAnsi="Arial"/>
                <w:sz w:val="13"/>
                <w:szCs w:val="13"/>
                <w:color w:val="auto"/>
              </w:rPr>
              <w:t>2</w:t>
            </w:r>
          </w:p>
        </w:tc>
        <w:tc>
          <w:tcPr>
            <w:tcW w:w="54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60"/>
      </w:cols>
      <w:pgMar w:left="220" w:top="87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1)"/>
      <w:numFmt w:val="decimal"/>
      <w:start w:val="713"/>
    </w:lvl>
  </w:abstractNum>
  <w:abstractNum w:abstractNumId="1">
    <w:nsid w:val="180115BE"/>
    <w:multiLevelType w:val="hybridMultilevel"/>
    <w:lvl w:ilvl="0">
      <w:lvlJc w:val="left"/>
      <w:lvlText w:val="(%1)"/>
      <w:numFmt w:val="decimal"/>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1)"/>
      <w:numFmt w:val="decimal"/>
      <w:start w:val="1"/>
    </w:lvl>
  </w:abstractNum>
  <w:abstractNum w:abstractNumId="10">
    <w:nsid w:val="61574095"/>
    <w:multiLevelType w:val="hybridMultilevel"/>
    <w:lvl w:ilvl="0">
      <w:lvlJc w:val="left"/>
      <w:lvlText w:val="(%1)"/>
      <w:numFmt w:val="decimal"/>
      <w:start w:val="6"/>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1)"/>
      <w:numFmt w:val="decimal"/>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1)"/>
      <w:numFmt w:val="decimal"/>
      <w:start w:val="1"/>
    </w:lvl>
  </w:abstractNum>
  <w:abstractNum w:abstractNumId="26">
    <w:nsid w:val="5F5E7FD0"/>
    <w:multiLevelType w:val="hybridMultilevel"/>
    <w:lvl w:ilvl="0">
      <w:lvlJc w:val="left"/>
      <w:lvlText w:val="(%1)"/>
      <w:numFmt w:val="lowerRoman"/>
      <w:start w:val="3"/>
    </w:lvl>
  </w:abstractNum>
  <w:abstractNum w:abstractNumId="27">
    <w:nsid w:val="98A314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
    <w:nsid w:val="799D0247"/>
    <w:multiLevelType w:val="hybridMultilevel"/>
    <w:lvl w:ilvl="0">
      <w:lvlJc w:val="left"/>
      <w:lvlText w:val="(%1)"/>
      <w:numFmt w:val="decimal"/>
      <w:start w:val="2"/>
    </w:lvl>
    <w:lvl w:ilvl="1">
      <w:lvlJc w:val="left"/>
      <w:lvlText w:val="(%2)"/>
      <w:numFmt w:val="upperLetter"/>
      <w:start w:val="1"/>
    </w:lvl>
  </w:abstractNum>
  <w:abstractNum w:abstractNumId="29">
    <w:nsid w:val="6B94764"/>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0">
    <w:nsid w:val="42C296B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1">
    <w:nsid w:val="168E121F"/>
    <w:multiLevelType w:val="hybridMultilevel"/>
    <w:lvl w:ilvl="0">
      <w:lvlJc w:val="left"/>
      <w:lvlText w:val="(%1)"/>
      <w:numFmt w:val="lowerLetter"/>
      <w:start w:val="3"/>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1)"/>
      <w:numFmt w:val="lowerLetter"/>
      <w:start w:val="1"/>
    </w:lvl>
  </w:abstractNum>
  <w:abstractNum w:abstractNumId="34">
    <w:nsid w:val="5DC79EA8"/>
    <w:multiLevelType w:val="hybridMultilevel"/>
    <w:lvl w:ilvl="0">
      <w:lvlJc w:val="left"/>
      <w:lvlText w:val="(%1)"/>
      <w:numFmt w:val="lowerLetter"/>
      <w:start w:val="2"/>
    </w:lvl>
  </w:abstractNum>
  <w:abstractNum w:abstractNumId="35">
    <w:nsid w:val="540A471C"/>
    <w:multiLevelType w:val="hybridMultilevel"/>
    <w:lvl w:ilvl="0">
      <w:lvlJc w:val="left"/>
      <w:lvlText w:val="(%1)"/>
      <w:numFmt w:val="lowerLetter"/>
      <w:start w:val="1"/>
    </w:lvl>
  </w:abstractNum>
  <w:abstractNum w:abstractNumId="36">
    <w:nsid w:val="7BD3EE7B"/>
    <w:multiLevelType w:val="hybridMultilevel"/>
    <w:lvl w:ilvl="0">
      <w:lvlJc w:val="left"/>
      <w:lvlText w:val="(%1)"/>
      <w:numFmt w:val="lowerLetter"/>
      <w:start w:val="1"/>
    </w:lvl>
  </w:abstractNum>
  <w:abstractNum w:abstractNumId="37">
    <w:nsid w:val="51D9C564"/>
    <w:multiLevelType w:val="hybridMultilevel"/>
    <w:lvl w:ilvl="0">
      <w:lvlJc w:val="left"/>
      <w:lvlText w:val="(%1)"/>
      <w:numFmt w:val="decimal"/>
      <w:start w:val="1"/>
    </w:lvl>
    <w:lvl w:ilvl="1">
      <w:lvlJc w:val="left"/>
      <w:lvlText w:val="(%2)"/>
      <w:numFmt w:val="lowerLetter"/>
      <w:start w:val="1"/>
    </w:lvl>
  </w:abstractNum>
  <w:abstractNum w:abstractNumId="38">
    <w:nsid w:val="613EFDC5"/>
    <w:multiLevelType w:val="hybridMultilevel"/>
    <w:lvl w:ilvl="0">
      <w:lvlJc w:val="left"/>
      <w:lvlText w:val="(%1)"/>
      <w:numFmt w:val="lowerLetter"/>
      <w:start w:val="8"/>
    </w:lvl>
  </w:abstractNum>
  <w:abstractNum w:abstractNumId="39">
    <w:nsid w:val="BF72B14"/>
    <w:multiLevelType w:val="hybridMultilevel"/>
    <w:lvl w:ilvl="0">
      <w:lvlJc w:val="left"/>
      <w:lvlText w:val="(%1)"/>
      <w:numFmt w:val="lowerLetter"/>
      <w:start w:val="1"/>
    </w:lvl>
    <w:lvl w:ilvl="1">
      <w:lvlJc w:val="left"/>
      <w:lvlText w:val="(%2)"/>
      <w:numFmt w:val="decimal"/>
      <w:start w:val="1"/>
    </w:lvl>
  </w:abstractNum>
  <w:abstractNum w:abstractNumId="40">
    <w:nsid w:val="11447B73"/>
    <w:multiLevelType w:val="hybridMultilevel"/>
    <w:lvl w:ilvl="0">
      <w:lvlJc w:val="left"/>
      <w:lvlText w:val="%1"/>
      <w:numFmt w:val="lowerLetter"/>
      <w:start w:val="1"/>
    </w:lvl>
    <w:lvl w:ilvl="1">
      <w:lvlJc w:val="left"/>
      <w:lvlText w:val="(%2)"/>
      <w:numFmt w:val="decimal"/>
      <w:start w:val="2"/>
    </w:lvl>
  </w:abstractNum>
  <w:abstractNum w:abstractNumId="41">
    <w:nsid w:val="42963E5A"/>
    <w:multiLevelType w:val="hybridMultilevel"/>
    <w:lvl w:ilvl="0">
      <w:lvlJc w:val="left"/>
      <w:lvlText w:val="(%1)"/>
      <w:numFmt w:val="lowerLetter"/>
      <w:start w:val="2"/>
    </w:lvl>
    <w:lvl w:ilvl="1">
      <w:lvlJc w:val="left"/>
      <w:lvlText w:val="%2"/>
      <w:numFmt w:val="decimal"/>
      <w:start w:val="1"/>
    </w:lvl>
  </w:abstractNum>
  <w:abstractNum w:abstractNumId="42">
    <w:nsid w:val="A0382C5"/>
    <w:multiLevelType w:val="hybridMultilevel"/>
    <w:lvl w:ilvl="0">
      <w:lvlJc w:val="left"/>
      <w:lvlText w:val="(%1)"/>
      <w:numFmt w:val="lowerLetter"/>
      <w:start w:val="3"/>
    </w:lvl>
  </w:abstractNum>
  <w:abstractNum w:abstractNumId="43">
    <w:nsid w:val="8F2B15E"/>
    <w:multiLevelType w:val="hybridMultilevel"/>
    <w:lvl w:ilvl="0">
      <w:lvlJc w:val="left"/>
      <w:lvlText w:val="(%1)"/>
      <w:numFmt w:val="lowerLetter"/>
      <w:start w:val="1"/>
    </w:lvl>
  </w:abstractNum>
  <w:abstractNum w:abstractNumId="44">
    <w:nsid w:val="1A32234B"/>
    <w:multiLevelType w:val="hybridMultilevel"/>
    <w:lvl w:ilvl="0">
      <w:lvlJc w:val="left"/>
      <w:lvlText w:val="(%1)"/>
      <w:numFmt w:val="lowerLetter"/>
      <w:start w:val="2"/>
    </w:lvl>
  </w:abstractNum>
  <w:abstractNum w:abstractNumId="45">
    <w:nsid w:val="3B0FD379"/>
    <w:multiLevelType w:val="hybridMultilevel"/>
    <w:lvl w:ilvl="0">
      <w:lvlJc w:val="left"/>
      <w:lvlText w:val="(%1)"/>
      <w:numFmt w:val="lowerLetter"/>
      <w:start w:val="1"/>
    </w:lvl>
  </w:abstractNum>
  <w:abstractNum w:abstractNumId="46">
    <w:nsid w:val="68EB2F63"/>
    <w:multiLevelType w:val="hybridMultilevel"/>
    <w:lvl w:ilvl="0">
      <w:lvlJc w:val="left"/>
      <w:lvlText w:val="(%1)"/>
      <w:numFmt w:val="lowerLetter"/>
      <w:start w:val="5"/>
    </w:lvl>
    <w:lvl w:ilvl="1">
      <w:lvlJc w:val="left"/>
      <w:lvlText w:val="(%2)"/>
      <w:numFmt w:val="decimal"/>
      <w:start w:val="1"/>
    </w:lvl>
  </w:abstractNum>
  <w:abstractNum w:abstractNumId="47">
    <w:nsid w:val="4962813B"/>
    <w:multiLevelType w:val="hybridMultilevel"/>
    <w:lvl w:ilvl="0">
      <w:lvlJc w:val="left"/>
      <w:lvlText w:val="(%1)"/>
      <w:numFmt w:val="lowerLetter"/>
      <w:start w:val="1"/>
    </w:lvl>
  </w:abstractNum>
  <w:abstractNum w:abstractNumId="48">
    <w:nsid w:val="60B6DF70"/>
    <w:multiLevelType w:val="hybridMultilevel"/>
    <w:lvl w:ilvl="0">
      <w:lvlJc w:val="left"/>
      <w:lvlText w:val="(%1)"/>
      <w:numFmt w:val="lowerLetter"/>
      <w:start w:val="1"/>
    </w:lvl>
  </w:abstractNum>
  <w:abstractNum w:abstractNumId="49">
    <w:nsid w:val="6A5EE64"/>
    <w:multiLevelType w:val="hybridMultilevel"/>
    <w:lvl w:ilvl="0">
      <w:lvlJc w:val="left"/>
      <w:lvlText w:val="(%1)"/>
      <w:numFmt w:val="lowerLetter"/>
      <w:start w:val="1"/>
    </w:lvl>
  </w:abstractNum>
  <w:abstractNum w:abstractNumId="50">
    <w:nsid w:val="14330624"/>
    <w:multiLevelType w:val="hybridMultilevel"/>
    <w:lvl w:ilvl="0">
      <w:lvlJc w:val="left"/>
      <w:lvlText w:val="(%1)"/>
      <w:numFmt w:val="lowerLetter"/>
      <w:start w:val="1"/>
    </w:lvl>
  </w:abstractNum>
  <w:abstractNum w:abstractNumId="51">
    <w:nsid w:val="7FFFCA11"/>
    <w:multiLevelType w:val="hybridMultilevel"/>
    <w:lvl w:ilvl="0">
      <w:lvlJc w:val="left"/>
      <w:lvlText w:val="(%1)"/>
      <w:numFmt w:val="lowerLetter"/>
      <w:start w:val="1"/>
    </w:lvl>
    <w:lvl w:ilvl="1">
      <w:lvlJc w:val="left"/>
      <w:lvlText w:val="(%2)"/>
      <w:numFmt w:val="decimal"/>
      <w:start w:val="1"/>
    </w:lvl>
  </w:abstractNum>
  <w:abstractNum w:abstractNumId="52">
    <w:nsid w:val="1A27709E"/>
    <w:multiLevelType w:val="hybridMultilevel"/>
    <w:lvl w:ilvl="0">
      <w:lvlJc w:val="left"/>
      <w:lvlText w:val="%1"/>
      <w:numFmt w:val="lowerLetter"/>
      <w:start w:val="1"/>
    </w:lvl>
    <w:lvl w:ilvl="1">
      <w:lvlJc w:val="left"/>
      <w:lvlText w:val="(%2)"/>
      <w:numFmt w:val="decimal"/>
      <w:start w:val="2"/>
    </w:lvl>
  </w:abstractNum>
  <w:abstractNum w:abstractNumId="53">
    <w:nsid w:val="71EA1109"/>
    <w:multiLevelType w:val="hybridMultilevel"/>
    <w:lvl w:ilvl="0">
      <w:lvlJc w:val="left"/>
      <w:lvlText w:val="(%1)"/>
      <w:numFmt w:val="lowerLetter"/>
      <w:start w:val="3"/>
    </w:lvl>
    <w:lvl w:ilvl="1">
      <w:lvlJc w:val="left"/>
      <w:lvlText w:val="(%2)"/>
      <w:numFmt w:val="decimal"/>
      <w:start w:val="1"/>
    </w:lvl>
  </w:abstractNum>
  <w:abstractNum w:abstractNumId="54">
    <w:nsid w:val="100F59DC"/>
    <w:multiLevelType w:val="hybridMultilevel"/>
    <w:lvl w:ilvl="0">
      <w:lvlJc w:val="left"/>
      <w:lvlText w:val="(%1)"/>
      <w:numFmt w:val="lowerLetter"/>
      <w:start w:val="1"/>
    </w:lvl>
  </w:abstractNum>
  <w:abstractNum w:abstractNumId="55">
    <w:nsid w:val="7FB7E0AA"/>
    <w:multiLevelType w:val="hybridMultilevel"/>
    <w:lvl w:ilvl="0">
      <w:lvlJc w:val="left"/>
      <w:lvlText w:val="(%1)"/>
      <w:numFmt w:val="lowerLetter"/>
      <w:start w:val="3"/>
    </w:lvl>
  </w:abstractNum>
  <w:abstractNum w:abstractNumId="56">
    <w:nsid w:val="6EB5BD4"/>
    <w:multiLevelType w:val="hybridMultilevel"/>
    <w:lvl w:ilvl="0">
      <w:lvlJc w:val="left"/>
      <w:lvlText w:val="(%1)"/>
      <w:numFmt w:val="lowerLetter"/>
      <w:start w:val="10"/>
    </w:lvl>
  </w:abstractNum>
  <w:abstractNum w:abstractNumId="57">
    <w:nsid w:val="6F6DD9AC"/>
    <w:multiLevelType w:val="hybridMultilevel"/>
    <w:lvl w:ilvl="0">
      <w:lvlJc w:val="left"/>
      <w:lvlText w:val="(%1)"/>
      <w:numFmt w:val="lowerLetter"/>
      <w:start w:val="2"/>
    </w:lvl>
  </w:abstractNum>
  <w:abstractNum w:abstractNumId="58">
    <w:nsid w:val="94211F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59">
    <w:nsid w:val="885E1B"/>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60">
    <w:nsid w:val="76272110"/>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61">
    <w:nsid w:val="4C04A8AF"/>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62">
    <w:nsid w:val="1716703B"/>
    <w:multiLevelType w:val="hybridMultilevel"/>
    <w:lvl w:ilvl="0">
      <w:lvlJc w:val="left"/>
      <w:lvlText w:val="(%1)"/>
      <w:numFmt w:val="lowerLetter"/>
      <w:start w:val="3"/>
    </w:lvl>
    <w:lvl w:ilvl="1">
      <w:lvlJc w:val="left"/>
      <w:lvlText w:val="(%2)"/>
      <w:numFmt w:val="decimal"/>
      <w:start w:val="1"/>
    </w:lvl>
  </w:abstractNum>
  <w:abstractNum w:abstractNumId="63">
    <w:nsid w:val="14E17E33"/>
    <w:multiLevelType w:val="hybridMultilevel"/>
    <w:lvl w:ilvl="0">
      <w:lvlJc w:val="left"/>
      <w:lvlText w:val="(%1)"/>
      <w:numFmt w:val="lowerLetter"/>
      <w:start w:val="4"/>
    </w:lvl>
  </w:abstractNum>
  <w:abstractNum w:abstractNumId="64">
    <w:nsid w:val="3222E7CD"/>
    <w:multiLevelType w:val="hybridMultilevel"/>
    <w:lvl w:ilvl="0">
      <w:lvlJc w:val="left"/>
      <w:lvlText w:val="(%1)"/>
      <w:numFmt w:val="decimal"/>
      <w:start w:val="1"/>
    </w:lvl>
  </w:abstractNum>
  <w:abstractNum w:abstractNumId="65">
    <w:nsid w:val="74DE0EE3"/>
    <w:multiLevelType w:val="hybridMultilevel"/>
    <w:lvl w:ilvl="0">
      <w:lvlJc w:val="left"/>
      <w:lvlText w:val="(%1)"/>
      <w:numFmt w:val="decimal"/>
      <w:start w:val="8"/>
    </w:lvl>
  </w:abstractNum>
  <w:abstractNum w:abstractNumId="66">
    <w:nsid w:val="68EBC550"/>
    <w:multiLevelType w:val="hybridMultilevel"/>
    <w:lvl w:ilvl="0">
      <w:lvlJc w:val="left"/>
      <w:lvlText w:val="(%1)"/>
      <w:numFmt w:val="decimal"/>
      <w:start w:val="1"/>
    </w:lvl>
  </w:abstractNum>
  <w:abstractNum w:abstractNumId="67">
    <w:nsid w:val="2DF6D648"/>
    <w:multiLevelType w:val="hybridMultilevel"/>
    <w:lvl w:ilvl="0">
      <w:lvlJc w:val="left"/>
      <w:lvlText w:val="%1."/>
      <w:numFmt w:val="decimal"/>
      <w:start w:val="1"/>
    </w:lvl>
  </w:abstractNum>
  <w:abstractNum w:abstractNumId="68">
    <w:nsid w:val="46B7D447"/>
    <w:multiLevelType w:val="hybridMultilevel"/>
    <w:lvl w:ilvl="0">
      <w:lvlJc w:val="left"/>
      <w:lvlText w:val="%1."/>
      <w:numFmt w:val="decimal"/>
      <w:start w:val="1"/>
    </w:lvl>
  </w:abstractNum>
  <w:abstractNum w:abstractNumId="69">
    <w:nsid w:val="4A2AC315"/>
    <w:multiLevelType w:val="hybridMultilevel"/>
    <w:lvl w:ilvl="0">
      <w:lvlJc w:val="left"/>
      <w:lvlText w:val="%1."/>
      <w:numFmt w:val="decimal"/>
      <w:start w:val="4"/>
    </w:lvl>
  </w:abstractNum>
  <w:abstractNum w:abstractNumId="70">
    <w:nsid w:val="39EE015C"/>
    <w:multiLevelType w:val="hybridMultilevel"/>
    <w:lvl w:ilvl="0">
      <w:lvlJc w:val="left"/>
      <w:lvlText w:val="(%1)"/>
      <w:numFmt w:val="lowerLetter"/>
      <w:start w:val="1"/>
    </w:lvl>
  </w:abstractNum>
  <w:abstractNum w:abstractNumId="71">
    <w:nsid w:val="57FC4FBB"/>
    <w:multiLevelType w:val="hybridMultilevel"/>
    <w:lvl w:ilvl="0">
      <w:lvlJc w:val="left"/>
      <w:lvlText w:val="(%1)"/>
      <w:numFmt w:val="lowerLetter"/>
      <w:start w:val="1"/>
    </w:lvl>
  </w:abstractNum>
  <w:abstractNum w:abstractNumId="72">
    <w:nsid w:val="CC1016F"/>
    <w:multiLevelType w:val="hybridMultilevel"/>
    <w:lvl w:ilvl="0">
      <w:lvlJc w:val="left"/>
      <w:lvlText w:val="(%1)"/>
      <w:numFmt w:val="lowerLetter"/>
      <w:start w:val="1"/>
    </w:lvl>
  </w:abstractNum>
  <w:abstractNum w:abstractNumId="73">
    <w:nsid w:val="43F18422"/>
    <w:multiLevelType w:val="hybridMultilevel"/>
    <w:lvl w:ilvl="0">
      <w:lvlJc w:val="left"/>
      <w:lvlText w:val="(%1)"/>
      <w:numFmt w:val="decimal"/>
      <w:start w:val="1"/>
    </w:lvl>
    <w:lvl w:ilvl="1">
      <w:lvlJc w:val="left"/>
      <w:lvlText w:val="(%2)"/>
      <w:numFmt w:val="lowerLetter"/>
      <w:start w:val="1"/>
    </w:lvl>
  </w:abstractNum>
  <w:abstractNum w:abstractNumId="74">
    <w:nsid w:val="60EF0119"/>
    <w:multiLevelType w:val="hybridMultilevel"/>
    <w:lvl w:ilvl="0">
      <w:lvlJc w:val="left"/>
      <w:lvlText w:val="(%1)"/>
      <w:numFmt w:val="lowerLetter"/>
      <w:start w:val="8"/>
    </w:lvl>
  </w:abstractNum>
  <w:abstractNum w:abstractNumId="75">
    <w:nsid w:val="26F324BA"/>
    <w:multiLevelType w:val="hybridMultilevel"/>
    <w:lvl w:ilvl="0">
      <w:lvlJc w:val="left"/>
      <w:lvlText w:val="(%1)"/>
      <w:numFmt w:val="lowerLetter"/>
      <w:start w:val="1"/>
    </w:lvl>
    <w:lvl w:ilvl="1">
      <w:lvlJc w:val="left"/>
      <w:lvlText w:val="(%2)"/>
      <w:numFmt w:val="decimal"/>
      <w:start w:val="1"/>
    </w:lvl>
  </w:abstractNum>
  <w:abstractNum w:abstractNumId="76">
    <w:nsid w:val="7F01579B"/>
    <w:multiLevelType w:val="hybridMultilevel"/>
    <w:lvl w:ilvl="0">
      <w:lvlJc w:val="left"/>
      <w:lvlText w:val="%1"/>
      <w:numFmt w:val="lowerLetter"/>
      <w:start w:val="1"/>
    </w:lvl>
    <w:lvl w:ilvl="1">
      <w:lvlJc w:val="left"/>
      <w:lvlText w:val="(%2)"/>
      <w:numFmt w:val="decimal"/>
      <w:start w:val="2"/>
    </w:lvl>
  </w:abstractNum>
  <w:abstractNum w:abstractNumId="77">
    <w:nsid w:val="49DA307D"/>
    <w:multiLevelType w:val="hybridMultilevel"/>
    <w:lvl w:ilvl="0">
      <w:lvlJc w:val="left"/>
      <w:lvlText w:val="(%1)"/>
      <w:numFmt w:val="lowerLetter"/>
      <w:start w:val="2"/>
    </w:lvl>
    <w:lvl w:ilvl="1">
      <w:lvlJc w:val="left"/>
      <w:lvlText w:val="%2"/>
      <w:numFmt w:val="decimal"/>
      <w:start w:val="1"/>
    </w:lvl>
  </w:abstractNum>
  <w:abstractNum w:abstractNumId="78">
    <w:nsid w:val="7055A5F5"/>
    <w:multiLevelType w:val="hybridMultilevel"/>
    <w:lvl w:ilvl="0">
      <w:lvlJc w:val="left"/>
      <w:lvlText w:val="(%1)"/>
      <w:numFmt w:val="lowerLetter"/>
      <w:start w:val="3"/>
    </w:lvl>
  </w:abstractNum>
  <w:abstractNum w:abstractNumId="79">
    <w:nsid w:val="5FB8370B"/>
    <w:multiLevelType w:val="hybridMultilevel"/>
    <w:lvl w:ilvl="0">
      <w:lvlJc w:val="left"/>
      <w:lvlText w:val="(%1)"/>
      <w:numFmt w:val="lowerLetter"/>
      <w:start w:val="1"/>
    </w:lvl>
  </w:abstractNum>
  <w:abstractNum w:abstractNumId="80">
    <w:nsid w:val="50801EE1"/>
    <w:multiLevelType w:val="hybridMultilevel"/>
    <w:lvl w:ilvl="0">
      <w:lvlJc w:val="left"/>
      <w:lvlText w:val="(%1)"/>
      <w:numFmt w:val="lowerLetter"/>
      <w:start w:val="2"/>
    </w:lvl>
  </w:abstractNum>
  <w:abstractNum w:abstractNumId="81">
    <w:nsid w:val="488AC1A"/>
    <w:multiLevelType w:val="hybridMultilevel"/>
    <w:lvl w:ilvl="0">
      <w:lvlJc w:val="left"/>
      <w:lvlText w:val="(%1)"/>
      <w:numFmt w:val="lowerLetter"/>
      <w:start w:val="1"/>
    </w:lvl>
  </w:abstractNum>
  <w:abstractNum w:abstractNumId="82">
    <w:nsid w:val="5FB8011C"/>
    <w:multiLevelType w:val="hybridMultilevel"/>
    <w:lvl w:ilvl="0">
      <w:lvlJc w:val="left"/>
      <w:lvlText w:val="(%1)"/>
      <w:numFmt w:val="lowerLetter"/>
      <w:start w:val="5"/>
    </w:lvl>
    <w:lvl w:ilvl="1">
      <w:lvlJc w:val="left"/>
      <w:lvlText w:val="(%2)"/>
      <w:numFmt w:val="decimal"/>
      <w:start w:val="1"/>
    </w:lvl>
  </w:abstractNum>
  <w:abstractNum w:abstractNumId="83">
    <w:nsid w:val="6AA78F7F"/>
    <w:multiLevelType w:val="hybridMultilevel"/>
    <w:lvl w:ilvl="0">
      <w:lvlJc w:val="left"/>
      <w:lvlText w:val="(%1)"/>
      <w:numFmt w:val="lowerLetter"/>
      <w:start w:val="1"/>
    </w:lvl>
  </w:abstractNum>
  <w:abstractNum w:abstractNumId="84">
    <w:nsid w:val="7672BD23"/>
    <w:multiLevelType w:val="hybridMultilevel"/>
    <w:lvl w:ilvl="0">
      <w:lvlJc w:val="left"/>
      <w:lvlText w:val="(%1)"/>
      <w:numFmt w:val="lowerLetter"/>
      <w:start w:val="1"/>
    </w:lvl>
  </w:abstractNum>
  <w:abstractNum w:abstractNumId="85">
    <w:nsid w:val="6FC75AF8"/>
    <w:multiLevelType w:val="hybridMultilevel"/>
    <w:lvl w:ilvl="0">
      <w:lvlJc w:val="left"/>
      <w:lvlText w:val="(%1)"/>
      <w:numFmt w:val="lowerLetter"/>
      <w:start w:val="1"/>
    </w:lvl>
  </w:abstractNum>
  <w:abstractNum w:abstractNumId="86">
    <w:nsid w:val="6A5F7029"/>
    <w:multiLevelType w:val="hybridMultilevel"/>
    <w:lvl w:ilvl="0">
      <w:lvlJc w:val="left"/>
      <w:lvlText w:val="(%1)"/>
      <w:numFmt w:val="lowerLetter"/>
      <w:start w:val="1"/>
    </w:lvl>
  </w:abstractNum>
  <w:abstractNum w:abstractNumId="87">
    <w:nsid w:val="7D5E18F8"/>
    <w:multiLevelType w:val="hybridMultilevel"/>
    <w:lvl w:ilvl="0">
      <w:lvlJc w:val="left"/>
      <w:lvlText w:val="(%1)"/>
      <w:numFmt w:val="lowerLetter"/>
      <w:start w:val="1"/>
    </w:lvl>
    <w:lvl w:ilvl="1">
      <w:lvlJc w:val="left"/>
      <w:lvlText w:val="(%2)"/>
      <w:numFmt w:val="decimal"/>
      <w:start w:val="1"/>
    </w:lvl>
  </w:abstractNum>
  <w:abstractNum w:abstractNumId="88">
    <w:nsid w:val="5F3534A4"/>
    <w:multiLevelType w:val="hybridMultilevel"/>
    <w:lvl w:ilvl="0">
      <w:lvlJc w:val="left"/>
      <w:lvlText w:val="%1"/>
      <w:numFmt w:val="lowerLetter"/>
      <w:start w:val="1"/>
    </w:lvl>
    <w:lvl w:ilvl="1">
      <w:lvlJc w:val="left"/>
      <w:lvlText w:val="(%2)"/>
      <w:numFmt w:val="decimal"/>
      <w:start w:val="2"/>
    </w:lvl>
  </w:abstractNum>
  <w:abstractNum w:abstractNumId="89">
    <w:nsid w:val="73A1821B"/>
    <w:multiLevelType w:val="hybridMultilevel"/>
    <w:lvl w:ilvl="0">
      <w:lvlJc w:val="left"/>
      <w:lvlText w:val="(%1)"/>
      <w:numFmt w:val="lowerLetter"/>
      <w:start w:val="3"/>
    </w:lvl>
    <w:lvl w:ilvl="1">
      <w:lvlJc w:val="left"/>
      <w:lvlText w:val="(%2)"/>
      <w:numFmt w:val="decimal"/>
      <w:start w:val="1"/>
    </w:lvl>
  </w:abstractNum>
  <w:abstractNum w:abstractNumId="90">
    <w:nsid w:val="7DE67713"/>
    <w:multiLevelType w:val="hybridMultilevel"/>
    <w:lvl w:ilvl="0">
      <w:lvlJc w:val="left"/>
      <w:lvlText w:val="(%1)"/>
      <w:numFmt w:val="lowerLetter"/>
      <w:start w:val="1"/>
    </w:lvl>
  </w:abstractNum>
  <w:abstractNum w:abstractNumId="91">
    <w:nsid w:val="555C55B5"/>
    <w:multiLevelType w:val="hybridMultilevel"/>
    <w:lvl w:ilvl="0">
      <w:lvlJc w:val="left"/>
      <w:lvlText w:val="(%1)"/>
      <w:numFmt w:val="lowerLetter"/>
      <w:start w:val="3"/>
    </w:lvl>
  </w:abstractNum>
  <w:abstractNum w:abstractNumId="92">
    <w:nsid w:val="3FA62ACA"/>
    <w:multiLevelType w:val="hybridMultilevel"/>
    <w:lvl w:ilvl="0">
      <w:lvlJc w:val="left"/>
      <w:lvlText w:val="(%1)"/>
      <w:numFmt w:val="lowerLetter"/>
      <w:start w:val="10"/>
    </w:lvl>
  </w:abstractNum>
  <w:abstractNum w:abstractNumId="93">
    <w:nsid w:val="14FCE74E"/>
    <w:multiLevelType w:val="hybridMultilevel"/>
    <w:lvl w:ilvl="0">
      <w:lvlJc w:val="left"/>
      <w:lvlText w:val="(%1)"/>
      <w:numFmt w:val="lowerLetter"/>
      <w:start w:val="2"/>
    </w:lvl>
  </w:abstractNum>
  <w:abstractNum w:abstractNumId="94">
    <w:nsid w:val="6A3DD3E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95">
    <w:nsid w:val="71C9129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96">
    <w:nsid w:val="9DAF632"/>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97">
    <w:nsid w:val="53299938"/>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98">
    <w:nsid w:val="1FBFE8E0"/>
    <w:multiLevelType w:val="hybridMultilevel"/>
    <w:lvl w:ilvl="0">
      <w:lvlJc w:val="left"/>
      <w:lvlText w:val="(%1)"/>
      <w:numFmt w:val="lowerLetter"/>
      <w:start w:val="3"/>
    </w:lvl>
    <w:lvl w:ilvl="1">
      <w:lvlJc w:val="left"/>
      <w:lvlText w:val="(%2)"/>
      <w:numFmt w:val="decimal"/>
      <w:start w:val="1"/>
    </w:lvl>
  </w:abstractNum>
  <w:abstractNum w:abstractNumId="99">
    <w:nsid w:val="5092CA79"/>
    <w:multiLevelType w:val="hybridMultilevel"/>
    <w:lvl w:ilvl="0">
      <w:lvlJc w:val="left"/>
      <w:lvlText w:val="(%1)"/>
      <w:numFmt w:val="lowerLetter"/>
      <w:start w:val="4"/>
    </w:lvl>
  </w:abstractNum>
  <w:abstractNum w:abstractNumId="100">
    <w:nsid w:val="1D545C4D"/>
    <w:multiLevelType w:val="hybridMultilevel"/>
    <w:lvl w:ilvl="0">
      <w:lvlJc w:val="left"/>
      <w:lvlText w:val="(%1)"/>
      <w:numFmt w:val="decimal"/>
      <w:start w:val="1"/>
    </w:lvl>
  </w:abstractNum>
  <w:abstractNum w:abstractNumId="101">
    <w:nsid w:val="59ADEA3D"/>
    <w:multiLevelType w:val="hybridMultilevel"/>
    <w:lvl w:ilvl="0">
      <w:lvlJc w:val="left"/>
      <w:lvlText w:val="(%1)"/>
      <w:numFmt w:val="decimal"/>
      <w:start w:val="8"/>
    </w:lvl>
  </w:abstractNum>
  <w:abstractNum w:abstractNumId="102">
    <w:nsid w:val="288F1A34"/>
    <w:multiLevelType w:val="hybridMultilevel"/>
    <w:lvl w:ilvl="0">
      <w:lvlJc w:val="left"/>
      <w:lvlText w:val="(%1)"/>
      <w:numFmt w:val="decimal"/>
      <w:start w:val="1"/>
    </w:lvl>
  </w:abstractNum>
  <w:abstractNum w:abstractNumId="103">
    <w:nsid w:val="2A155DBC"/>
    <w:multiLevelType w:val="hybridMultilevel"/>
    <w:lvl w:ilvl="0">
      <w:lvlJc w:val="left"/>
      <w:lvlText w:val="%1."/>
      <w:numFmt w:val="decimal"/>
      <w:start w:val="1"/>
    </w:lvl>
  </w:abstractNum>
  <w:abstractNum w:abstractNumId="104">
    <w:nsid w:val="1D9F6E5F"/>
    <w:multiLevelType w:val="hybridMultilevel"/>
    <w:lvl w:ilvl="0">
      <w:lvlJc w:val="left"/>
      <w:lvlText w:val="%1."/>
      <w:numFmt w:val="decimal"/>
      <w:start w:val="1"/>
    </w:lvl>
  </w:abstractNum>
  <w:abstractNum w:abstractNumId="105">
    <w:nsid w:val="97E1B4E"/>
    <w:multiLevelType w:val="hybridMultilevel"/>
    <w:lvl w:ilvl="0">
      <w:lvlJc w:val="left"/>
      <w:lvlText w:val="%1."/>
      <w:numFmt w:val="decimal"/>
      <w:start w:val="4"/>
    </w:lvl>
  </w:abstractNum>
  <w:abstractNum w:abstractNumId="106">
    <w:nsid w:val="51088277"/>
    <w:multiLevelType w:val="hybridMultilevel"/>
    <w:lvl w:ilvl="0">
      <w:lvlJc w:val="left"/>
      <w:lvlText w:val="(%1)"/>
      <w:numFmt w:val="lowerRoman"/>
      <w:start w:val="1"/>
    </w:lvl>
  </w:abstractNum>
  <w:abstractNum w:abstractNumId="107">
    <w:nsid w:val="1CA0C5FA"/>
    <w:multiLevelType w:val="hybridMultilevel"/>
    <w:lvl w:ilvl="0">
      <w:lvlJc w:val="left"/>
      <w:lvlText w:val="(%1)"/>
      <w:numFmt w:val="lowerRoman"/>
      <w:start w:val="1"/>
    </w:lvl>
  </w:abstractNum>
  <w:abstractNum w:abstractNumId="108">
    <w:nsid w:val="53584BCB"/>
    <w:multiLevelType w:val="hybridMultilevel"/>
    <w:lvl w:ilvl="0">
      <w:lvlJc w:val="left"/>
      <w:lvlText w:val="(%1)"/>
      <w:numFmt w:val="lowerRoman"/>
      <w:start w:val="1"/>
    </w:lvl>
  </w:abstractNum>
  <w:abstractNum w:abstractNumId="109">
    <w:nsid w:val="415E286C"/>
    <w:multiLevelType w:val="hybridMultilevel"/>
    <w:lvl w:ilvl="0">
      <w:lvlJc w:val="left"/>
      <w:lvlText w:val="(%1)"/>
      <w:numFmt w:val="lowerRoman"/>
      <w:start w:val="1"/>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lowerLetter"/>
      <w:start w:val="2"/>
    </w:lvl>
  </w:abstractNum>
  <w:abstractNum w:abstractNumId="112">
    <w:nsid w:val="45E6D486"/>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2019-12-10T03:33:50Z</dcterms:created>
  <dcterms:modified xsi:type="dcterms:W3CDTF">2019-12-10T03:33:50Z</dcterms:modified>
</cp:coreProperties>
</file>