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0001792876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6"/>
        <w:gridCol w:w="3429"/>
      </w:tblGrid>
      <w:tr>
        <w:trPr/>
        <w:tc>
          <w:tcPr>
            <w:tcW w:w="6776" w:type="dxa"/>
            <w:tcBorders/>
            <w:vAlign w:val="center"/>
          </w:tcPr>
          <w:p>
            <w:pPr>
              <w:pStyle w:val="TableContents"/>
              <w:bidi w:val="0"/>
              <w:spacing w:before="0" w:after="283"/>
              <w:jc w:val="left"/>
              <w:rPr/>
            </w:pPr>
            <w:r>
              <w:rPr/>
              <w:t>Name of Issuer</w:t>
            </w:r>
          </w:p>
        </w:tc>
        <w:tc>
          <w:tcPr>
            <w:tcW w:w="3429" w:type="dxa"/>
            <w:tcBorders/>
            <w:vAlign w:val="center"/>
          </w:tcPr>
          <w:p>
            <w:pPr>
              <w:pStyle w:val="TableContents"/>
              <w:bidi w:val="0"/>
              <w:spacing w:before="0" w:after="0"/>
              <w:jc w:val="left"/>
              <w:rPr/>
            </w:pPr>
            <w:r>
              <w:rPr/>
              <w:t>SLB LIMITED/NV</w:t>
            </w:r>
          </w:p>
        </w:tc>
      </w:tr>
      <w:tr>
        <w:trPr/>
        <w:tc>
          <w:tcPr>
            <w:tcW w:w="6776" w:type="dxa"/>
            <w:tcBorders/>
            <w:vAlign w:val="center"/>
          </w:tcPr>
          <w:p>
            <w:pPr>
              <w:pStyle w:val="TableContents"/>
              <w:bidi w:val="0"/>
              <w:spacing w:before="0" w:after="283"/>
              <w:jc w:val="left"/>
              <w:rPr/>
            </w:pPr>
            <w:r>
              <w:rPr/>
              <w:t>SEC File Number</w:t>
            </w:r>
          </w:p>
        </w:tc>
        <w:tc>
          <w:tcPr>
            <w:tcW w:w="3429" w:type="dxa"/>
            <w:tcBorders/>
            <w:vAlign w:val="center"/>
          </w:tcPr>
          <w:p>
            <w:pPr>
              <w:pStyle w:val="TableContents"/>
              <w:bidi w:val="0"/>
              <w:spacing w:before="0" w:after="0"/>
              <w:jc w:val="left"/>
              <w:rPr/>
            </w:pPr>
            <w:r>
              <w:rPr/>
              <w:t>001-04601</w:t>
            </w:r>
          </w:p>
        </w:tc>
      </w:tr>
      <w:tr>
        <w:trPr/>
        <w:tc>
          <w:tcPr>
            <w:tcW w:w="6776" w:type="dxa"/>
            <w:tcBorders/>
            <w:vAlign w:val="center"/>
          </w:tcPr>
          <w:p>
            <w:pPr>
              <w:pStyle w:val="TableContents"/>
              <w:bidi w:val="0"/>
              <w:spacing w:before="0" w:after="283"/>
              <w:jc w:val="left"/>
              <w:rPr/>
            </w:pPr>
            <w:r>
              <w:rPr/>
              <w:t>Address of Issuer</w:t>
            </w:r>
          </w:p>
        </w:tc>
        <w:tc>
          <w:tcPr>
            <w:tcW w:w="3429"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6776" w:type="dxa"/>
            <w:tcBorders/>
            <w:vAlign w:val="center"/>
          </w:tcPr>
          <w:p>
            <w:pPr>
              <w:pStyle w:val="TableContents"/>
              <w:bidi w:val="0"/>
              <w:spacing w:before="0" w:after="283"/>
              <w:jc w:val="left"/>
              <w:rPr/>
            </w:pPr>
            <w:r>
              <w:rPr/>
              <w:t>Phone</w:t>
            </w:r>
          </w:p>
        </w:tc>
        <w:tc>
          <w:tcPr>
            <w:tcW w:w="3429" w:type="dxa"/>
            <w:tcBorders/>
            <w:vAlign w:val="center"/>
          </w:tcPr>
          <w:p>
            <w:pPr>
              <w:pStyle w:val="TableContents"/>
              <w:bidi w:val="0"/>
              <w:spacing w:before="0" w:after="0"/>
              <w:jc w:val="left"/>
              <w:rPr/>
            </w:pPr>
            <w:r>
              <w:rPr/>
              <w:t>7135132000</w:t>
            </w:r>
          </w:p>
        </w:tc>
      </w:tr>
      <w:tr>
        <w:trPr/>
        <w:tc>
          <w:tcPr>
            <w:tcW w:w="6776" w:type="dxa"/>
            <w:tcBorders/>
            <w:vAlign w:val="center"/>
          </w:tcPr>
          <w:p>
            <w:pPr>
              <w:pStyle w:val="TableContents"/>
              <w:bidi w:val="0"/>
              <w:spacing w:before="0" w:after="283"/>
              <w:jc w:val="left"/>
              <w:rPr/>
            </w:pPr>
            <w:r>
              <w:rPr/>
              <w:t>Name of Person for Whose Account the Securities are To Be Sold</w:t>
            </w:r>
          </w:p>
        </w:tc>
        <w:tc>
          <w:tcPr>
            <w:tcW w:w="3429" w:type="dxa"/>
            <w:tcBorders/>
            <w:vAlign w:val="center"/>
          </w:tcPr>
          <w:p>
            <w:pPr>
              <w:pStyle w:val="TableContents"/>
              <w:bidi w:val="0"/>
              <w:spacing w:before="0" w:after="0"/>
              <w:jc w:val="left"/>
              <w:rPr/>
            </w:pPr>
            <w:r>
              <w:rPr/>
              <w:t>de La Chevardiere Patrick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6" w:type="dxa"/>
            <w:tcBorders/>
            <w:vAlign w:val="center"/>
          </w:tcPr>
          <w:p>
            <w:pPr>
              <w:pStyle w:val="TableContents"/>
              <w:bidi w:val="0"/>
              <w:spacing w:before="0" w:after="283"/>
              <w:jc w:val="left"/>
              <w:rPr/>
            </w:pPr>
            <w:r>
              <w:rPr/>
              <w:t>Relationship to Issuer</w:t>
            </w:r>
          </w:p>
        </w:tc>
        <w:tc>
          <w:tcPr>
            <w:tcW w:w="34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1"/>
        <w:gridCol w:w="1899"/>
        <w:gridCol w:w="1122"/>
        <w:gridCol w:w="1328"/>
        <w:gridCol w:w="1511"/>
        <w:gridCol w:w="1542"/>
        <w:gridCol w:w="1332"/>
      </w:tblGrid>
      <w:tr>
        <w:trPr/>
        <w:tc>
          <w:tcPr>
            <w:tcW w:w="1471" w:type="dxa"/>
            <w:tcBorders/>
            <w:vAlign w:val="center"/>
          </w:tcPr>
          <w:p>
            <w:pPr>
              <w:pStyle w:val="TableHeading"/>
              <w:suppressLineNumbers/>
              <w:bidi w:val="0"/>
              <w:spacing w:before="0" w:after="283"/>
              <w:jc w:val="center"/>
              <w:rPr/>
            </w:pPr>
            <w:r>
              <w:rPr/>
              <w:t>Title of the Class of Securities To Be Sold</w:t>
            </w:r>
          </w:p>
        </w:tc>
        <w:tc>
          <w:tcPr>
            <w:tcW w:w="1899" w:type="dxa"/>
            <w:tcBorders/>
            <w:vAlign w:val="center"/>
          </w:tcPr>
          <w:p>
            <w:pPr>
              <w:pStyle w:val="TableHeading"/>
              <w:suppressLineNumbers/>
              <w:bidi w:val="0"/>
              <w:spacing w:before="0" w:after="283"/>
              <w:jc w:val="center"/>
              <w:rPr/>
            </w:pPr>
            <w:r>
              <w:rPr/>
              <w:t>Name and Address of the Broker</w:t>
            </w:r>
          </w:p>
        </w:tc>
        <w:tc>
          <w:tcPr>
            <w:tcW w:w="1122" w:type="dxa"/>
            <w:tcBorders/>
            <w:vAlign w:val="center"/>
          </w:tcPr>
          <w:p>
            <w:pPr>
              <w:pStyle w:val="TableHeading"/>
              <w:suppressLineNumbers/>
              <w:bidi w:val="0"/>
              <w:spacing w:before="0" w:after="283"/>
              <w:jc w:val="center"/>
              <w:rPr/>
            </w:pPr>
            <w:r>
              <w:rPr/>
              <w:t>Number of Shares or Other Units To Be Sold</w:t>
            </w:r>
          </w:p>
        </w:tc>
        <w:tc>
          <w:tcPr>
            <w:tcW w:w="1328" w:type="dxa"/>
            <w:tcBorders/>
            <w:vAlign w:val="center"/>
          </w:tcPr>
          <w:p>
            <w:pPr>
              <w:pStyle w:val="TableHeading"/>
              <w:suppressLineNumbers/>
              <w:bidi w:val="0"/>
              <w:spacing w:before="0" w:after="283"/>
              <w:jc w:val="center"/>
              <w:rPr/>
            </w:pPr>
            <w:r>
              <w:rPr/>
              <w:t>Aggregate Market Value</w:t>
            </w:r>
          </w:p>
        </w:tc>
        <w:tc>
          <w:tcPr>
            <w:tcW w:w="1511" w:type="dxa"/>
            <w:tcBorders/>
            <w:vAlign w:val="center"/>
          </w:tcPr>
          <w:p>
            <w:pPr>
              <w:pStyle w:val="TableHeading"/>
              <w:suppressLineNumbers/>
              <w:bidi w:val="0"/>
              <w:spacing w:before="0" w:after="283"/>
              <w:jc w:val="center"/>
              <w:rPr/>
            </w:pPr>
            <w:r>
              <w:rPr/>
              <w:t>Number of Shares or Other Units Outstanding</w:t>
            </w:r>
          </w:p>
        </w:tc>
        <w:tc>
          <w:tcPr>
            <w:tcW w:w="1542" w:type="dxa"/>
            <w:tcBorders/>
            <w:vAlign w:val="center"/>
          </w:tcPr>
          <w:p>
            <w:pPr>
              <w:pStyle w:val="TableHeading"/>
              <w:suppressLineNumbers/>
              <w:bidi w:val="0"/>
              <w:spacing w:before="0" w:after="283"/>
              <w:jc w:val="center"/>
              <w:rPr/>
            </w:pPr>
            <w:r>
              <w:rPr/>
              <w:t>Approximate Date of Sale</w:t>
            </w:r>
          </w:p>
        </w:tc>
        <w:tc>
          <w:tcPr>
            <w:tcW w:w="1332" w:type="dxa"/>
            <w:tcBorders/>
            <w:vAlign w:val="center"/>
          </w:tcPr>
          <w:p>
            <w:pPr>
              <w:pStyle w:val="TableHeading"/>
              <w:suppressLineNumbers/>
              <w:bidi w:val="0"/>
              <w:spacing w:before="0" w:after="283"/>
              <w:jc w:val="center"/>
              <w:rPr/>
            </w:pPr>
            <w:r>
              <w:rPr/>
              <w:t>Name the Securities Exchange</w:t>
            </w:r>
          </w:p>
        </w:tc>
      </w:tr>
      <w:tr>
        <w:trPr/>
        <w:tc>
          <w:tcPr>
            <w:tcW w:w="1471" w:type="dxa"/>
            <w:tcBorders/>
            <w:vAlign w:val="center"/>
          </w:tcPr>
          <w:p>
            <w:pPr>
              <w:pStyle w:val="TableContents"/>
              <w:bidi w:val="0"/>
              <w:spacing w:before="0" w:after="283"/>
              <w:jc w:val="left"/>
              <w:rPr/>
            </w:pPr>
            <w:r>
              <w:rPr/>
              <w:t>Common Stock</w:t>
            </w:r>
          </w:p>
        </w:tc>
        <w:tc>
          <w:tcPr>
            <w:tcW w:w="1899" w:type="dxa"/>
            <w:tcBorders/>
            <w:vAlign w:val="center"/>
          </w:tcPr>
          <w:p>
            <w:pPr>
              <w:pStyle w:val="TableContents"/>
              <w:bidi w:val="0"/>
              <w:spacing w:before="0" w:after="0"/>
              <w:jc w:val="left"/>
              <w:rPr/>
            </w:pPr>
            <w:r>
              <w:rPr/>
              <w:t>Banque Transatlantique</w:t>
              <w:br/>
              <w:t>26 Avenue Franklin Roosevelt</w:t>
              <w:br/>
              <w:t>Cedex 8</w:t>
              <w:br/>
              <w:t>Paris   I0   75372</w:t>
            </w:r>
          </w:p>
        </w:tc>
        <w:tc>
          <w:tcPr>
            <w:tcW w:w="1122" w:type="dxa"/>
            <w:tcBorders/>
            <w:vAlign w:val="center"/>
          </w:tcPr>
          <w:p>
            <w:pPr>
              <w:pStyle w:val="TableContents"/>
              <w:bidi w:val="0"/>
              <w:spacing w:before="0" w:after="283"/>
              <w:jc w:val="left"/>
              <w:rPr/>
            </w:pPr>
            <w:r>
              <w:rPr/>
              <w:t>2000</w:t>
            </w:r>
          </w:p>
        </w:tc>
        <w:tc>
          <w:tcPr>
            <w:tcW w:w="1328" w:type="dxa"/>
            <w:tcBorders/>
            <w:vAlign w:val="center"/>
          </w:tcPr>
          <w:p>
            <w:pPr>
              <w:pStyle w:val="TableContents"/>
              <w:bidi w:val="0"/>
              <w:spacing w:before="0" w:after="283"/>
              <w:jc w:val="left"/>
              <w:rPr/>
            </w:pPr>
            <w:r>
              <w:rPr/>
              <w:t>108660.00</w:t>
            </w:r>
          </w:p>
        </w:tc>
        <w:tc>
          <w:tcPr>
            <w:tcW w:w="1511" w:type="dxa"/>
            <w:tcBorders/>
            <w:vAlign w:val="center"/>
          </w:tcPr>
          <w:p>
            <w:pPr>
              <w:pStyle w:val="TableContents"/>
              <w:bidi w:val="0"/>
              <w:spacing w:before="0" w:after="283"/>
              <w:jc w:val="left"/>
              <w:rPr/>
            </w:pPr>
            <w:r>
              <w:rPr/>
              <w:t>1495057661</w:t>
            </w:r>
          </w:p>
        </w:tc>
        <w:tc>
          <w:tcPr>
            <w:tcW w:w="1542" w:type="dxa"/>
            <w:tcBorders/>
            <w:vAlign w:val="center"/>
          </w:tcPr>
          <w:p>
            <w:pPr>
              <w:pStyle w:val="TableContents"/>
              <w:bidi w:val="0"/>
              <w:spacing w:before="0" w:after="283"/>
              <w:jc w:val="left"/>
              <w:rPr/>
            </w:pPr>
            <w:r>
              <w:rPr/>
              <w:t>05/07/2026</w:t>
            </w:r>
          </w:p>
        </w:tc>
        <w:tc>
          <w:tcPr>
            <w:tcW w:w="133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05/03/2021</w:t>
            </w:r>
          </w:p>
        </w:tc>
        <w:tc>
          <w:tcPr>
            <w:tcW w:w="1430" w:type="dxa"/>
            <w:tcBorders/>
            <w:vAlign w:val="center"/>
          </w:tcPr>
          <w:p>
            <w:pPr>
              <w:pStyle w:val="TableContents"/>
              <w:bidi w:val="0"/>
              <w:spacing w:before="0" w:after="283"/>
              <w:jc w:val="left"/>
              <w:rPr/>
            </w:pPr>
            <w:r>
              <w:rPr/>
              <w:t>Director Stock Grant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7024</w:t>
            </w:r>
          </w:p>
        </w:tc>
        <w:tc>
          <w:tcPr>
            <w:tcW w:w="1046" w:type="dxa"/>
            <w:tcBorders/>
            <w:vAlign w:val="center"/>
          </w:tcPr>
          <w:p>
            <w:pPr>
              <w:pStyle w:val="TableContents"/>
              <w:bidi w:val="0"/>
              <w:spacing w:before="0" w:after="283"/>
              <w:jc w:val="left"/>
              <w:rPr/>
            </w:pPr>
            <w:r>
              <w:rPr/>
              <w:t>05/03/2021</w:t>
            </w:r>
          </w:p>
        </w:tc>
        <w:tc>
          <w:tcPr>
            <w:tcW w:w="1610" w:type="dxa"/>
            <w:tcBorders/>
            <w:vAlign w:val="center"/>
          </w:tcPr>
          <w:p>
            <w:pPr>
              <w:pStyle w:val="TableContents"/>
              <w:bidi w:val="0"/>
              <w:spacing w:before="0" w:after="283"/>
              <w:jc w:val="left"/>
              <w:rPr/>
            </w:pPr>
            <w:r>
              <w:rPr/>
              <w:t>Director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Patrick de La Chevardiere</w:t>
              <w:br/>
              <w:t>5599 San Felipe 17th Floor</w:t>
              <w:br/>
              <w:t>Houston   TX   77056</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03/25/2026</w:t>
            </w:r>
          </w:p>
        </w:tc>
        <w:tc>
          <w:tcPr>
            <w:tcW w:w="1554" w:type="dxa"/>
            <w:tcBorders/>
            <w:vAlign w:val="center"/>
          </w:tcPr>
          <w:p>
            <w:pPr>
              <w:pStyle w:val="TableContents"/>
              <w:bidi w:val="0"/>
              <w:spacing w:before="0" w:after="283"/>
              <w:jc w:val="left"/>
              <w:rPr/>
            </w:pPr>
            <w:r>
              <w:rPr/>
              <w:t>2000</w:t>
            </w:r>
          </w:p>
        </w:tc>
        <w:tc>
          <w:tcPr>
            <w:tcW w:w="1750" w:type="dxa"/>
            <w:tcBorders/>
            <w:vAlign w:val="center"/>
          </w:tcPr>
          <w:p>
            <w:pPr>
              <w:pStyle w:val="TableContents"/>
              <w:bidi w:val="0"/>
              <w:spacing w:before="0" w:after="283"/>
              <w:jc w:val="left"/>
              <w:rPr/>
            </w:pPr>
            <w:r>
              <w:rPr/>
              <w:t>104200.00</w:t>
            </w:r>
          </w:p>
        </w:tc>
      </w:tr>
      <w:tr>
        <w:trPr/>
        <w:tc>
          <w:tcPr>
            <w:tcW w:w="3051" w:type="dxa"/>
            <w:tcBorders/>
            <w:vAlign w:val="center"/>
          </w:tcPr>
          <w:p>
            <w:pPr>
              <w:pStyle w:val="TableContents"/>
              <w:bidi w:val="0"/>
              <w:spacing w:before="0" w:after="283"/>
              <w:jc w:val="left"/>
              <w:rPr/>
            </w:pPr>
            <w:r>
              <w:rPr/>
              <w:t>Patrick de La Chevardiere</w:t>
              <w:br/>
              <w:t>5599 San Felipe 17th Floor</w:t>
              <w:br/>
              <w:t>Houston   TX   77056</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03/26/2026</w:t>
            </w:r>
          </w:p>
        </w:tc>
        <w:tc>
          <w:tcPr>
            <w:tcW w:w="1554" w:type="dxa"/>
            <w:tcBorders/>
            <w:vAlign w:val="center"/>
          </w:tcPr>
          <w:p>
            <w:pPr>
              <w:pStyle w:val="TableContents"/>
              <w:bidi w:val="0"/>
              <w:spacing w:before="0" w:after="283"/>
              <w:jc w:val="left"/>
              <w:rPr/>
            </w:pPr>
            <w:r>
              <w:rPr/>
              <w:t>2000</w:t>
            </w:r>
          </w:p>
        </w:tc>
        <w:tc>
          <w:tcPr>
            <w:tcW w:w="1750" w:type="dxa"/>
            <w:tcBorders/>
            <w:vAlign w:val="center"/>
          </w:tcPr>
          <w:p>
            <w:pPr>
              <w:pStyle w:val="TableContents"/>
              <w:bidi w:val="0"/>
              <w:spacing w:before="0" w:after="283"/>
              <w:jc w:val="left"/>
              <w:rPr/>
            </w:pPr>
            <w:r>
              <w:rPr/>
              <w:t>103900.00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58"/>
        <w:gridCol w:w="7747"/>
      </w:tblGrid>
      <w:tr>
        <w:trPr/>
        <w:tc>
          <w:tcPr>
            <w:tcW w:w="2458" w:type="dxa"/>
            <w:tcBorders/>
            <w:vAlign w:val="center"/>
          </w:tcPr>
          <w:p>
            <w:pPr>
              <w:pStyle w:val="TableContents"/>
              <w:bidi w:val="0"/>
              <w:spacing w:before="0" w:after="283"/>
              <w:jc w:val="left"/>
              <w:rPr/>
            </w:pPr>
            <w:r>
              <w:rPr/>
              <w:t>Remarks</w:t>
            </w:r>
          </w:p>
        </w:tc>
        <w:tc>
          <w:tcPr>
            <w:tcW w:w="7747" w:type="dxa"/>
            <w:tcBorders/>
            <w:vAlign w:val="center"/>
          </w:tcPr>
          <w:p>
            <w:pPr>
              <w:pStyle w:val="TableContents"/>
              <w:bidi w:val="0"/>
              <w:spacing w:before="0" w:after="283"/>
              <w:jc w:val="left"/>
              <w:rPr>
                <w:sz w:val="4"/>
                <w:szCs w:val="4"/>
              </w:rPr>
            </w:pPr>
            <w:r>
              <w:rPr>
                <w:sz w:val="4"/>
                <w:szCs w:val="4"/>
              </w:rPr>
            </w:r>
          </w:p>
        </w:tc>
      </w:tr>
      <w:tr>
        <w:trPr/>
        <w:tc>
          <w:tcPr>
            <w:tcW w:w="2458" w:type="dxa"/>
            <w:tcBorders/>
            <w:vAlign w:val="center"/>
          </w:tcPr>
          <w:p>
            <w:pPr>
              <w:pStyle w:val="TableContents"/>
              <w:bidi w:val="0"/>
              <w:spacing w:before="0" w:after="283"/>
              <w:jc w:val="left"/>
              <w:rPr/>
            </w:pPr>
            <w:r>
              <w:rPr/>
              <w:t>Date of Notice</w:t>
            </w:r>
          </w:p>
        </w:tc>
        <w:tc>
          <w:tcPr>
            <w:tcW w:w="7747"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58" w:type="dxa"/>
            <w:tcBorders/>
            <w:vAlign w:val="center"/>
          </w:tcPr>
          <w:p>
            <w:pPr>
              <w:pStyle w:val="TableContents"/>
              <w:bidi w:val="0"/>
              <w:spacing w:before="0" w:after="283"/>
              <w:jc w:val="left"/>
              <w:rPr/>
            </w:pPr>
            <w:r>
              <w:rPr/>
              <w:t>Signature</w:t>
            </w:r>
          </w:p>
        </w:tc>
        <w:tc>
          <w:tcPr>
            <w:tcW w:w="7747" w:type="dxa"/>
            <w:tcBorders/>
            <w:vAlign w:val="center"/>
          </w:tcPr>
          <w:p>
            <w:pPr>
              <w:pStyle w:val="TableContents"/>
              <w:bidi w:val="0"/>
              <w:spacing w:before="0" w:after="0"/>
              <w:jc w:val="left"/>
              <w:rPr/>
            </w:pPr>
            <w:r>
              <w:rPr/>
              <w:t>/s/LaToyia Tilley, Attorney-in-Fact for Patrick de La Chevardiere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3189</Characters>
  <CharactersWithSpaces>3755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