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248285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January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243205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61"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04" w:lineRule="exact"/>
        <w:rPr>
          <w:sz w:val="20"/>
          <w:szCs w:val="20"/>
          <w:color w:val="auto"/>
        </w:rPr>
      </w:pPr>
    </w:p>
    <w:p>
      <w:pPr>
        <w:ind w:left="4" w:firstLine="440"/>
        <w:spacing w:after="0" w:line="244" w:lineRule="auto"/>
        <w:rPr>
          <w:sz w:val="20"/>
          <w:szCs w:val="20"/>
          <w:color w:val="auto"/>
        </w:rPr>
      </w:pPr>
      <w:r>
        <w:rPr>
          <w:rFonts w:ascii="Arial" w:cs="Arial" w:eastAsia="Arial" w:hAnsi="Arial"/>
          <w:sz w:val="18"/>
          <w:szCs w:val="18"/>
          <w:color w:val="auto"/>
        </w:rPr>
        <w:t>The Fourth-Quarter and Full-Year 2024 Earnings Release furnished as Exhibit 99 hereto, which is incorporated by reference into this Item 2.02, was posted on the SLB internet website (</w:t>
      </w:r>
      <w:r>
        <w:rPr>
          <w:rFonts w:ascii="Arial" w:cs="Arial" w:eastAsia="Arial" w:hAnsi="Arial"/>
          <w:sz w:val="18"/>
          <w:szCs w:val="18"/>
          <w:u w:val="single" w:color="auto"/>
          <w:color w:val="auto"/>
        </w:rPr>
        <w:t>https://investorcenter.slb.com/financial-information/quarterly-results</w:t>
      </w:r>
      <w:r>
        <w:rPr>
          <w:rFonts w:ascii="Arial" w:cs="Arial" w:eastAsia="Arial" w:hAnsi="Arial"/>
          <w:sz w:val="18"/>
          <w:szCs w:val="18"/>
          <w:color w:val="auto"/>
        </w:rPr>
        <w:t>) on January 17, 2025.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8"/>
          <w:szCs w:val="18"/>
          <w:b w:val="1"/>
          <w:bCs w:val="1"/>
          <w:color w:val="auto"/>
        </w:rPr>
        <w:t>Regulation FD Disclosure.</w:t>
      </w:r>
    </w:p>
    <w:p>
      <w:pPr>
        <w:spacing w:after="0" w:line="104" w:lineRule="exact"/>
        <w:rPr>
          <w:sz w:val="20"/>
          <w:szCs w:val="20"/>
          <w:color w:val="auto"/>
        </w:rPr>
      </w:pPr>
    </w:p>
    <w:p>
      <w:pPr>
        <w:ind w:left="4" w:right="120" w:firstLine="440"/>
        <w:spacing w:after="0" w:line="247" w:lineRule="auto"/>
        <w:rPr>
          <w:sz w:val="20"/>
          <w:szCs w:val="20"/>
          <w:color w:val="auto"/>
        </w:rPr>
      </w:pPr>
      <w:r>
        <w:rPr>
          <w:rFonts w:ascii="Arial" w:cs="Arial" w:eastAsia="Arial" w:hAnsi="Arial"/>
          <w:sz w:val="18"/>
          <w:szCs w:val="18"/>
          <w:color w:val="auto"/>
        </w:rPr>
        <w:t>On January 17, 2025,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6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664" w:hanging="664"/>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Fourth-Quarter and Full-Year 2024 Earnings Release.</w:t>
      </w:r>
    </w:p>
    <w:p>
      <w:pPr>
        <w:spacing w:after="0" w:line="104"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4"/>
          </w:cols>
          <w:pgMar w:left="436" w:top="296" w:right="4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January 17, 2025</w:t>
      </w:r>
    </w:p>
    <w:p>
      <w:pPr>
        <w:sectPr>
          <w:pgSz w:w="11900" w:h="16838" w:orient="portrait"/>
          <w:cols w:equalWidth="0" w:num="1">
            <w:col w:w="10840"/>
          </w:cols>
          <w:pgMar w:left="440" w:top="296" w:right="619" w:bottom="1440" w:gutter="0" w:footer="0" w:header="0"/>
        </w:sectPr>
      </w:pPr>
    </w:p>
    <w:bookmarkStart w:id="3" w:name="page4"/>
    <w:bookmarkEnd w:id="3"/>
    <w:p>
      <w:pPr>
        <w:ind w:left="10164"/>
        <w:spacing w:after="0"/>
        <w:rPr>
          <w:sz w:val="20"/>
          <w:szCs w:val="20"/>
          <w:color w:val="auto"/>
        </w:rPr>
      </w:pPr>
      <w:r>
        <w:rPr>
          <w:rFonts w:ascii="Arial" w:cs="Arial" w:eastAsia="Arial" w:hAnsi="Arial"/>
          <w:sz w:val="18"/>
          <w:szCs w:val="18"/>
          <w:b w:val="1"/>
          <w:bCs w:val="1"/>
          <w:color w:val="auto"/>
        </w:rPr>
        <w:t>Exhibit 99</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5897880</wp:posOffset>
            </wp:positionH>
            <wp:positionV relativeFrom="paragraph">
              <wp:posOffset>-118745</wp:posOffset>
            </wp:positionV>
            <wp:extent cx="1097280" cy="711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 w:right="320"/>
        <w:spacing w:after="0" w:line="281" w:lineRule="auto"/>
        <w:rPr>
          <w:sz w:val="20"/>
          <w:szCs w:val="20"/>
          <w:color w:val="auto"/>
        </w:rPr>
      </w:pPr>
      <w:r>
        <w:rPr>
          <w:rFonts w:ascii="Arial" w:cs="Arial" w:eastAsia="Arial" w:hAnsi="Arial"/>
          <w:sz w:val="18"/>
          <w:szCs w:val="18"/>
          <w:b w:val="1"/>
          <w:bCs w:val="1"/>
          <w:color w:val="auto"/>
        </w:rPr>
        <w:t>SLB Announces Fourth-Quarter and Full-Year 2024 Results, Increases Dividend and Initiates $2.3 billion in Accelerated Share Repurchases</w:t>
      </w:r>
    </w:p>
    <w:p>
      <w:pPr>
        <w:spacing w:after="0" w:line="42"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Fourth-quarter revenue of $9.28 billion increased 1% sequentially and 3%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Fourth-quarter GAAP EPS of $0.77 decreased 7% sequentially but was flat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Fourth-quarter EPS, excluding charges and credits, of $0.92 increased 3% sequentially and 7%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Fourth-quarter net income attributable to SLB of $1.10 billion decreased 8% sequentially and 2%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Fourth-quarter adjusted EBITDA of $2.38 billion increased 2% sequentially and 5%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Fourth-quarter cash flow from operations was $2.39 billion and free cash flow was $1.63 billion</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Board approved a 3.6% increase in quarterly cash dividend to $0.285 per share</w:t>
      </w:r>
    </w:p>
    <w:p>
      <w:pPr>
        <w:spacing w:after="0" w:line="238"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Full-year revenue of $36.29 billion increased 10%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Full-year GAAP EPS of $3.11 increased 7%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Full-year EPS, excluding charges and credits, of $3.41 increased 14%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Full-year net income attributable to SLB of $4.46 billion increased 6%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Full-year adjusted EBITDA of $9.07 billion increased 12%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Full-year cash flow from operations was $6.60 billion and free cash flow was $3.99 billion</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HOUSTON, January 17, 2025—</w:t>
      </w:r>
      <w:r>
        <w:rPr>
          <w:rFonts w:ascii="Arial" w:cs="Arial" w:eastAsia="Arial" w:hAnsi="Arial"/>
          <w:sz w:val="18"/>
          <w:szCs w:val="18"/>
          <w:color w:val="auto"/>
        </w:rPr>
        <w:t>SLB (NYSE: SLB) today announced results for the fourth-quarter and full-year 2024.</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Fourth-Quarter Results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160" w:type="dxa"/>
            <w:vAlign w:val="bottom"/>
            <w:gridSpan w:val="4"/>
          </w:tcPr>
          <w:p>
            <w:pPr>
              <w:ind w:left="22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4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Change</w:t>
            </w:r>
          </w:p>
        </w:tc>
      </w:tr>
      <w:tr>
        <w:trPr>
          <w:trHeight w:val="146"/>
        </w:trPr>
        <w:tc>
          <w:tcPr>
            <w:tcW w:w="4560" w:type="dxa"/>
            <w:vAlign w:val="bottom"/>
          </w:tcPr>
          <w:p>
            <w:pPr>
              <w:spacing w:after="0"/>
              <w:rPr>
                <w:sz w:val="12"/>
                <w:szCs w:val="12"/>
                <w:color w:val="auto"/>
              </w:rPr>
            </w:pPr>
          </w:p>
        </w:tc>
        <w:tc>
          <w:tcPr>
            <w:tcW w:w="900" w:type="dxa"/>
            <w:vAlign w:val="bottom"/>
            <w:gridSpan w:val="4"/>
          </w:tcPr>
          <w:p>
            <w:pPr>
              <w:ind w:left="20"/>
              <w:spacing w:after="0" w:line="147" w:lineRule="exact"/>
              <w:rPr>
                <w:sz w:val="20"/>
                <w:szCs w:val="20"/>
                <w:color w:val="auto"/>
              </w:rPr>
            </w:pPr>
            <w:r>
              <w:rPr>
                <w:rFonts w:ascii="Arial" w:cs="Arial" w:eastAsia="Arial" w:hAnsi="Arial"/>
                <w:sz w:val="14"/>
                <w:szCs w:val="14"/>
                <w:b w:val="1"/>
                <w:bCs w:val="1"/>
                <w:color w:val="auto"/>
              </w:rPr>
              <w:t>Dec. 31,</w:t>
            </w:r>
          </w:p>
        </w:tc>
        <w:tc>
          <w:tcPr>
            <w:tcW w:w="200" w:type="dxa"/>
            <w:vAlign w:val="bottom"/>
          </w:tcPr>
          <w:p>
            <w:pPr>
              <w:spacing w:after="0"/>
              <w:rPr>
                <w:sz w:val="12"/>
                <w:szCs w:val="12"/>
                <w:color w:val="auto"/>
              </w:rPr>
            </w:pPr>
          </w:p>
        </w:tc>
        <w:tc>
          <w:tcPr>
            <w:tcW w:w="1040" w:type="dxa"/>
            <w:vAlign w:val="bottom"/>
            <w:gridSpan w:val="3"/>
          </w:tcPr>
          <w:p>
            <w:pPr>
              <w:jc w:val="center"/>
              <w:ind w:right="460"/>
              <w:spacing w:after="0" w:line="147" w:lineRule="exact"/>
              <w:rPr>
                <w:sz w:val="20"/>
                <w:szCs w:val="20"/>
                <w:color w:val="auto"/>
              </w:rPr>
            </w:pPr>
            <w:r>
              <w:rPr>
                <w:rFonts w:ascii="Arial" w:cs="Arial" w:eastAsia="Arial" w:hAnsi="Arial"/>
                <w:sz w:val="14"/>
                <w:szCs w:val="14"/>
                <w:color w:val="auto"/>
              </w:rPr>
              <w:t>Sept. 30,</w:t>
            </w:r>
          </w:p>
        </w:tc>
        <w:tc>
          <w:tcPr>
            <w:tcW w:w="60" w:type="dxa"/>
            <w:vAlign w:val="bottom"/>
          </w:tcPr>
          <w:p>
            <w:pPr>
              <w:spacing w:after="0"/>
              <w:rPr>
                <w:sz w:val="12"/>
                <w:szCs w:val="12"/>
                <w:color w:val="auto"/>
              </w:rPr>
            </w:pPr>
          </w:p>
        </w:tc>
        <w:tc>
          <w:tcPr>
            <w:tcW w:w="560" w:type="dxa"/>
            <w:vAlign w:val="bottom"/>
            <w:gridSpan w:val="2"/>
          </w:tcPr>
          <w:p>
            <w:pPr>
              <w:ind w:left="20"/>
              <w:spacing w:after="0" w:line="147" w:lineRule="exact"/>
              <w:rPr>
                <w:sz w:val="20"/>
                <w:szCs w:val="20"/>
                <w:color w:val="auto"/>
              </w:rPr>
            </w:pPr>
            <w:r>
              <w:rPr>
                <w:rFonts w:ascii="Arial" w:cs="Arial" w:eastAsia="Arial" w:hAnsi="Arial"/>
                <w:sz w:val="14"/>
                <w:szCs w:val="14"/>
                <w:color w:val="auto"/>
                <w:w w:val="99"/>
              </w:rPr>
              <w:t>Dec. 31,</w:t>
            </w:r>
          </w:p>
        </w:tc>
        <w:tc>
          <w:tcPr>
            <w:tcW w:w="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71"/>
        </w:trPr>
        <w:tc>
          <w:tcPr>
            <w:tcW w:w="4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color w:val="auto"/>
              </w:rPr>
              <w:t>2024</w:t>
            </w:r>
          </w:p>
        </w:tc>
        <w:tc>
          <w:tcPr>
            <w:tcW w:w="4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rPr>
              <w:t>Sequential</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Year-on-year</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9,284</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9,158</w:t>
            </w: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8,990</w:t>
            </w: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left="52"/>
              <w:spacing w:after="0" w:line="196" w:lineRule="exact"/>
              <w:rPr>
                <w:sz w:val="20"/>
                <w:szCs w:val="20"/>
                <w:color w:val="auto"/>
              </w:rPr>
            </w:pPr>
            <w:r>
              <w:rPr>
                <w:rFonts w:ascii="Arial" w:cs="Arial" w:eastAsia="Arial" w:hAnsi="Arial"/>
                <w:sz w:val="18"/>
                <w:szCs w:val="18"/>
                <w:b w:val="1"/>
                <w:bCs w:val="1"/>
                <w:color w:val="auto"/>
                <w:w w:val="99"/>
              </w:rPr>
              <w:t>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Income before taxes - GAAP basis</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1,387</w:t>
            </w:r>
          </w:p>
        </w:tc>
        <w:tc>
          <w:tcPr>
            <w:tcW w:w="32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1,507</w:t>
            </w:r>
          </w:p>
        </w:tc>
        <w:tc>
          <w:tcPr>
            <w:tcW w:w="16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1,433</w:t>
            </w:r>
          </w:p>
        </w:tc>
        <w:tc>
          <w:tcPr>
            <w:tcW w:w="1160" w:type="dxa"/>
            <w:vAlign w:val="bottom"/>
          </w:tcPr>
          <w:p>
            <w:pPr>
              <w:jc w:val="center"/>
              <w:ind w:left="72"/>
              <w:spacing w:after="0" w:line="202" w:lineRule="exact"/>
              <w:rPr>
                <w:sz w:val="20"/>
                <w:szCs w:val="20"/>
                <w:color w:val="auto"/>
              </w:rPr>
            </w:pPr>
            <w:r>
              <w:rPr>
                <w:rFonts w:ascii="Arial" w:cs="Arial" w:eastAsia="Arial" w:hAnsi="Arial"/>
                <w:sz w:val="18"/>
                <w:szCs w:val="18"/>
                <w:b w:val="1"/>
                <w:bCs w:val="1"/>
                <w:color w:val="auto"/>
                <w:w w:val="99"/>
              </w:rPr>
              <w:t>-8%</w:t>
            </w:r>
          </w:p>
        </w:tc>
        <w:tc>
          <w:tcPr>
            <w:tcW w:w="2000" w:type="dxa"/>
            <w:vAlign w:val="bottom"/>
            <w:gridSpan w:val="3"/>
          </w:tcPr>
          <w:p>
            <w:pPr>
              <w:jc w:val="center"/>
              <w:ind w:left="392"/>
              <w:spacing w:after="0" w:line="202" w:lineRule="exact"/>
              <w:rPr>
                <w:sz w:val="20"/>
                <w:szCs w:val="20"/>
                <w:color w:val="auto"/>
              </w:rPr>
            </w:pPr>
            <w:r>
              <w:rPr>
                <w:rFonts w:ascii="Arial" w:cs="Arial" w:eastAsia="Arial" w:hAnsi="Arial"/>
                <w:sz w:val="18"/>
                <w:szCs w:val="18"/>
                <w:color w:val="auto"/>
                <w:w w:val="99"/>
              </w:rPr>
              <w:t>-3%</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 margin - GAAP basis</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8"/>
              <w:spacing w:after="0" w:line="202" w:lineRule="exact"/>
              <w:rPr>
                <w:sz w:val="20"/>
                <w:szCs w:val="20"/>
                <w:color w:val="auto"/>
              </w:rPr>
            </w:pPr>
            <w:r>
              <w:rPr>
                <w:rFonts w:ascii="Arial" w:cs="Arial" w:eastAsia="Arial" w:hAnsi="Arial"/>
                <w:sz w:val="18"/>
                <w:szCs w:val="18"/>
                <w:b w:val="1"/>
                <w:bCs w:val="1"/>
                <w:color w:val="auto"/>
              </w:rPr>
              <w:t>14.9%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15.9%</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rPr>
              <w:t>-151 bps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-100 bps</w:t>
            </w:r>
          </w:p>
        </w:tc>
      </w:tr>
      <w:tr>
        <w:trPr>
          <w:trHeight w:val="202"/>
        </w:trPr>
        <w:tc>
          <w:tcPr>
            <w:tcW w:w="456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 GAAP basis</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1,095</w:t>
            </w:r>
          </w:p>
        </w:tc>
        <w:tc>
          <w:tcPr>
            <w:tcW w:w="32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1,186</w:t>
            </w:r>
          </w:p>
        </w:tc>
        <w:tc>
          <w:tcPr>
            <w:tcW w:w="16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1,113</w:t>
            </w:r>
          </w:p>
        </w:tc>
        <w:tc>
          <w:tcPr>
            <w:tcW w:w="1160" w:type="dxa"/>
            <w:vAlign w:val="bottom"/>
          </w:tcPr>
          <w:p>
            <w:pPr>
              <w:jc w:val="center"/>
              <w:ind w:left="72"/>
              <w:spacing w:after="0" w:line="202" w:lineRule="exact"/>
              <w:rPr>
                <w:sz w:val="20"/>
                <w:szCs w:val="20"/>
                <w:color w:val="auto"/>
              </w:rPr>
            </w:pPr>
            <w:r>
              <w:rPr>
                <w:rFonts w:ascii="Arial" w:cs="Arial" w:eastAsia="Arial" w:hAnsi="Arial"/>
                <w:sz w:val="18"/>
                <w:szCs w:val="18"/>
                <w:b w:val="1"/>
                <w:bCs w:val="1"/>
                <w:color w:val="auto"/>
                <w:w w:val="99"/>
              </w:rPr>
              <w:t>-8%</w:t>
            </w:r>
          </w:p>
        </w:tc>
        <w:tc>
          <w:tcPr>
            <w:tcW w:w="2000" w:type="dxa"/>
            <w:vAlign w:val="bottom"/>
            <w:gridSpan w:val="3"/>
          </w:tcPr>
          <w:p>
            <w:pPr>
              <w:jc w:val="center"/>
              <w:ind w:left="392"/>
              <w:spacing w:after="0" w:line="202" w:lineRule="exact"/>
              <w:rPr>
                <w:sz w:val="20"/>
                <w:szCs w:val="20"/>
                <w:color w:val="auto"/>
              </w:rPr>
            </w:pPr>
            <w:r>
              <w:rPr>
                <w:rFonts w:ascii="Arial" w:cs="Arial" w:eastAsia="Arial" w:hAnsi="Arial"/>
                <w:sz w:val="18"/>
                <w:szCs w:val="18"/>
                <w:color w:val="auto"/>
                <w:w w:val="99"/>
              </w:rPr>
              <w:t>-2%</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 GAAP basis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0.77</w:t>
            </w:r>
          </w:p>
        </w:tc>
        <w:tc>
          <w:tcPr>
            <w:tcW w:w="3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0.83</w:t>
            </w:r>
          </w:p>
        </w:tc>
        <w:tc>
          <w:tcPr>
            <w:tcW w:w="1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0.77</w:t>
            </w:r>
          </w:p>
        </w:tc>
        <w:tc>
          <w:tcPr>
            <w:tcW w:w="1160" w:type="dxa"/>
            <w:vAlign w:val="bottom"/>
            <w:shd w:val="clear" w:color="auto" w:fill="CCEEFF"/>
          </w:tcPr>
          <w:p>
            <w:pPr>
              <w:jc w:val="center"/>
              <w:ind w:left="72"/>
              <w:spacing w:after="0" w:line="202" w:lineRule="exact"/>
              <w:rPr>
                <w:sz w:val="20"/>
                <w:szCs w:val="20"/>
                <w:color w:val="auto"/>
              </w:rPr>
            </w:pPr>
            <w:r>
              <w:rPr>
                <w:rFonts w:ascii="Arial" w:cs="Arial" w:eastAsia="Arial" w:hAnsi="Arial"/>
                <w:sz w:val="18"/>
                <w:szCs w:val="18"/>
                <w:b w:val="1"/>
                <w:bCs w:val="1"/>
                <w:color w:val="auto"/>
                <w:w w:val="99"/>
              </w:rPr>
              <w:t>-7%</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— </w:t>
            </w:r>
          </w:p>
        </w:tc>
      </w:tr>
      <w:tr>
        <w:trPr>
          <w:trHeight w:val="311"/>
        </w:trPr>
        <w:tc>
          <w:tcPr>
            <w:tcW w:w="456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2,382</w:t>
            </w:r>
          </w:p>
        </w:tc>
        <w:tc>
          <w:tcPr>
            <w:tcW w:w="3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2,343</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2,277</w:t>
            </w:r>
          </w:p>
        </w:tc>
        <w:tc>
          <w:tcPr>
            <w:tcW w:w="1160" w:type="dxa"/>
            <w:vAlign w:val="bottom"/>
          </w:tcPr>
          <w:p>
            <w:pPr>
              <w:jc w:val="center"/>
              <w:ind w:left="52"/>
              <w:spacing w:after="0"/>
              <w:rPr>
                <w:sz w:val="20"/>
                <w:szCs w:val="20"/>
                <w:color w:val="auto"/>
              </w:rPr>
            </w:pPr>
            <w:r>
              <w:rPr>
                <w:rFonts w:ascii="Arial" w:cs="Arial" w:eastAsia="Arial" w:hAnsi="Arial"/>
                <w:sz w:val="18"/>
                <w:szCs w:val="18"/>
                <w:b w:val="1"/>
                <w:bCs w:val="1"/>
                <w:color w:val="auto"/>
                <w:w w:val="99"/>
              </w:rPr>
              <w:t>2%</w:t>
            </w:r>
          </w:p>
        </w:tc>
        <w:tc>
          <w:tcPr>
            <w:tcW w:w="2000" w:type="dxa"/>
            <w:vAlign w:val="bottom"/>
            <w:gridSpan w:val="3"/>
          </w:tcPr>
          <w:p>
            <w:pPr>
              <w:jc w:val="center"/>
              <w:ind w:left="372"/>
              <w:spacing w:after="0"/>
              <w:rPr>
                <w:sz w:val="20"/>
                <w:szCs w:val="20"/>
                <w:color w:val="auto"/>
              </w:rPr>
            </w:pPr>
            <w:r>
              <w:rPr>
                <w:rFonts w:ascii="Arial" w:cs="Arial" w:eastAsia="Arial" w:hAnsi="Arial"/>
                <w:sz w:val="18"/>
                <w:szCs w:val="18"/>
                <w:color w:val="auto"/>
                <w:w w:val="99"/>
              </w:rPr>
              <w:t>5%</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8"/>
              <w:spacing w:after="0" w:line="202" w:lineRule="exact"/>
              <w:rPr>
                <w:sz w:val="20"/>
                <w:szCs w:val="20"/>
                <w:color w:val="auto"/>
              </w:rPr>
            </w:pPr>
            <w:r>
              <w:rPr>
                <w:rFonts w:ascii="Arial" w:cs="Arial" w:eastAsia="Arial" w:hAnsi="Arial"/>
                <w:sz w:val="18"/>
                <w:szCs w:val="18"/>
                <w:b w:val="1"/>
                <w:bCs w:val="1"/>
                <w:color w:val="auto"/>
              </w:rPr>
              <w:t>25.7%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25.3%</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w w:val="97"/>
              </w:rPr>
              <w:t>8 bps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33 bps</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Pretax segment operating income*</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1,918</w:t>
            </w:r>
          </w:p>
        </w:tc>
        <w:tc>
          <w:tcPr>
            <w:tcW w:w="32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1,902</w:t>
            </w:r>
          </w:p>
        </w:tc>
        <w:tc>
          <w:tcPr>
            <w:tcW w:w="16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1,868</w:t>
            </w:r>
          </w:p>
        </w:tc>
        <w:tc>
          <w:tcPr>
            <w:tcW w:w="1160" w:type="dxa"/>
            <w:vAlign w:val="bottom"/>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1%</w:t>
            </w:r>
          </w:p>
        </w:tc>
        <w:tc>
          <w:tcPr>
            <w:tcW w:w="2000" w:type="dxa"/>
            <w:vAlign w:val="bottom"/>
            <w:gridSpan w:val="3"/>
          </w:tcPr>
          <w:p>
            <w:pPr>
              <w:jc w:val="center"/>
              <w:ind w:left="372"/>
              <w:spacing w:after="0" w:line="202" w:lineRule="exact"/>
              <w:rPr>
                <w:sz w:val="20"/>
                <w:szCs w:val="20"/>
                <w:color w:val="auto"/>
              </w:rPr>
            </w:pPr>
            <w:r>
              <w:rPr>
                <w:rFonts w:ascii="Arial" w:cs="Arial" w:eastAsia="Arial" w:hAnsi="Arial"/>
                <w:sz w:val="18"/>
                <w:szCs w:val="18"/>
                <w:color w:val="auto"/>
                <w:w w:val="99"/>
              </w:rPr>
              <w:t>3%</w:t>
            </w:r>
          </w:p>
        </w:tc>
      </w:tr>
      <w:tr>
        <w:trPr>
          <w:trHeight w:val="202"/>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segment operating margin*</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8"/>
              <w:spacing w:after="0" w:line="202" w:lineRule="exact"/>
              <w:rPr>
                <w:sz w:val="20"/>
                <w:szCs w:val="20"/>
                <w:color w:val="auto"/>
              </w:rPr>
            </w:pPr>
            <w:r>
              <w:rPr>
                <w:rFonts w:ascii="Arial" w:cs="Arial" w:eastAsia="Arial" w:hAnsi="Arial"/>
                <w:sz w:val="18"/>
                <w:szCs w:val="18"/>
                <w:b w:val="1"/>
                <w:bCs w:val="1"/>
                <w:color w:val="auto"/>
              </w:rPr>
              <w:t>20.7%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20.8%</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w w:val="98"/>
              </w:rPr>
              <w:t>-11 bps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-12 bps</w:t>
            </w:r>
          </w:p>
        </w:tc>
      </w:tr>
      <w:tr>
        <w:trPr>
          <w:trHeight w:val="184"/>
        </w:trPr>
        <w:tc>
          <w:tcPr>
            <w:tcW w:w="4560" w:type="dxa"/>
            <w:vAlign w:val="bottom"/>
          </w:tcPr>
          <w:p>
            <w:pPr>
              <w:spacing w:after="0" w:line="183" w:lineRule="exact"/>
              <w:rPr>
                <w:sz w:val="20"/>
                <w:szCs w:val="20"/>
                <w:color w:val="auto"/>
              </w:rPr>
            </w:pPr>
            <w:r>
              <w:rPr>
                <w:rFonts w:ascii="Arial" w:cs="Arial" w:eastAsia="Arial" w:hAnsi="Arial"/>
                <w:sz w:val="18"/>
                <w:szCs w:val="18"/>
                <w:color w:val="auto"/>
              </w:rPr>
              <w:t>Net income attributable to SLB, excluding charges &amp;</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21"/>
        </w:trPr>
        <w:tc>
          <w:tcPr>
            <w:tcW w:w="4560" w:type="dxa"/>
            <w:vAlign w:val="bottom"/>
          </w:tcPr>
          <w:p>
            <w:pPr>
              <w:ind w:left="180"/>
              <w:spacing w:after="0"/>
              <w:rPr>
                <w:sz w:val="20"/>
                <w:szCs w:val="20"/>
                <w:color w:val="auto"/>
              </w:rPr>
            </w:pPr>
            <w:r>
              <w:rPr>
                <w:rFonts w:ascii="Arial" w:cs="Arial" w:eastAsia="Arial" w:hAnsi="Arial"/>
                <w:sz w:val="18"/>
                <w:szCs w:val="18"/>
                <w:color w:val="auto"/>
              </w:rPr>
              <w:t>credits*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1,311</w:t>
            </w:r>
          </w:p>
        </w:tc>
        <w:tc>
          <w:tcPr>
            <w:tcW w:w="3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1,271</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1,242</w:t>
            </w:r>
          </w:p>
        </w:tc>
        <w:tc>
          <w:tcPr>
            <w:tcW w:w="1160" w:type="dxa"/>
            <w:vAlign w:val="bottom"/>
          </w:tcPr>
          <w:p>
            <w:pPr>
              <w:jc w:val="center"/>
              <w:ind w:left="52"/>
              <w:spacing w:after="0"/>
              <w:rPr>
                <w:sz w:val="20"/>
                <w:szCs w:val="20"/>
                <w:color w:val="auto"/>
              </w:rPr>
            </w:pPr>
            <w:r>
              <w:rPr>
                <w:rFonts w:ascii="Arial" w:cs="Arial" w:eastAsia="Arial" w:hAnsi="Arial"/>
                <w:sz w:val="18"/>
                <w:szCs w:val="18"/>
                <w:b w:val="1"/>
                <w:bCs w:val="1"/>
                <w:color w:val="auto"/>
                <w:w w:val="99"/>
              </w:rPr>
              <w:t>3%</w:t>
            </w:r>
          </w:p>
        </w:tc>
        <w:tc>
          <w:tcPr>
            <w:tcW w:w="2000" w:type="dxa"/>
            <w:vAlign w:val="bottom"/>
            <w:gridSpan w:val="3"/>
          </w:tcPr>
          <w:p>
            <w:pPr>
              <w:jc w:val="center"/>
              <w:ind w:left="372"/>
              <w:spacing w:after="0"/>
              <w:rPr>
                <w:sz w:val="20"/>
                <w:szCs w:val="20"/>
                <w:color w:val="auto"/>
              </w:rPr>
            </w:pPr>
            <w:r>
              <w:rPr>
                <w:rFonts w:ascii="Arial" w:cs="Arial" w:eastAsia="Arial" w:hAnsi="Arial"/>
                <w:sz w:val="18"/>
                <w:szCs w:val="18"/>
                <w:color w:val="auto"/>
                <w:w w:val="99"/>
              </w:rPr>
              <w:t>6%</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excluding charges &amp; credits*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0.92</w:t>
            </w:r>
          </w:p>
        </w:tc>
        <w:tc>
          <w:tcPr>
            <w:tcW w:w="3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0.89</w:t>
            </w:r>
          </w:p>
        </w:tc>
        <w:tc>
          <w:tcPr>
            <w:tcW w:w="1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0.86</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3%</w:t>
            </w:r>
          </w:p>
        </w:tc>
        <w:tc>
          <w:tcPr>
            <w:tcW w:w="2000" w:type="dxa"/>
            <w:vAlign w:val="bottom"/>
            <w:gridSpan w:val="3"/>
            <w:shd w:val="clear" w:color="auto" w:fill="CCEEFF"/>
          </w:tcPr>
          <w:p>
            <w:pPr>
              <w:jc w:val="center"/>
              <w:ind w:left="372"/>
              <w:spacing w:after="0" w:line="202" w:lineRule="exact"/>
              <w:rPr>
                <w:sz w:val="20"/>
                <w:szCs w:val="20"/>
                <w:color w:val="auto"/>
              </w:rPr>
            </w:pPr>
            <w:r>
              <w:rPr>
                <w:rFonts w:ascii="Arial" w:cs="Arial" w:eastAsia="Arial" w:hAnsi="Arial"/>
                <w:sz w:val="18"/>
                <w:szCs w:val="18"/>
                <w:color w:val="auto"/>
                <w:w w:val="99"/>
              </w:rPr>
              <w:t>7%</w:t>
            </w:r>
          </w:p>
        </w:tc>
      </w:tr>
      <w:tr>
        <w:trPr>
          <w:trHeight w:val="311"/>
        </w:trPr>
        <w:tc>
          <w:tcPr>
            <w:tcW w:w="4560" w:type="dxa"/>
            <w:vAlign w:val="bottom"/>
          </w:tcPr>
          <w:p>
            <w:pPr>
              <w:spacing w:after="0"/>
              <w:rPr>
                <w:sz w:val="20"/>
                <w:szCs w:val="20"/>
                <w:color w:val="auto"/>
              </w:rPr>
            </w:pPr>
            <w:r>
              <w:rPr>
                <w:rFonts w:ascii="Arial" w:cs="Arial" w:eastAsia="Arial" w:hAnsi="Arial"/>
                <w:sz w:val="18"/>
                <w:szCs w:val="18"/>
                <w:b w:val="1"/>
                <w:bCs w:val="1"/>
                <w:color w:val="auto"/>
              </w:rPr>
              <w:t>Revenue by Geography</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2"/>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7,483</w:t>
            </w:r>
          </w:p>
        </w:tc>
        <w:tc>
          <w:tcPr>
            <w:tcW w:w="3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7,425</w:t>
            </w:r>
          </w:p>
        </w:tc>
        <w:tc>
          <w:tcPr>
            <w:tcW w:w="1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7"/>
              </w:rPr>
              <w:t>7,293</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1%</w:t>
            </w:r>
          </w:p>
        </w:tc>
        <w:tc>
          <w:tcPr>
            <w:tcW w:w="2000" w:type="dxa"/>
            <w:vAlign w:val="bottom"/>
            <w:gridSpan w:val="3"/>
            <w:shd w:val="clear" w:color="auto" w:fill="CCEEFF"/>
          </w:tcPr>
          <w:p>
            <w:pPr>
              <w:jc w:val="center"/>
              <w:ind w:left="372"/>
              <w:spacing w:after="0" w:line="202" w:lineRule="exact"/>
              <w:rPr>
                <w:sz w:val="20"/>
                <w:szCs w:val="20"/>
                <w:color w:val="auto"/>
              </w:rPr>
            </w:pPr>
            <w:r>
              <w:rPr>
                <w:rFonts w:ascii="Arial" w:cs="Arial" w:eastAsia="Arial" w:hAnsi="Arial"/>
                <w:sz w:val="18"/>
                <w:szCs w:val="18"/>
                <w:color w:val="auto"/>
                <w:w w:val="99"/>
              </w:rPr>
              <w:t>3%</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1,752</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1,687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1,641</w:t>
            </w:r>
          </w:p>
        </w:tc>
        <w:tc>
          <w:tcPr>
            <w:tcW w:w="1160" w:type="dxa"/>
            <w:vAlign w:val="bottom"/>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4%</w:t>
            </w:r>
          </w:p>
        </w:tc>
        <w:tc>
          <w:tcPr>
            <w:tcW w:w="2000" w:type="dxa"/>
            <w:vAlign w:val="bottom"/>
            <w:gridSpan w:val="3"/>
          </w:tcPr>
          <w:p>
            <w:pPr>
              <w:jc w:val="center"/>
              <w:ind w:left="372"/>
              <w:spacing w:after="0" w:line="202" w:lineRule="exact"/>
              <w:rPr>
                <w:sz w:val="20"/>
                <w:szCs w:val="20"/>
                <w:color w:val="auto"/>
              </w:rPr>
            </w:pPr>
            <w:r>
              <w:rPr>
                <w:rFonts w:ascii="Arial" w:cs="Arial" w:eastAsia="Arial" w:hAnsi="Arial"/>
                <w:sz w:val="18"/>
                <w:szCs w:val="18"/>
                <w:color w:val="auto"/>
                <w:w w:val="99"/>
              </w:rPr>
              <w:t>7%</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49</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56</w:t>
            </w:r>
          </w:p>
        </w:tc>
        <w:tc>
          <w:tcPr>
            <w:tcW w:w="1160" w:type="dxa"/>
            <w:vAlign w:val="bottom"/>
            <w:shd w:val="clear" w:color="auto" w:fill="CCEEFF"/>
          </w:tcPr>
          <w:p>
            <w:pPr>
              <w:jc w:val="center"/>
              <w:ind w:left="72"/>
              <w:spacing w:after="0" w:line="202" w:lineRule="exact"/>
              <w:rPr>
                <w:sz w:val="20"/>
                <w:szCs w:val="20"/>
                <w:color w:val="auto"/>
              </w:rPr>
            </w:pPr>
            <w:r>
              <w:rPr>
                <w:rFonts w:ascii="Arial" w:cs="Arial" w:eastAsia="Arial" w:hAnsi="Arial"/>
                <w:sz w:val="18"/>
                <w:szCs w:val="18"/>
                <w:b w:val="1"/>
                <w:bCs w:val="1"/>
                <w:color w:val="auto"/>
                <w:w w:val="99"/>
              </w:rPr>
              <w:t>n/m</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n/m</w:t>
            </w:r>
          </w:p>
        </w:tc>
      </w:tr>
      <w:tr>
        <w:trPr>
          <w:trHeight w:val="209"/>
        </w:trPr>
        <w:tc>
          <w:tcPr>
            <w:tcW w:w="4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9,284</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9,159</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8,990</w:t>
            </w:r>
          </w:p>
        </w:tc>
        <w:tc>
          <w:tcPr>
            <w:tcW w:w="5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1%</w:t>
            </w:r>
          </w:p>
        </w:tc>
        <w:tc>
          <w:tcPr>
            <w:tcW w:w="16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024"/>
          </w:cols>
          <w:pgMar w:left="436" w:top="122"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940" w:type="dxa"/>
            <w:vAlign w:val="bottom"/>
          </w:tcPr>
          <w:p>
            <w:pPr>
              <w:spacing w:after="0"/>
              <w:rPr>
                <w:sz w:val="12"/>
                <w:szCs w:val="12"/>
                <w:color w:val="auto"/>
              </w:rPr>
            </w:pPr>
          </w:p>
        </w:tc>
        <w:tc>
          <w:tcPr>
            <w:tcW w:w="88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Dec. 31,</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Sept. 30,</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Dec. 31,</w:t>
            </w:r>
          </w:p>
        </w:tc>
        <w:tc>
          <w:tcPr>
            <w:tcW w:w="4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color w:val="auto"/>
                <w:w w:val="96"/>
              </w:rPr>
              <w:t>2024</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2023</w:t>
            </w:r>
          </w:p>
        </w:tc>
        <w:tc>
          <w:tcPr>
            <w:tcW w:w="46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Sequential</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Division</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w w:val="97"/>
              </w:rPr>
              <w:t>1,156</w:t>
            </w:r>
          </w:p>
        </w:tc>
        <w:tc>
          <w:tcPr>
            <w:tcW w:w="2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7"/>
              </w:rPr>
              <w:t>1,088</w:t>
            </w:r>
          </w:p>
        </w:tc>
        <w:tc>
          <w:tcPr>
            <w:tcW w:w="14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1,049</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c>
          <w:tcPr>
            <w:tcW w:w="320" w:type="dxa"/>
            <w:vAlign w:val="bottom"/>
          </w:tcPr>
          <w:p>
            <w:pPr>
              <w:spacing w:after="0"/>
              <w:rPr>
                <w:sz w:val="17"/>
                <w:szCs w:val="17"/>
                <w:color w:val="auto"/>
              </w:rPr>
            </w:pP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99"/>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w w:val="97"/>
              </w:rPr>
              <w:t>1,810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1,823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1,735</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w w:val="97"/>
              </w:rPr>
              <w:t>3,267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7"/>
              </w:rPr>
              <w:t>3,312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3,426</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320" w:type="dxa"/>
            <w:vAlign w:val="bottom"/>
          </w:tcPr>
          <w:p>
            <w:pPr>
              <w:spacing w:after="0"/>
              <w:rPr>
                <w:sz w:val="17"/>
                <w:szCs w:val="17"/>
                <w:color w:val="auto"/>
              </w:rPr>
            </w:pP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99"/>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w w:val="97"/>
              </w:rPr>
              <w:t>3,197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3,103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2,944</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780" w:type="dxa"/>
            <w:vAlign w:val="bottom"/>
            <w:gridSpan w:val="2"/>
          </w:tcPr>
          <w:p>
            <w:pPr>
              <w:jc w:val="right"/>
              <w:ind w:right="188"/>
              <w:spacing w:after="0" w:line="202" w:lineRule="exact"/>
              <w:rPr>
                <w:sz w:val="20"/>
                <w:szCs w:val="20"/>
                <w:color w:val="auto"/>
              </w:rPr>
            </w:pPr>
            <w:r>
              <w:rPr>
                <w:rFonts w:ascii="Arial" w:cs="Arial" w:eastAsia="Arial" w:hAnsi="Arial"/>
                <w:sz w:val="18"/>
                <w:szCs w:val="18"/>
                <w:b w:val="1"/>
                <w:bCs w:val="1"/>
                <w:color w:val="auto"/>
              </w:rPr>
              <w:t>(146)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(167)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(164)</w:t>
            </w:r>
          </w:p>
        </w:tc>
        <w:tc>
          <w:tcPr>
            <w:tcW w:w="106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auto"/>
              </w:rPr>
              <w:t>n/m</w:t>
            </w: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w w:val="97"/>
              </w:rPr>
              <w:t>9,284</w:t>
            </w:r>
          </w:p>
        </w:tc>
        <w:tc>
          <w:tcPr>
            <w:tcW w:w="2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9,158</w:t>
            </w:r>
          </w:p>
        </w:tc>
        <w:tc>
          <w:tcPr>
            <w:tcW w:w="1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u w:val="single" w:color="auto"/>
                <w:color w:val="auto"/>
                <w:w w:val="99"/>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8,990</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442</w:t>
            </w:r>
          </w:p>
        </w:tc>
        <w:tc>
          <w:tcPr>
            <w:tcW w:w="2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386</w:t>
            </w:r>
          </w:p>
        </w:tc>
        <w:tc>
          <w:tcPr>
            <w:tcW w:w="1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356</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14%</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7"/>
                <w:szCs w:val="17"/>
                <w:color w:val="auto"/>
              </w:rPr>
            </w:pP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370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367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371</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320" w:type="dxa"/>
            <w:vAlign w:val="bottom"/>
          </w:tcPr>
          <w:p>
            <w:pPr>
              <w:spacing w:after="0"/>
              <w:rPr>
                <w:sz w:val="17"/>
                <w:szCs w:val="17"/>
                <w:color w:val="auto"/>
              </w:rPr>
            </w:pPr>
          </w:p>
        </w:tc>
        <w:tc>
          <w:tcPr>
            <w:tcW w:w="90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81"/>
              </w:rPr>
              <w:t>— </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681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714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770</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-5%</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506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442</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320" w:type="dxa"/>
            <w:vAlign w:val="bottom"/>
          </w:tcPr>
          <w:p>
            <w:pPr>
              <w:spacing w:after="0"/>
              <w:rPr>
                <w:sz w:val="17"/>
                <w:szCs w:val="17"/>
                <w:color w:val="auto"/>
              </w:rPr>
            </w:pP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99"/>
              </w:rPr>
              <w:t>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b w:val="1"/>
                <w:bCs w:val="1"/>
                <w:color w:val="auto"/>
              </w:rPr>
              <w:t>(81)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(71)</w:t>
            </w:r>
          </w:p>
        </w:tc>
        <w:tc>
          <w:tcPr>
            <w:tcW w:w="10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b w:val="1"/>
                <w:bCs w:val="1"/>
                <w:color w:val="auto"/>
              </w:rPr>
              <w:t>n/m</w:t>
            </w: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1,918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1,902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1,868</w:t>
            </w:r>
          </w:p>
        </w:tc>
        <w:tc>
          <w:tcPr>
            <w:tcW w:w="4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3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 by Division</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rPr>
                <w:sz w:val="17"/>
                <w:szCs w:val="17"/>
                <w:color w:val="auto"/>
              </w:rPr>
            </w:pPr>
          </w:p>
        </w:tc>
        <w:tc>
          <w:tcPr>
            <w:tcW w:w="780" w:type="dxa"/>
            <w:vAlign w:val="bottom"/>
            <w:gridSpan w:val="2"/>
          </w:tcPr>
          <w:p>
            <w:pPr>
              <w:jc w:val="right"/>
              <w:ind w:right="88"/>
              <w:spacing w:after="0" w:line="202" w:lineRule="exact"/>
              <w:rPr>
                <w:sz w:val="20"/>
                <w:szCs w:val="20"/>
                <w:color w:val="auto"/>
              </w:rPr>
            </w:pPr>
            <w:r>
              <w:rPr>
                <w:rFonts w:ascii="Arial" w:cs="Arial" w:eastAsia="Arial" w:hAnsi="Arial"/>
                <w:sz w:val="18"/>
                <w:szCs w:val="18"/>
                <w:b w:val="1"/>
                <w:bCs w:val="1"/>
                <w:color w:val="auto"/>
              </w:rPr>
              <w:t>38.3%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35.5%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34.0%</w:t>
            </w: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274 bps</w:t>
            </w:r>
          </w:p>
        </w:tc>
        <w:tc>
          <w:tcPr>
            <w:tcW w:w="90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430 bps</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b w:val="1"/>
                <w:bCs w:val="1"/>
                <w:color w:val="auto"/>
              </w:rPr>
              <w:t>20.5%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21.4%</w:t>
            </w: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w w:val="92"/>
              </w:rPr>
              <w:t>   35 bps</w:t>
            </w: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rPr>
              <w:t> -90 bps</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780" w:type="dxa"/>
            <w:vAlign w:val="bottom"/>
            <w:gridSpan w:val="2"/>
          </w:tcPr>
          <w:p>
            <w:pPr>
              <w:jc w:val="right"/>
              <w:ind w:right="88"/>
              <w:spacing w:after="0" w:line="202" w:lineRule="exact"/>
              <w:rPr>
                <w:sz w:val="20"/>
                <w:szCs w:val="20"/>
                <w:color w:val="auto"/>
              </w:rPr>
            </w:pPr>
            <w:r>
              <w:rPr>
                <w:rFonts w:ascii="Arial" w:cs="Arial" w:eastAsia="Arial" w:hAnsi="Arial"/>
                <w:sz w:val="18"/>
                <w:szCs w:val="18"/>
                <w:b w:val="1"/>
                <w:bCs w:val="1"/>
                <w:color w:val="auto"/>
              </w:rPr>
              <w:t>20.8%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22.5%</w:t>
            </w: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  -70 bps</w:t>
            </w: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-162 bps</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b w:val="1"/>
                <w:bCs w:val="1"/>
                <w:color w:val="auto"/>
              </w:rPr>
              <w:t>15.8%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15.0%</w:t>
            </w: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  -93 bps</w:t>
            </w: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   79 bps</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n/m</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n/m</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n/m</w:t>
            </w:r>
          </w:p>
        </w:tc>
        <w:tc>
          <w:tcPr>
            <w:tcW w:w="106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auto"/>
              </w:rPr>
              <w:t>n/m</w:t>
            </w: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b w:val="1"/>
                <w:bCs w:val="1"/>
                <w:color w:val="auto"/>
              </w:rPr>
              <w:t>20.7%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20.8%</w:t>
            </w: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-11 bps</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 bps</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4" w:right="460" w:hanging="224"/>
        <w:spacing w:after="0" w:line="271"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“Divisions” and “Supplementary Information” for details.</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024"/>
          </w:cols>
          <w:pgMar w:left="436" w:top="279" w:right="43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Full-Year Results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gridSpan w:val="7"/>
          </w:tcPr>
          <w:p>
            <w:pPr>
              <w:jc w:val="right"/>
              <w:ind w:right="1340"/>
              <w:spacing w:after="0"/>
              <w:rPr>
                <w:sz w:val="20"/>
                <w:szCs w:val="20"/>
                <w:color w:val="auto"/>
              </w:rPr>
            </w:pPr>
            <w:r>
              <w:rPr>
                <w:rFonts w:ascii="Arial" w:cs="Arial" w:eastAsia="Arial" w:hAnsi="Arial"/>
                <w:sz w:val="14"/>
                <w:szCs w:val="14"/>
                <w:b w:val="1"/>
                <w:bCs w:val="1"/>
                <w:color w:val="auto"/>
              </w:rPr>
              <w:t>Twelve Months Ended</w:t>
            </w:r>
          </w:p>
        </w:tc>
        <w:tc>
          <w:tcPr>
            <w:tcW w:w="2940" w:type="dxa"/>
            <w:vAlign w:val="bottom"/>
          </w:tcPr>
          <w:p>
            <w:pPr>
              <w:jc w:val="center"/>
              <w:spacing w:after="0"/>
              <w:rPr>
                <w:sz w:val="20"/>
                <w:szCs w:val="20"/>
                <w:color w:val="auto"/>
              </w:rPr>
            </w:pPr>
            <w:r>
              <w:rPr>
                <w:rFonts w:ascii="Arial" w:cs="Arial" w:eastAsia="Arial" w:hAnsi="Arial"/>
                <w:sz w:val="14"/>
                <w:szCs w:val="14"/>
                <w:color w:val="auto"/>
              </w:rPr>
              <w:t>(Stated in millions, except per share amounts)</w:t>
            </w:r>
          </w:p>
        </w:tc>
      </w:tr>
      <w:tr>
        <w:trPr>
          <w:trHeight w:val="146"/>
        </w:trPr>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Borders>
              <w:top w:val="single" w:sz="8" w:color="auto"/>
            </w:tcBorders>
            <w:gridSpan w:val="4"/>
          </w:tcPr>
          <w:p>
            <w:pPr>
              <w:jc w:val="center"/>
              <w:ind w:right="580"/>
              <w:spacing w:after="0" w:line="147" w:lineRule="exact"/>
              <w:rPr>
                <w:sz w:val="20"/>
                <w:szCs w:val="20"/>
                <w:color w:val="auto"/>
              </w:rPr>
            </w:pPr>
            <w:r>
              <w:rPr>
                <w:rFonts w:ascii="Arial" w:cs="Arial" w:eastAsia="Arial" w:hAnsi="Arial"/>
                <w:sz w:val="14"/>
                <w:szCs w:val="14"/>
                <w:b w:val="1"/>
                <w:bCs w:val="1"/>
                <w:color w:val="auto"/>
              </w:rPr>
              <w:t>Dec. 31,</w:t>
            </w: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Dec. 31,</w:t>
            </w:r>
          </w:p>
        </w:tc>
        <w:tc>
          <w:tcPr>
            <w:tcW w:w="96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171"/>
        </w:trPr>
        <w:tc>
          <w:tcPr>
            <w:tcW w:w="4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2023</w:t>
            </w:r>
          </w:p>
        </w:tc>
        <w:tc>
          <w:tcPr>
            <w:tcW w:w="960" w:type="dxa"/>
            <w:vAlign w:val="bottom"/>
            <w:tcBorders>
              <w:bottom w:val="single" w:sz="8" w:color="CCEEFF"/>
            </w:tcBorders>
          </w:tcPr>
          <w:p>
            <w:pPr>
              <w:spacing w:after="0"/>
              <w:rPr>
                <w:sz w:val="14"/>
                <w:szCs w:val="14"/>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196"/>
        </w:trPr>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36,289</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33,135</w:t>
            </w:r>
          </w:p>
        </w:tc>
        <w:tc>
          <w:tcPr>
            <w:tcW w:w="960" w:type="dxa"/>
            <w:vAlign w:val="bottom"/>
            <w:shd w:val="clear" w:color="auto" w:fill="CCEEFF"/>
          </w:tcPr>
          <w:p>
            <w:pPr>
              <w:spacing w:after="0"/>
              <w:rPr>
                <w:sz w:val="17"/>
                <w:szCs w:val="17"/>
                <w:color w:val="auto"/>
              </w:rPr>
            </w:pPr>
          </w:p>
        </w:tc>
        <w:tc>
          <w:tcPr>
            <w:tcW w:w="2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9"/>
              </w:rPr>
              <w:t>10%</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Income before taxes - GAAP basis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5,672</w:t>
            </w:r>
          </w:p>
        </w:tc>
        <w:tc>
          <w:tcPr>
            <w:tcW w:w="54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5,282</w:t>
            </w:r>
          </w:p>
        </w:tc>
        <w:tc>
          <w:tcPr>
            <w:tcW w:w="29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7%</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 margin - GAAP basis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15.6%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15.9%</w:t>
            </w:r>
          </w:p>
        </w:tc>
        <w:tc>
          <w:tcPr>
            <w:tcW w:w="2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-31 bps</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 GAAP basis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4,461</w:t>
            </w:r>
          </w:p>
        </w:tc>
        <w:tc>
          <w:tcPr>
            <w:tcW w:w="54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4,203</w:t>
            </w:r>
          </w:p>
        </w:tc>
        <w:tc>
          <w:tcPr>
            <w:tcW w:w="29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 GAAP basis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3.11</w:t>
            </w:r>
          </w:p>
        </w:tc>
        <w:tc>
          <w:tcPr>
            <w:tcW w:w="5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2.91</w:t>
            </w:r>
          </w:p>
        </w:tc>
        <w:tc>
          <w:tcPr>
            <w:tcW w:w="2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7%</w:t>
            </w:r>
          </w:p>
        </w:tc>
      </w:tr>
      <w:tr>
        <w:trPr>
          <w:trHeight w:val="310"/>
        </w:trPr>
        <w:tc>
          <w:tcPr>
            <w:tcW w:w="484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9,070</w:t>
            </w:r>
          </w:p>
        </w:tc>
        <w:tc>
          <w:tcPr>
            <w:tcW w:w="5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60"/>
              <w:spacing w:after="0"/>
              <w:rPr>
                <w:sz w:val="20"/>
                <w:szCs w:val="20"/>
                <w:color w:val="auto"/>
              </w:rPr>
            </w:pPr>
            <w:r>
              <w:rPr>
                <w:rFonts w:ascii="Arial" w:cs="Arial" w:eastAsia="Arial" w:hAnsi="Arial"/>
                <w:sz w:val="18"/>
                <w:szCs w:val="18"/>
                <w:color w:val="auto"/>
              </w:rPr>
              <w:t>8,107</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9"/>
              </w:rPr>
              <w:t>12%</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25.0%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24.5%</w:t>
            </w:r>
          </w:p>
        </w:tc>
        <w:tc>
          <w:tcPr>
            <w:tcW w:w="2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 52 bps</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Pretax segment operating income*</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7,321</w:t>
            </w:r>
          </w:p>
        </w:tc>
        <w:tc>
          <w:tcPr>
            <w:tcW w:w="54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6,523</w:t>
            </w:r>
          </w:p>
        </w:tc>
        <w:tc>
          <w:tcPr>
            <w:tcW w:w="29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12%</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segment operating margin*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20.2%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19.7%</w:t>
            </w:r>
          </w:p>
        </w:tc>
        <w:tc>
          <w:tcPr>
            <w:tcW w:w="2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49 bps</w:t>
            </w:r>
          </w:p>
        </w:tc>
      </w:tr>
      <w:tr>
        <w:trPr>
          <w:trHeight w:val="184"/>
        </w:trPr>
        <w:tc>
          <w:tcPr>
            <w:tcW w:w="4840" w:type="dxa"/>
            <w:vAlign w:val="bottom"/>
          </w:tcPr>
          <w:p>
            <w:pPr>
              <w:spacing w:after="0" w:line="183" w:lineRule="exact"/>
              <w:rPr>
                <w:sz w:val="20"/>
                <w:szCs w:val="20"/>
                <w:color w:val="auto"/>
              </w:rPr>
            </w:pPr>
            <w:r>
              <w:rPr>
                <w:rFonts w:ascii="Arial" w:cs="Arial" w:eastAsia="Arial" w:hAnsi="Arial"/>
                <w:sz w:val="18"/>
                <w:szCs w:val="18"/>
                <w:color w:val="auto"/>
              </w:rPr>
              <w:t>Net income attributable to SLB, excluding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221"/>
        </w:trPr>
        <w:tc>
          <w:tcPr>
            <w:tcW w:w="4840" w:type="dxa"/>
            <w:vAlign w:val="bottom"/>
          </w:tcPr>
          <w:p>
            <w:pPr>
              <w:ind w:left="180"/>
              <w:spacing w:after="0"/>
              <w:rPr>
                <w:sz w:val="20"/>
                <w:szCs w:val="20"/>
                <w:color w:val="auto"/>
              </w:rPr>
            </w:pPr>
            <w:r>
              <w:rPr>
                <w:rFonts w:ascii="Arial" w:cs="Arial" w:eastAsia="Arial" w:hAnsi="Arial"/>
                <w:sz w:val="18"/>
                <w:szCs w:val="18"/>
                <w:color w:val="auto"/>
              </w:rPr>
              <w:t>charges &amp; credits*</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4,888</w:t>
            </w:r>
          </w:p>
        </w:tc>
        <w:tc>
          <w:tcPr>
            <w:tcW w:w="5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60"/>
              <w:spacing w:after="0"/>
              <w:rPr>
                <w:sz w:val="20"/>
                <w:szCs w:val="20"/>
                <w:color w:val="auto"/>
              </w:rPr>
            </w:pPr>
            <w:r>
              <w:rPr>
                <w:rFonts w:ascii="Arial" w:cs="Arial" w:eastAsia="Arial" w:hAnsi="Arial"/>
                <w:sz w:val="18"/>
                <w:szCs w:val="18"/>
                <w:color w:val="auto"/>
              </w:rPr>
              <w:t>4,305</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9"/>
              </w:rPr>
              <w:t>14%</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excluding charges &amp; credits*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3.41</w:t>
            </w:r>
          </w:p>
        </w:tc>
        <w:tc>
          <w:tcPr>
            <w:tcW w:w="5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2.98</w:t>
            </w:r>
          </w:p>
        </w:tc>
        <w:tc>
          <w:tcPr>
            <w:tcW w:w="2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14%</w:t>
            </w:r>
          </w:p>
        </w:tc>
      </w:tr>
      <w:tr>
        <w:trPr>
          <w:trHeight w:val="311"/>
        </w:trPr>
        <w:tc>
          <w:tcPr>
            <w:tcW w:w="4840" w:type="dxa"/>
            <w:vAlign w:val="bottom"/>
          </w:tcPr>
          <w:p>
            <w:pPr>
              <w:spacing w:after="0"/>
              <w:rPr>
                <w:sz w:val="20"/>
                <w:szCs w:val="20"/>
                <w:color w:val="auto"/>
              </w:rPr>
            </w:pPr>
            <w:r>
              <w:rPr>
                <w:rFonts w:ascii="Arial" w:cs="Arial" w:eastAsia="Arial" w:hAnsi="Arial"/>
                <w:sz w:val="18"/>
                <w:szCs w:val="18"/>
                <w:b w:val="1"/>
                <w:bCs w:val="1"/>
                <w:color w:val="auto"/>
              </w:rPr>
              <w:t>Revenue by Geography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29,415</w:t>
            </w:r>
          </w:p>
        </w:tc>
        <w:tc>
          <w:tcPr>
            <w:tcW w:w="5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w w:val="98"/>
              </w:rPr>
              <w:t>26,188</w:t>
            </w:r>
          </w:p>
        </w:tc>
        <w:tc>
          <w:tcPr>
            <w:tcW w:w="2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12%</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6,680</w:t>
            </w: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6,727</w:t>
            </w:r>
          </w:p>
        </w:tc>
        <w:tc>
          <w:tcPr>
            <w:tcW w:w="29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194</w:t>
            </w: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220</w:t>
            </w:r>
          </w:p>
        </w:tc>
        <w:tc>
          <w:tcPr>
            <w:tcW w:w="2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r>
      <w:tr>
        <w:trPr>
          <w:trHeight w:val="209"/>
        </w:trPr>
        <w:tc>
          <w:tcPr>
            <w:tcW w:w="48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36,289</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33,135</w:t>
            </w:r>
          </w:p>
        </w:tc>
        <w:tc>
          <w:tcPr>
            <w:tcW w:w="960" w:type="dxa"/>
            <w:vAlign w:val="bottom"/>
          </w:tcPr>
          <w:p>
            <w:pPr>
              <w:spacing w:after="0"/>
              <w:rPr>
                <w:sz w:val="18"/>
                <w:szCs w:val="18"/>
                <w:color w:val="auto"/>
              </w:rPr>
            </w:pPr>
          </w:p>
        </w:tc>
        <w:tc>
          <w:tcPr>
            <w:tcW w:w="2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w:t>
            </w: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 w:right="140"/>
        <w:spacing w:after="0" w:line="222" w:lineRule="auto"/>
        <w:rPr>
          <w:sz w:val="20"/>
          <w:szCs w:val="20"/>
          <w:color w:val="auto"/>
        </w:rPr>
      </w:pPr>
      <w:r>
        <w:rPr>
          <w:rFonts w:ascii="Arial" w:cs="Arial" w:eastAsia="Arial" w:hAnsi="Arial"/>
          <w:sz w:val="18"/>
          <w:szCs w:val="18"/>
          <w:color w:val="auto"/>
        </w:rPr>
        <w:t>SLB acquired the Aker subsea business during the fourth quarter of 2023 in connection with the formation of the OneSubsea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joint venture. The acquired business generated revenue of $1.93 bi</w:t>
      </w:r>
      <w:r>
        <w:rPr>
          <w:rFonts w:ascii="Arial" w:cs="Arial" w:eastAsia="Arial" w:hAnsi="Arial"/>
          <w:sz w:val="18"/>
          <w:szCs w:val="18"/>
          <w:b w:val="1"/>
          <w:bCs w:val="1"/>
          <w:color w:val="auto"/>
        </w:rPr>
        <w:t>ll</w:t>
      </w:r>
      <w:r>
        <w:rPr>
          <w:rFonts w:ascii="Arial" w:cs="Arial" w:eastAsia="Arial" w:hAnsi="Arial"/>
          <w:sz w:val="18"/>
          <w:szCs w:val="18"/>
          <w:color w:val="auto"/>
        </w:rPr>
        <w:t>ion during the fu</w:t>
      </w:r>
      <w:r>
        <w:rPr>
          <w:rFonts w:ascii="Arial" w:cs="Arial" w:eastAsia="Arial" w:hAnsi="Arial"/>
          <w:sz w:val="18"/>
          <w:szCs w:val="18"/>
          <w:b w:val="1"/>
          <w:bCs w:val="1"/>
          <w:color w:val="auto"/>
        </w:rPr>
        <w:t>ll</w:t>
      </w:r>
      <w:r>
        <w:rPr>
          <w:rFonts w:ascii="Arial" w:cs="Arial" w:eastAsia="Arial" w:hAnsi="Arial"/>
          <w:sz w:val="18"/>
          <w:szCs w:val="18"/>
          <w:color w:val="auto"/>
        </w:rPr>
        <w:t xml:space="preserve"> year of 2024 and $484 mi</w:t>
      </w:r>
      <w:r>
        <w:rPr>
          <w:rFonts w:ascii="Arial" w:cs="Arial" w:eastAsia="Arial" w:hAnsi="Arial"/>
          <w:sz w:val="18"/>
          <w:szCs w:val="18"/>
          <w:b w:val="1"/>
          <w:bCs w:val="1"/>
          <w:color w:val="auto"/>
        </w:rPr>
        <w:t>ll</w:t>
      </w:r>
      <w:r>
        <w:rPr>
          <w:rFonts w:ascii="Arial" w:cs="Arial" w:eastAsia="Arial" w:hAnsi="Arial"/>
          <w:sz w:val="18"/>
          <w:szCs w:val="18"/>
          <w:color w:val="auto"/>
        </w:rPr>
        <w:t>ion during the fourth quarter of 2023. Excluding the impact of this acquisition, SLB’s fu</w:t>
      </w:r>
      <w:r>
        <w:rPr>
          <w:rFonts w:ascii="Arial" w:cs="Arial" w:eastAsia="Arial" w:hAnsi="Arial"/>
          <w:sz w:val="18"/>
          <w:szCs w:val="18"/>
          <w:b w:val="1"/>
          <w:bCs w:val="1"/>
          <w:color w:val="auto"/>
        </w:rPr>
        <w:t>ll</w:t>
      </w:r>
      <w:r>
        <w:rPr>
          <w:rFonts w:ascii="Arial" w:cs="Arial" w:eastAsia="Arial" w:hAnsi="Arial"/>
          <w:sz w:val="18"/>
          <w:szCs w:val="18"/>
          <w:color w:val="auto"/>
        </w:rPr>
        <w:t>–year 2024 revenue increased 5% year on year; North America ful</w:t>
      </w:r>
      <w:r>
        <w:rPr>
          <w:rFonts w:ascii="Arial" w:cs="Arial" w:eastAsia="Arial" w:hAnsi="Arial"/>
          <w:sz w:val="18"/>
          <w:szCs w:val="18"/>
          <w:b w:val="1"/>
          <w:bCs w:val="1"/>
          <w:color w:val="auto"/>
        </w:rPr>
        <w:t>l</w:t>
      </w:r>
      <w:r>
        <w:rPr>
          <w:rFonts w:ascii="Arial" w:cs="Arial" w:eastAsia="Arial" w:hAnsi="Arial"/>
          <w:sz w:val="18"/>
          <w:szCs w:val="18"/>
          <w:color w:val="auto"/>
        </w:rPr>
        <w:t>–year 2024 revenue decreased 1% year on year; and international ful</w:t>
      </w:r>
      <w:r>
        <w:rPr>
          <w:rFonts w:ascii="Arial" w:cs="Arial" w:eastAsia="Arial" w:hAnsi="Arial"/>
          <w:sz w:val="18"/>
          <w:szCs w:val="18"/>
          <w:b w:val="1"/>
          <w:bCs w:val="1"/>
          <w:color w:val="auto"/>
        </w:rPr>
        <w:t>l-</w:t>
      </w:r>
      <w:r>
        <w:rPr>
          <w:rFonts w:ascii="Arial" w:cs="Arial" w:eastAsia="Arial" w:hAnsi="Arial"/>
          <w:sz w:val="18"/>
          <w:szCs w:val="18"/>
          <w:color w:val="auto"/>
        </w:rPr>
        <w:t>year 2024 revenue increased 7% year on year.</w:t>
      </w:r>
    </w:p>
    <w:p>
      <w:pPr>
        <w:spacing w:after="0" w:line="202" w:lineRule="exact"/>
        <w:rPr>
          <w:sz w:val="20"/>
          <w:szCs w:val="20"/>
          <w:color w:val="auto"/>
        </w:rPr>
      </w:pPr>
    </w:p>
    <w:p>
      <w:pPr>
        <w:ind w:left="224" w:right="400" w:hanging="224"/>
        <w:spacing w:after="0" w:line="271" w:lineRule="auto"/>
        <w:tabs>
          <w:tab w:leader="none" w:pos="2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“Divisions”, and “Supplementary Information” for details.</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024"/>
          </w:cols>
          <w:pgMar w:left="436" w:top="269"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Twelve Months Ended</w:t>
            </w:r>
          </w:p>
        </w:tc>
        <w:tc>
          <w:tcPr>
            <w:tcW w:w="1260" w:type="dxa"/>
            <w:vAlign w:val="bottom"/>
            <w:gridSpan w:val="2"/>
          </w:tcPr>
          <w:p>
            <w:pPr>
              <w:jc w:val="center"/>
              <w:ind w:righ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6"/>
            <w:vMerge w:val="continue"/>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260" w:type="dxa"/>
            <w:vAlign w:val="bottom"/>
          </w:tcPr>
          <w:p>
            <w:pPr>
              <w:spacing w:after="0"/>
              <w:rPr>
                <w:sz w:val="12"/>
                <w:szCs w:val="12"/>
                <w:color w:val="auto"/>
              </w:rPr>
            </w:pPr>
          </w:p>
        </w:tc>
        <w:tc>
          <w:tcPr>
            <w:tcW w:w="1040" w:type="dxa"/>
            <w:vAlign w:val="bottom"/>
            <w:tcBorders>
              <w:top w:val="single" w:sz="8" w:color="auto"/>
            </w:tcBorders>
            <w:gridSpan w:val="3"/>
          </w:tcPr>
          <w:p>
            <w:pPr>
              <w:jc w:val="center"/>
              <w:ind w:right="380"/>
              <w:spacing w:after="0" w:line="147" w:lineRule="exact"/>
              <w:rPr>
                <w:sz w:val="20"/>
                <w:szCs w:val="20"/>
                <w:color w:val="auto"/>
              </w:rPr>
            </w:pPr>
            <w:r>
              <w:rPr>
                <w:rFonts w:ascii="Arial" w:cs="Arial" w:eastAsia="Arial" w:hAnsi="Arial"/>
                <w:sz w:val="14"/>
                <w:szCs w:val="14"/>
                <w:b w:val="1"/>
                <w:bCs w:val="1"/>
                <w:color w:val="auto"/>
              </w:rPr>
              <w:t>Dec. 31,</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Dec. 31,</w:t>
            </w: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2024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color w:val="auto"/>
              </w:rPr>
              <w:t>2023</w:t>
            </w:r>
          </w:p>
        </w:tc>
        <w:tc>
          <w:tcPr>
            <w:tcW w:w="58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72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Division</w:t>
            </w: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Di</w:t>
            </w:r>
            <w:r>
              <w:rPr>
                <w:rFonts w:ascii="Arial" w:cs="Arial" w:eastAsia="Arial" w:hAnsi="Arial"/>
                <w:sz w:val="18"/>
                <w:szCs w:val="18"/>
                <w:b w:val="1"/>
                <w:bCs w:val="1"/>
                <w:color w:val="auto"/>
              </w:rPr>
              <w:t>gi</w:t>
            </w:r>
            <w:r>
              <w:rPr>
                <w:rFonts w:ascii="Arial" w:cs="Arial" w:eastAsia="Arial" w:hAnsi="Arial"/>
                <w:sz w:val="18"/>
                <w:szCs w:val="18"/>
                <w:color w:val="auto"/>
              </w:rPr>
              <w:t>tal &amp; Integration</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4,247</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3,871</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7,177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6,561</w:t>
            </w:r>
          </w:p>
        </w:tc>
        <w:tc>
          <w:tcPr>
            <w:tcW w:w="1200" w:type="dxa"/>
            <w:vAlign w:val="bottom"/>
            <w:shd w:val="clear" w:color="auto" w:fill="CCEEFF"/>
          </w:tcPr>
          <w:p>
            <w:pPr>
              <w:jc w:val="center"/>
              <w:ind w:left="11"/>
              <w:spacing w:after="0" w:line="202" w:lineRule="exact"/>
              <w:rPr>
                <w:sz w:val="20"/>
                <w:szCs w:val="20"/>
                <w:color w:val="auto"/>
              </w:rPr>
            </w:pPr>
            <w:r>
              <w:rPr>
                <w:rFonts w:ascii="Arial" w:cs="Arial" w:eastAsia="Arial" w:hAnsi="Arial"/>
                <w:sz w:val="18"/>
                <w:szCs w:val="18"/>
                <w:b w:val="1"/>
                <w:bCs w:val="1"/>
                <w:color w:val="auto"/>
                <w:w w:val="99"/>
              </w:rPr>
              <w:t>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w w:val="98"/>
              </w:rPr>
              <w:t>13,357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8"/>
              </w:rPr>
              <w:t>13,478</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w w:val="98"/>
              </w:rPr>
              <w:t>12,143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9,831</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(635)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(606)</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w w:val="98"/>
              </w:rPr>
              <w:t>36,289</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8"/>
              </w:rPr>
              <w:t>33,135</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Pretax Segment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w:t>
            </w:r>
            <w:r>
              <w:rPr>
                <w:rFonts w:ascii="Arial" w:cs="Arial" w:eastAsia="Arial" w:hAnsi="Arial"/>
                <w:sz w:val="18"/>
                <w:szCs w:val="18"/>
                <w:b w:val="1"/>
                <w:bCs w:val="1"/>
                <w:color w:val="auto"/>
              </w:rPr>
              <w:t>gi</w:t>
            </w:r>
            <w:r>
              <w:rPr>
                <w:rFonts w:ascii="Arial" w:cs="Arial" w:eastAsia="Arial" w:hAnsi="Arial"/>
                <w:sz w:val="18"/>
                <w:szCs w:val="18"/>
                <w:color w:val="auto"/>
              </w:rPr>
              <w:t>tal &amp; Integration</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1,408</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1,257</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1,452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1,263</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2,826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2,932</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1,898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1,245</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(263)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(174)</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10"/>
        </w:trPr>
        <w:tc>
          <w:tcPr>
            <w:tcW w:w="7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6,523</w:t>
            </w:r>
          </w:p>
        </w:tc>
        <w:tc>
          <w:tcPr>
            <w:tcW w:w="5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Segment Operating Margin</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Di</w:t>
            </w:r>
            <w:r>
              <w:rPr>
                <w:rFonts w:ascii="Arial" w:cs="Arial" w:eastAsia="Arial" w:hAnsi="Arial"/>
                <w:sz w:val="18"/>
                <w:szCs w:val="18"/>
                <w:b w:val="1"/>
                <w:bCs w:val="1"/>
                <w:color w:val="auto"/>
              </w:rPr>
              <w:t>gi</w:t>
            </w:r>
            <w:r>
              <w:rPr>
                <w:rFonts w:ascii="Arial" w:cs="Arial" w:eastAsia="Arial" w:hAnsi="Arial"/>
                <w:sz w:val="18"/>
                <w:szCs w:val="18"/>
                <w:color w:val="auto"/>
              </w:rPr>
              <w:t>tal &amp; Integration</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32.5%</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67 bps</w:t>
            </w:r>
          </w:p>
        </w:tc>
        <w:tc>
          <w:tcPr>
            <w:tcW w:w="0" w:type="dxa"/>
            <w:vAlign w:val="bottom"/>
          </w:tcPr>
          <w:p>
            <w:pPr>
              <w:spacing w:after="0"/>
              <w:rPr>
                <w:sz w:val="1"/>
                <w:szCs w:val="1"/>
                <w:color w:val="auto"/>
              </w:rPr>
            </w:pPr>
          </w:p>
        </w:tc>
      </w:tr>
      <w:tr>
        <w:trPr>
          <w:trHeight w:val="202"/>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20.2%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19.2%</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99 bps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21.2%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21.8%</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-59 bps</w:t>
            </w: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15.6%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12.7%</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297 bps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n/m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n/m</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20.2%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19.7%</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49 bps</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2,074</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1,847</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1,841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1,646</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3,461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3,514</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2,242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1,569</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102</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10"/>
        </w:trPr>
        <w:tc>
          <w:tcPr>
            <w:tcW w:w="7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9,636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8,678</w:t>
            </w:r>
          </w:p>
        </w:tc>
        <w:tc>
          <w:tcPr>
            <w:tcW w:w="580" w:type="dxa"/>
            <w:vAlign w:val="bottom"/>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(566)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(571)</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09"/>
        </w:trPr>
        <w:tc>
          <w:tcPr>
            <w:tcW w:w="7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9,070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8,107</w:t>
            </w:r>
          </w:p>
        </w:tc>
        <w:tc>
          <w:tcPr>
            <w:tcW w:w="5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Margin</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48.8%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47.7%</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5"/>
              </w:rPr>
              <w:t>111 bps</w:t>
            </w: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25.7%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25.1%</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57 bps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25.9%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26.1%</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-16 bps</w:t>
            </w: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18.5%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16.0%</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251 bps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n/m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n/m</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26.6%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26.2%</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37 bps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Corporate &amp; other</w:t>
            </w: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n/m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n/m</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25.0%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24.5%</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52 bps</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40"/>
        <w:spacing w:after="0" w:line="247" w:lineRule="auto"/>
        <w:rPr>
          <w:sz w:val="20"/>
          <w:szCs w:val="20"/>
          <w:color w:val="auto"/>
        </w:rPr>
      </w:pPr>
      <w:r>
        <w:rPr>
          <w:rFonts w:ascii="Arial" w:cs="Arial" w:eastAsia="Arial" w:hAnsi="Arial"/>
          <w:sz w:val="18"/>
          <w:szCs w:val="18"/>
          <w:color w:val="auto"/>
        </w:rPr>
        <w:t>SLB acquired the Aker subsea business during the fourth quarter of 2023 in connection with the formation of the OneSubsea joint venture. The acquired business generated revenue of $1.93 bi</w:t>
      </w:r>
      <w:r>
        <w:rPr>
          <w:rFonts w:ascii="Arial" w:cs="Arial" w:eastAsia="Arial" w:hAnsi="Arial"/>
          <w:sz w:val="18"/>
          <w:szCs w:val="18"/>
          <w:b w:val="1"/>
          <w:bCs w:val="1"/>
          <w:color w:val="auto"/>
        </w:rPr>
        <w:t>ll</w:t>
      </w:r>
      <w:r>
        <w:rPr>
          <w:rFonts w:ascii="Arial" w:cs="Arial" w:eastAsia="Arial" w:hAnsi="Arial"/>
          <w:sz w:val="18"/>
          <w:szCs w:val="18"/>
          <w:color w:val="auto"/>
        </w:rPr>
        <w:t>ion during the fu</w:t>
      </w:r>
      <w:r>
        <w:rPr>
          <w:rFonts w:ascii="Arial" w:cs="Arial" w:eastAsia="Arial" w:hAnsi="Arial"/>
          <w:sz w:val="18"/>
          <w:szCs w:val="18"/>
          <w:b w:val="1"/>
          <w:bCs w:val="1"/>
          <w:color w:val="auto"/>
        </w:rPr>
        <w:t>ll</w:t>
      </w:r>
      <w:r>
        <w:rPr>
          <w:rFonts w:ascii="Arial" w:cs="Arial" w:eastAsia="Arial" w:hAnsi="Arial"/>
          <w:sz w:val="18"/>
          <w:szCs w:val="18"/>
          <w:color w:val="auto"/>
        </w:rPr>
        <w:t xml:space="preserve"> year of 2024 and $484 mi</w:t>
      </w:r>
      <w:r>
        <w:rPr>
          <w:rFonts w:ascii="Arial" w:cs="Arial" w:eastAsia="Arial" w:hAnsi="Arial"/>
          <w:sz w:val="18"/>
          <w:szCs w:val="18"/>
          <w:b w:val="1"/>
          <w:bCs w:val="1"/>
          <w:color w:val="auto"/>
        </w:rPr>
        <w:t>ll</w:t>
      </w:r>
      <w:r>
        <w:rPr>
          <w:rFonts w:ascii="Arial" w:cs="Arial" w:eastAsia="Arial" w:hAnsi="Arial"/>
          <w:sz w:val="18"/>
          <w:szCs w:val="18"/>
          <w:color w:val="auto"/>
        </w:rPr>
        <w:t>ion during the fourth quarter of 2023. Excluding the impact of this acquisition, SLB’s fu</w:t>
      </w:r>
      <w:r>
        <w:rPr>
          <w:rFonts w:ascii="Arial" w:cs="Arial" w:eastAsia="Arial" w:hAnsi="Arial"/>
          <w:sz w:val="18"/>
          <w:szCs w:val="18"/>
          <w:b w:val="1"/>
          <w:bCs w:val="1"/>
          <w:color w:val="auto"/>
        </w:rPr>
        <w:t>ll</w:t>
      </w:r>
      <w:r>
        <w:rPr>
          <w:rFonts w:ascii="Arial" w:cs="Arial" w:eastAsia="Arial" w:hAnsi="Arial"/>
          <w:sz w:val="18"/>
          <w:szCs w:val="18"/>
          <w:color w:val="auto"/>
        </w:rPr>
        <w:t>-year 2024 revenue increased 5% year on year and Production Systems ful</w:t>
      </w:r>
      <w:r>
        <w:rPr>
          <w:rFonts w:ascii="Arial" w:cs="Arial" w:eastAsia="Arial" w:hAnsi="Arial"/>
          <w:sz w:val="18"/>
          <w:szCs w:val="18"/>
          <w:b w:val="1"/>
          <w:bCs w:val="1"/>
          <w:color w:val="auto"/>
        </w:rPr>
        <w:t>l</w:t>
      </w:r>
      <w:r>
        <w:rPr>
          <w:rFonts w:ascii="Arial" w:cs="Arial" w:eastAsia="Arial" w:hAnsi="Arial"/>
          <w:sz w:val="18"/>
          <w:szCs w:val="18"/>
          <w:color w:val="auto"/>
        </w:rPr>
        <w:t>-year 2024 revenue increased 9% year on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020"/>
          </w:cols>
          <w:pgMar w:left="440" w:top="279"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6"/>
            <w:vMerge w:val="restart"/>
          </w:tcPr>
          <w:p>
            <w:pPr>
              <w:jc w:val="right"/>
              <w:ind w:right="1040"/>
              <w:spacing w:after="0"/>
              <w:rPr>
                <w:sz w:val="20"/>
                <w:szCs w:val="20"/>
                <w:color w:val="auto"/>
              </w:rPr>
            </w:pPr>
            <w:r>
              <w:rPr>
                <w:rFonts w:ascii="Arial" w:cs="Arial" w:eastAsia="Arial" w:hAnsi="Arial"/>
                <w:sz w:val="14"/>
                <w:szCs w:val="14"/>
                <w:b w:val="1"/>
                <w:bCs w:val="1"/>
                <w:color w:val="auto"/>
              </w:rPr>
              <w:t>Twelve Months</w:t>
            </w:r>
          </w:p>
        </w:tc>
        <w:tc>
          <w:tcPr>
            <w:tcW w:w="1260" w:type="dxa"/>
            <w:vAlign w:val="bottom"/>
            <w:gridSpan w:val="2"/>
          </w:tcPr>
          <w:p>
            <w:pPr>
              <w:jc w:val="center"/>
              <w:ind w:righ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34"/>
        </w:trPr>
        <w:tc>
          <w:tcPr>
            <w:tcW w:w="7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gridSpan w:val="6"/>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Ended</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260" w:type="dxa"/>
            <w:vAlign w:val="bottom"/>
          </w:tcPr>
          <w:p>
            <w:pPr>
              <w:spacing w:after="0"/>
              <w:rPr>
                <w:sz w:val="12"/>
                <w:szCs w:val="12"/>
                <w:color w:val="auto"/>
              </w:rPr>
            </w:pPr>
          </w:p>
        </w:tc>
        <w:tc>
          <w:tcPr>
            <w:tcW w:w="1220" w:type="dxa"/>
            <w:vAlign w:val="bottom"/>
            <w:gridSpan w:val="3"/>
          </w:tcPr>
          <w:p>
            <w:pPr>
              <w:jc w:val="center"/>
              <w:ind w:right="488"/>
              <w:spacing w:after="0" w:line="147" w:lineRule="exact"/>
              <w:rPr>
                <w:sz w:val="20"/>
                <w:szCs w:val="20"/>
                <w:color w:val="auto"/>
              </w:rPr>
            </w:pPr>
            <w:r>
              <w:rPr>
                <w:rFonts w:ascii="Arial" w:cs="Arial" w:eastAsia="Arial" w:hAnsi="Arial"/>
                <w:sz w:val="14"/>
                <w:szCs w:val="14"/>
                <w:b w:val="1"/>
                <w:bCs w:val="1"/>
                <w:color w:val="auto"/>
              </w:rPr>
              <w:t>Dec. 31,</w:t>
            </w:r>
          </w:p>
        </w:tc>
        <w:tc>
          <w:tcPr>
            <w:tcW w:w="40" w:type="dxa"/>
            <w:vAlign w:val="bottom"/>
          </w:tcPr>
          <w:p>
            <w:pPr>
              <w:spacing w:after="0"/>
              <w:rPr>
                <w:sz w:val="12"/>
                <w:szCs w:val="12"/>
                <w:color w:val="auto"/>
              </w:rPr>
            </w:pPr>
          </w:p>
        </w:tc>
        <w:tc>
          <w:tcPr>
            <w:tcW w:w="66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Dec. 31,</w:t>
            </w: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2024</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color w:val="auto"/>
              </w:rPr>
              <w:t>2023</w:t>
            </w:r>
          </w:p>
        </w:tc>
        <w:tc>
          <w:tcPr>
            <w:tcW w:w="58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72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Geography</w:t>
            </w: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488"/>
              <w:spacing w:after="0" w:line="202" w:lineRule="exact"/>
              <w:rPr>
                <w:sz w:val="20"/>
                <w:szCs w:val="20"/>
                <w:color w:val="auto"/>
              </w:rPr>
            </w:pPr>
            <w:r>
              <w:rPr>
                <w:rFonts w:ascii="Arial" w:cs="Arial" w:eastAsia="Arial" w:hAnsi="Arial"/>
                <w:sz w:val="18"/>
                <w:szCs w:val="18"/>
                <w:b w:val="1"/>
                <w:bCs w:val="1"/>
                <w:color w:val="auto"/>
              </w:rPr>
              <w:t>6,680</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6,727</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Latin America</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b w:val="1"/>
                <w:bCs w:val="1"/>
                <w:color w:val="auto"/>
              </w:rPr>
              <w:t>6,719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6,645</w:t>
            </w:r>
          </w:p>
        </w:tc>
        <w:tc>
          <w:tcPr>
            <w:tcW w:w="1200" w:type="dxa"/>
            <w:vAlign w:val="bottom"/>
            <w:shd w:val="clear" w:color="auto" w:fill="CCEEFF"/>
          </w:tcPr>
          <w:p>
            <w:pPr>
              <w:jc w:val="center"/>
              <w:ind w:left="11"/>
              <w:spacing w:after="0" w:line="202" w:lineRule="exact"/>
              <w:rPr>
                <w:sz w:val="20"/>
                <w:szCs w:val="20"/>
                <w:color w:val="auto"/>
              </w:rPr>
            </w:pPr>
            <w:r>
              <w:rPr>
                <w:rFonts w:ascii="Arial" w:cs="Arial" w:eastAsia="Arial" w:hAnsi="Arial"/>
                <w:sz w:val="18"/>
                <w:szCs w:val="18"/>
                <w:b w:val="1"/>
                <w:bCs w:val="1"/>
                <w:color w:val="auto"/>
                <w:w w:val="99"/>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Europe &amp; Africa*</w:t>
            </w:r>
          </w:p>
        </w:tc>
        <w:tc>
          <w:tcPr>
            <w:tcW w:w="100" w:type="dxa"/>
            <w:vAlign w:val="bottom"/>
          </w:tcPr>
          <w:p>
            <w:pPr>
              <w:spacing w:after="0"/>
              <w:rPr>
                <w:sz w:val="17"/>
                <w:szCs w:val="17"/>
                <w:color w:val="auto"/>
              </w:rPr>
            </w:pPr>
          </w:p>
        </w:tc>
        <w:tc>
          <w:tcPr>
            <w:tcW w:w="1120" w:type="dxa"/>
            <w:vAlign w:val="bottom"/>
            <w:gridSpan w:val="2"/>
          </w:tcPr>
          <w:p>
            <w:pPr>
              <w:jc w:val="right"/>
              <w:ind w:right="488"/>
              <w:spacing w:after="0" w:line="202" w:lineRule="exact"/>
              <w:rPr>
                <w:sz w:val="20"/>
                <w:szCs w:val="20"/>
                <w:color w:val="auto"/>
              </w:rPr>
            </w:pPr>
            <w:r>
              <w:rPr>
                <w:rFonts w:ascii="Arial" w:cs="Arial" w:eastAsia="Arial" w:hAnsi="Arial"/>
                <w:sz w:val="18"/>
                <w:szCs w:val="18"/>
                <w:b w:val="1"/>
                <w:bCs w:val="1"/>
                <w:color w:val="auto"/>
              </w:rPr>
              <w:t>9,671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8,525</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Middle East &amp; Asia</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b w:val="1"/>
                <w:bCs w:val="1"/>
                <w:color w:val="auto"/>
                <w:w w:val="98"/>
              </w:rPr>
              <w:t>13,026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8"/>
              </w:rPr>
              <w:t>11,019</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1120" w:type="dxa"/>
            <w:vAlign w:val="bottom"/>
            <w:gridSpan w:val="2"/>
          </w:tcPr>
          <w:p>
            <w:pPr>
              <w:jc w:val="right"/>
              <w:ind w:right="488"/>
              <w:spacing w:after="0" w:line="202" w:lineRule="exact"/>
              <w:rPr>
                <w:sz w:val="20"/>
                <w:szCs w:val="20"/>
                <w:color w:val="auto"/>
              </w:rPr>
            </w:pPr>
            <w:r>
              <w:rPr>
                <w:rFonts w:ascii="Arial" w:cs="Arial" w:eastAsia="Arial" w:hAnsi="Arial"/>
                <w:sz w:val="18"/>
                <w:szCs w:val="18"/>
                <w:b w:val="1"/>
                <w:bCs w:val="1"/>
                <w:color w:val="auto"/>
              </w:rPr>
              <w:t>193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219</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11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b w:val="1"/>
                <w:bCs w:val="1"/>
                <w:color w:val="auto"/>
                <w:w w:val="98"/>
              </w:rPr>
              <w:t>36,289</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8"/>
              </w:rPr>
              <w:t>33,135</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International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8"/>
              </w:rPr>
              <w:t>29,415</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w w:val="98"/>
              </w:rPr>
              <w:t>26,188</w:t>
            </w:r>
          </w:p>
        </w:tc>
        <w:tc>
          <w:tcPr>
            <w:tcW w:w="58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b w:val="1"/>
                <w:bCs w:val="1"/>
                <w:color w:val="auto"/>
              </w:rPr>
              <w:t>6,680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6,727</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1120" w:type="dxa"/>
            <w:vAlign w:val="bottom"/>
            <w:gridSpan w:val="2"/>
          </w:tcPr>
          <w:p>
            <w:pPr>
              <w:jc w:val="right"/>
              <w:ind w:right="488"/>
              <w:spacing w:after="0" w:line="202" w:lineRule="exact"/>
              <w:rPr>
                <w:sz w:val="20"/>
                <w:szCs w:val="20"/>
                <w:color w:val="auto"/>
              </w:rPr>
            </w:pPr>
            <w:r>
              <w:rPr>
                <w:rFonts w:ascii="Arial" w:cs="Arial" w:eastAsia="Arial" w:hAnsi="Arial"/>
                <w:sz w:val="18"/>
                <w:szCs w:val="18"/>
                <w:b w:val="1"/>
                <w:bCs w:val="1"/>
                <w:color w:val="auto"/>
              </w:rPr>
              <w:t>194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220</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11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b w:val="1"/>
                <w:bCs w:val="1"/>
                <w:color w:val="auto"/>
                <w:w w:val="98"/>
              </w:rPr>
              <w:t>36,289</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8"/>
              </w:rPr>
              <w:t>33,135</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Pretax Segment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b w:val="1"/>
                <w:bCs w:val="1"/>
                <w:color w:val="auto"/>
              </w:rPr>
              <w:t>6,291</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5,486</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17"/>
                <w:szCs w:val="17"/>
                <w:color w:val="auto"/>
              </w:rPr>
            </w:pPr>
          </w:p>
        </w:tc>
        <w:tc>
          <w:tcPr>
            <w:tcW w:w="1120" w:type="dxa"/>
            <w:vAlign w:val="bottom"/>
            <w:gridSpan w:val="2"/>
          </w:tcPr>
          <w:p>
            <w:pPr>
              <w:jc w:val="right"/>
              <w:ind w:right="488"/>
              <w:spacing w:after="0" w:line="202" w:lineRule="exact"/>
              <w:rPr>
                <w:sz w:val="20"/>
                <w:szCs w:val="20"/>
                <w:color w:val="auto"/>
              </w:rPr>
            </w:pPr>
            <w:r>
              <w:rPr>
                <w:rFonts w:ascii="Arial" w:cs="Arial" w:eastAsia="Arial" w:hAnsi="Arial"/>
                <w:sz w:val="18"/>
                <w:szCs w:val="18"/>
                <w:b w:val="1"/>
                <w:bCs w:val="1"/>
                <w:color w:val="auto"/>
              </w:rPr>
              <w:t>1,134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1,157</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b w:val="1"/>
                <w:bCs w:val="1"/>
                <w:color w:val="auto"/>
              </w:rPr>
              <w:t>(104)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(120)</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09"/>
        </w:trPr>
        <w:tc>
          <w:tcPr>
            <w:tcW w:w="7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7,321</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6,523</w:t>
            </w:r>
          </w:p>
        </w:tc>
        <w:tc>
          <w:tcPr>
            <w:tcW w:w="5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Segment Operating Income Margin</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7"/>
                <w:szCs w:val="17"/>
                <w:color w:val="auto"/>
              </w:rPr>
            </w:pPr>
          </w:p>
        </w:tc>
        <w:tc>
          <w:tcPr>
            <w:tcW w:w="112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21.4%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20.9%</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44 bps</w:t>
            </w: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17.0%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17.2%</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-23 bps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1120" w:type="dxa"/>
            <w:vAlign w:val="bottom"/>
            <w:gridSpan w:val="2"/>
          </w:tcPr>
          <w:p>
            <w:pPr>
              <w:jc w:val="right"/>
              <w:ind w:right="488"/>
              <w:spacing w:after="0" w:line="202" w:lineRule="exact"/>
              <w:rPr>
                <w:sz w:val="20"/>
                <w:szCs w:val="20"/>
                <w:color w:val="auto"/>
              </w:rPr>
            </w:pPr>
            <w:r>
              <w:rPr>
                <w:rFonts w:ascii="Arial" w:cs="Arial" w:eastAsia="Arial" w:hAnsi="Arial"/>
                <w:sz w:val="18"/>
                <w:szCs w:val="18"/>
                <w:b w:val="1"/>
                <w:bCs w:val="1"/>
                <w:color w:val="auto"/>
              </w:rPr>
              <w:t>n/m</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n/m</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20.2%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19.7%</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49 bps</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b w:val="1"/>
                <w:bCs w:val="1"/>
                <w:color w:val="auto"/>
              </w:rPr>
              <w:t>7,900</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6,988</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17"/>
                <w:szCs w:val="17"/>
                <w:color w:val="auto"/>
              </w:rPr>
            </w:pPr>
          </w:p>
        </w:tc>
        <w:tc>
          <w:tcPr>
            <w:tcW w:w="1120" w:type="dxa"/>
            <w:vAlign w:val="bottom"/>
            <w:gridSpan w:val="2"/>
          </w:tcPr>
          <w:p>
            <w:pPr>
              <w:jc w:val="right"/>
              <w:ind w:right="488"/>
              <w:spacing w:after="0" w:line="202" w:lineRule="exact"/>
              <w:rPr>
                <w:sz w:val="20"/>
                <w:szCs w:val="20"/>
                <w:color w:val="auto"/>
              </w:rPr>
            </w:pPr>
            <w:r>
              <w:rPr>
                <w:rFonts w:ascii="Arial" w:cs="Arial" w:eastAsia="Arial" w:hAnsi="Arial"/>
                <w:sz w:val="18"/>
                <w:szCs w:val="18"/>
                <w:b w:val="1"/>
                <w:bCs w:val="1"/>
                <w:color w:val="auto"/>
              </w:rPr>
              <w:t>1,592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1,559</w:t>
            </w:r>
          </w:p>
        </w:tc>
        <w:tc>
          <w:tcPr>
            <w:tcW w:w="1200" w:type="dxa"/>
            <w:vAlign w:val="bottom"/>
          </w:tcPr>
          <w:p>
            <w:pPr>
              <w:jc w:val="center"/>
              <w:ind w:left="11"/>
              <w:spacing w:after="0" w:line="202" w:lineRule="exact"/>
              <w:rPr>
                <w:sz w:val="20"/>
                <w:szCs w:val="20"/>
                <w:color w:val="auto"/>
              </w:rPr>
            </w:pPr>
            <w:r>
              <w:rPr>
                <w:rFonts w:ascii="Arial" w:cs="Arial" w:eastAsia="Arial" w:hAnsi="Arial"/>
                <w:sz w:val="18"/>
                <w:szCs w:val="18"/>
                <w:b w:val="1"/>
                <w:bCs w:val="1"/>
                <w:color w:val="auto"/>
                <w:w w:val="99"/>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b w:val="1"/>
                <w:bCs w:val="1"/>
                <w:color w:val="auto"/>
              </w:rPr>
              <w:t>144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131</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10"/>
        </w:trPr>
        <w:tc>
          <w:tcPr>
            <w:tcW w:w="7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9,636</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8,678</w:t>
            </w:r>
          </w:p>
        </w:tc>
        <w:tc>
          <w:tcPr>
            <w:tcW w:w="580" w:type="dxa"/>
            <w:vAlign w:val="bottom"/>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b w:val="1"/>
                <w:bCs w:val="1"/>
                <w:color w:val="auto"/>
              </w:rPr>
              <w:t>(566)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(571)</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10"/>
        </w:trPr>
        <w:tc>
          <w:tcPr>
            <w:tcW w:w="7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9,070</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8,107</w:t>
            </w:r>
          </w:p>
        </w:tc>
        <w:tc>
          <w:tcPr>
            <w:tcW w:w="5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Margin</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7"/>
                <w:szCs w:val="17"/>
                <w:color w:val="auto"/>
              </w:rPr>
            </w:pPr>
          </w:p>
        </w:tc>
        <w:tc>
          <w:tcPr>
            <w:tcW w:w="112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26.9%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26.7%</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17 bps</w:t>
            </w: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23.8%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23.2%</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66 bps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1120" w:type="dxa"/>
            <w:vAlign w:val="bottom"/>
            <w:gridSpan w:val="2"/>
          </w:tcPr>
          <w:p>
            <w:pPr>
              <w:jc w:val="right"/>
              <w:ind w:right="488"/>
              <w:spacing w:after="0" w:line="202" w:lineRule="exact"/>
              <w:rPr>
                <w:sz w:val="20"/>
                <w:szCs w:val="20"/>
                <w:color w:val="auto"/>
              </w:rPr>
            </w:pPr>
            <w:r>
              <w:rPr>
                <w:rFonts w:ascii="Arial" w:cs="Arial" w:eastAsia="Arial" w:hAnsi="Arial"/>
                <w:sz w:val="18"/>
                <w:szCs w:val="18"/>
                <w:b w:val="1"/>
                <w:bCs w:val="1"/>
                <w:color w:val="auto"/>
              </w:rPr>
              <w:t>n/m</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n/m</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26.6%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26.2%</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37 bps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Corporate &amp; other</w:t>
            </w:r>
          </w:p>
        </w:tc>
        <w:tc>
          <w:tcPr>
            <w:tcW w:w="100" w:type="dxa"/>
            <w:vAlign w:val="bottom"/>
          </w:tcPr>
          <w:p>
            <w:pPr>
              <w:spacing w:after="0"/>
              <w:rPr>
                <w:sz w:val="17"/>
                <w:szCs w:val="17"/>
                <w:color w:val="auto"/>
              </w:rPr>
            </w:pPr>
          </w:p>
        </w:tc>
        <w:tc>
          <w:tcPr>
            <w:tcW w:w="1120" w:type="dxa"/>
            <w:vAlign w:val="bottom"/>
            <w:gridSpan w:val="2"/>
          </w:tcPr>
          <w:p>
            <w:pPr>
              <w:jc w:val="right"/>
              <w:ind w:right="488"/>
              <w:spacing w:after="0" w:line="202" w:lineRule="exact"/>
              <w:rPr>
                <w:sz w:val="20"/>
                <w:szCs w:val="20"/>
                <w:color w:val="auto"/>
              </w:rPr>
            </w:pPr>
            <w:r>
              <w:rPr>
                <w:rFonts w:ascii="Arial" w:cs="Arial" w:eastAsia="Arial" w:hAnsi="Arial"/>
                <w:sz w:val="18"/>
                <w:szCs w:val="18"/>
                <w:b w:val="1"/>
                <w:bCs w:val="1"/>
                <w:color w:val="auto"/>
              </w:rPr>
              <w:t>n/m</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n/m</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25.0%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24.5%</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52 bps</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Includes Russia and the Caspian region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020"/>
          </w:cols>
          <w:pgMar w:left="440" w:top="27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Consistent Fourth-Quarter and Full-Year Performance Despite Macro Headwinds</w:t>
      </w:r>
    </w:p>
    <w:p>
      <w:pPr>
        <w:spacing w:after="0" w:line="10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“2024 was a strong year for SLB as we successfully navigated evolving market conditions to deliver revenue and EBITDA growth, margin expansion and solid free cash flow,” said SLB Chief Executive Officer Olivier Le Peuch.</w:t>
      </w:r>
    </w:p>
    <w:p>
      <w:pPr>
        <w:spacing w:after="0" w:line="15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“Year on year, revenue increased by 10% and adjusted EBITDA grew by 12%, while we generated $3.99 billion in free cash flow, enabling us to return $3.27 billion to shareholders and reduce net debt by $571 million. These results demonstrate SLB’s ability to deliver consistent financial performance despite moderating upstream investment growth, driven by our global scale, unmatched digital offerings and ongoing focus on cost optimization.</w:t>
      </w:r>
    </w:p>
    <w:p>
      <w:pPr>
        <w:spacing w:after="0" w:line="174" w:lineRule="exact"/>
        <w:rPr>
          <w:sz w:val="20"/>
          <w:szCs w:val="20"/>
          <w:color w:val="auto"/>
        </w:rPr>
      </w:pPr>
    </w:p>
    <w:p>
      <w:pPr>
        <w:jc w:val="both"/>
        <w:ind w:right="260"/>
        <w:spacing w:after="0" w:line="247" w:lineRule="auto"/>
        <w:rPr>
          <w:sz w:val="20"/>
          <w:szCs w:val="20"/>
          <w:color w:val="auto"/>
        </w:rPr>
      </w:pPr>
      <w:r>
        <w:rPr>
          <w:rFonts w:ascii="Arial" w:cs="Arial" w:eastAsia="Arial" w:hAnsi="Arial"/>
          <w:sz w:val="18"/>
          <w:szCs w:val="18"/>
          <w:color w:val="auto"/>
        </w:rPr>
        <w:t>“Our full-year results were highlighted by 12% international revenue growth. This performance was led by the Middle East &amp; Asia and Europe &amp; Africa, which grew 18% and 13%, respectively. The Middle East &amp; Asia achieved record revenues, while growth in Europe &amp; Africa was bolstered by the acquired Aker subsea business. Excluding this acquired business, international revenue increased 7% year over year, outperforming the rig count over the same period.</w:t>
      </w:r>
    </w:p>
    <w:p>
      <w:pPr>
        <w:spacing w:after="0" w:line="17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“Sequentially, fourth-quarter revenue grew slightly, driven by digital sales in North America and higher activity in the Middle East, Europe and North Africa. On a divisional basis, Digital &amp; Integration led revenue performance, driven by increased demand for digital products and solutions, while Production Systems benefited from strong backlog conversion as customers continued to invest in maximizing recovery from existing assets,” Le Peuch said.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Recovery Becoming a Pathway to Long-Term Outperformance</w:t>
      </w:r>
    </w:p>
    <w:p>
      <w:pPr>
        <w:spacing w:after="0" w:line="10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“On a full-year basis, our Core divisions—Reservoir Performance, Well Construction and Production Systems—delivered 9% revenue growth, led by 24% growth in Production Systems, largely due to the subsea acquisition. Production Systems grew 9% organically due to double-digit increases in surface systems, completions and artificial lift. Reservoir Performance also delivered 9% growth, underpinned by strong stimulation and intervention activity in the production space.</w:t>
      </w:r>
    </w:p>
    <w:p>
      <w:pPr>
        <w:spacing w:after="0" w:line="17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“Our fit-for-basin approach, domain expertise and integration capabilities have established us as the performance partner of choice for addressing the operating challenges our customers face throughout the life cycle of their assets. As operators across the industry increasingly prioritize production and recovery, our strengths are more critical than ever.</w:t>
      </w:r>
    </w:p>
    <w:p>
      <w:pPr>
        <w:spacing w:after="0" w:line="16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“With the anticipated completion of our announced acquisition of ChampionX, we are set to further strengthen our production and recovery capabilities, enabling us to deliver even greater value to our customers. This strategic acquisition will also enhance the resilience of the SLB portfolio, providing some stability against the cycles in the years to come.</w:t>
      </w:r>
    </w:p>
    <w:p>
      <w:pPr>
        <w:sectPr>
          <w:pgSz w:w="11900" w:h="16838" w:orient="portrait"/>
          <w:cols w:equalWidth="0" w:num="1">
            <w:col w:w="11000"/>
          </w:cols>
          <w:pgMar w:left="440" w:top="269"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Digital Continues to Deliver Highly Accretive Growth with AI and Autonomous Operations Gaining Traction</w:t>
      </w:r>
    </w:p>
    <w:p>
      <w:pPr>
        <w:spacing w:after="0" w:line="104"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“Digital &amp; Integration revenue increased 10% year on year, driven by 20% growth in digital, which reached $2.44 billion for the year. Accelerated adoption of our digital technologies marked a milestone year, highlighted by strategic collaborations with cross-industry leaders, the launch of the Lumi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data and AI platform, new Performance Live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centers to enable remote operations, and the achievement of fully autonomous drilling operations.</w:t>
      </w:r>
    </w:p>
    <w:p>
      <w:pPr>
        <w:spacing w:after="0" w:line="183"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“AI is the X factor for our industry, and I am confident that SLB will continue to be a leader in this area, enabling us to deliver sustained outperformance for our customers, partners and shareholders,” Le Peuch said.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Fundamentals Will Support Oil and Gas Investment</w:t>
      </w:r>
    </w:p>
    <w:p>
      <w:pPr>
        <w:spacing w:after="0" w:line="104"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“While upstream investment growth will remain subdued in the short term due to global oversupply, we anticipate the oil supply imbalance will gradually abate. Global economic growth and a heightened focus on energy security, coupled with rising energy demand from AI and data centers will support the investment outlook for the oil and gas industry throughout the rest of the decade.</w:t>
      </w:r>
    </w:p>
    <w:p>
      <w:pPr>
        <w:spacing w:after="0" w:line="16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our Core business, we are making unmatched contributions to the discovery, development and extraction of oil and gas reserves, fueling global energy supply. We have the leading offering in Digital. And we are pursuing a meaningful opportunity in New Energy and decarbonization, where we have established a differentiated market position. Together, this is laying a strong foundation for our business, and SLB is poised to create enduring value for our customers and shareholders,” Le Peuch said.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Return to Shareholders Increasing to $4 Billion in 2025</w:t>
      </w:r>
    </w:p>
    <w:p>
      <w:pPr>
        <w:spacing w:after="0" w:line="10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“SLB remains committed to expanding EBITDA margins, generating strong cash flows, and increasing returns to shareholders. Given our confidence in the business outlook and our ability to continue generating strong cash flows, we are pleased to announce that our Board of Directors has approved a 3.6% increase to our quarterly dividend. Additionally, as we believe our stock is undervalued relative to the strength of our business, we entered into accelerated share repurchase (ASR) transactions to repurchase $2.3 billion of our company’s common stock. This positions us to increase total return to shareholders from $3.3 billion in 2024 to a minimum of $4 billion in 2025,” Le Peuch concluded.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0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During the quarter, SLB repurchased 11.8 million shares of its common stock for a total purchase price of $501 million. For the full-year 2024, SLB repurchased a total of 38.4 million shares of its common stock for a total purchase price of $1.74 billion.</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On December 20, 2024, SLB entered into ASR transactions to repurchase $2.3 billion of its common stock. Under the terms of the ASR agreements, on January 13, 2025, SLB received an initial share delivery of approximately 80% of the shares to be repurchased, based on the closing price per share of its common stock on the preceding day. SLB expects the remainder of the shares to be delivered no later than the end of May 2025. Under certain circumstances, SLB may be required to deliver shares or pay cash, at its option, upon settlement of the ASR agreements. The total number of shares ultimately purchased under the ASR agreements will depend upon the final settlement and will be based on volume-weighted average prices of SLB’s common stock during the terms of the ASR transactions, less a discount.</w:t>
      </w:r>
    </w:p>
    <w:p>
      <w:pPr>
        <w:spacing w:after="0" w:line="165"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On January 16, 2025, SLB’s Board of Directors approved a 3.6% increase in SLB’s quarterly cash dividend from $0.275 per share of outstanding common stock to $0.285 per share, beginning with the dividend payable on April 3, 2025, to stockholders of record on February 5, 2025.</w:t>
      </w:r>
    </w:p>
    <w:p>
      <w:pPr>
        <w:sectPr>
          <w:pgSz w:w="11900" w:h="16838" w:orient="portrait"/>
          <w:cols w:equalWidth="0" w:num="1">
            <w:col w:w="11000"/>
          </w:cols>
          <w:pgMar w:left="440" w:top="26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Fourth-Quarter Revenue by Geographical Area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w:t>
            </w:r>
            <w:r>
              <w:rPr>
                <w:rFonts w:ascii="Arial" w:cs="Arial" w:eastAsia="Arial" w:hAnsi="Arial"/>
                <w:sz w:val="14"/>
                <w:szCs w:val="14"/>
                <w:b w:val="1"/>
                <w:bCs w:val="1"/>
                <w:color w:val="auto"/>
              </w:rPr>
              <w:t>l</w:t>
            </w:r>
            <w:r>
              <w:rPr>
                <w:rFonts w:ascii="Arial" w:cs="Arial" w:eastAsia="Arial" w:hAnsi="Arial"/>
                <w:sz w:val="14"/>
                <w:szCs w:val="14"/>
                <w:color w:val="auto"/>
              </w:rPr>
              <w:t>ions)</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70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tcBorders>
              <w:top w:val="single" w:sz="8" w:color="auto"/>
            </w:tcBorders>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Dec. 31,</w:t>
            </w:r>
          </w:p>
        </w:tc>
        <w:tc>
          <w:tcPr>
            <w:tcW w:w="740" w:type="dxa"/>
            <w:vAlign w:val="bottom"/>
            <w:tcBorders>
              <w:top w:val="single" w:sz="8" w:color="auto"/>
            </w:tcBorders>
            <w:gridSpan w:val="2"/>
          </w:tcPr>
          <w:p>
            <w:pPr>
              <w:jc w:val="right"/>
              <w:ind w:right="180"/>
              <w:spacing w:after="0" w:line="147" w:lineRule="exact"/>
              <w:rPr>
                <w:sz w:val="20"/>
                <w:szCs w:val="20"/>
                <w:color w:val="auto"/>
              </w:rPr>
            </w:pPr>
            <w:r>
              <w:rPr>
                <w:rFonts w:ascii="Arial" w:cs="Arial" w:eastAsia="Arial" w:hAnsi="Arial"/>
                <w:sz w:val="14"/>
                <w:szCs w:val="14"/>
                <w:color w:val="auto"/>
                <w:w w:val="98"/>
              </w:rPr>
              <w:t>Sept. 30,</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Dec. 31,</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2024</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$1,752</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$1,687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$1,641</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4%</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Latin America</w:t>
            </w:r>
          </w:p>
        </w:tc>
        <w:tc>
          <w:tcPr>
            <w:tcW w:w="31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1,634</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1,689</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1,722</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-3%</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 &amp; Africa*</w:t>
            </w:r>
          </w:p>
        </w:tc>
        <w:tc>
          <w:tcPr>
            <w:tcW w:w="31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2,472</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2,434</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2,429</w:t>
            </w:r>
          </w:p>
        </w:tc>
        <w:tc>
          <w:tcPr>
            <w:tcW w:w="12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Middle East &amp; Asia</w:t>
            </w:r>
          </w:p>
        </w:tc>
        <w:tc>
          <w:tcPr>
            <w:tcW w:w="31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3,376</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3,302</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3,141</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49</w:t>
            </w: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47</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56</w:t>
            </w:r>
          </w:p>
        </w:tc>
        <w:tc>
          <w:tcPr>
            <w:tcW w:w="122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9,284</w:t>
            </w:r>
          </w:p>
        </w:tc>
        <w:tc>
          <w:tcPr>
            <w:tcW w:w="34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9,159</w:t>
            </w:r>
          </w:p>
        </w:tc>
        <w:tc>
          <w:tcPr>
            <w:tcW w:w="1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8,990</w:t>
            </w:r>
          </w:p>
        </w:tc>
        <w:tc>
          <w:tcPr>
            <w:tcW w:w="340" w:type="dxa"/>
            <w:vAlign w:val="bottom"/>
            <w:vMerge w:val="continue"/>
          </w:tcPr>
          <w:p>
            <w:pPr>
              <w:spacing w:after="0"/>
              <w:rPr>
                <w:sz w:val="18"/>
                <w:szCs w:val="18"/>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312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$7,483</w:t>
            </w:r>
          </w:p>
        </w:tc>
        <w:tc>
          <w:tcPr>
            <w:tcW w:w="7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w w:val="98"/>
              </w:rPr>
              <w:t>$7,425</w:t>
            </w:r>
          </w:p>
        </w:tc>
        <w:tc>
          <w:tcPr>
            <w:tcW w:w="106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$7,293</w:t>
            </w: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1%</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7"/>
        </w:trPr>
        <w:tc>
          <w:tcPr>
            <w:tcW w:w="3820" w:type="dxa"/>
            <w:vAlign w:val="bottom"/>
          </w:tcPr>
          <w:p>
            <w:pPr>
              <w:spacing w:after="0"/>
              <w:rPr>
                <w:sz w:val="20"/>
                <w:szCs w:val="20"/>
                <w:color w:val="auto"/>
              </w:rPr>
            </w:pPr>
            <w:r>
              <w:rPr>
                <w:rFonts w:ascii="Arial" w:cs="Arial" w:eastAsia="Arial" w:hAnsi="Arial"/>
                <w:sz w:val="18"/>
                <w:szCs w:val="18"/>
                <w:color w:val="auto"/>
              </w:rPr>
              <w:t>North America</w:t>
            </w:r>
          </w:p>
        </w:tc>
        <w:tc>
          <w:tcPr>
            <w:tcW w:w="31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$1,752</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$1,687</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$1,641</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Includes Russia and the Caspian region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04"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 xml:space="preserve">Revenue in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of $1.63 billion declined 3% sequentially, driven primarily by reduced drilling activity in Mexico. This decline was partially offset by increased production system sales in Brazil. Year on year, revenue decreased 5%, reflecting reduced drilling in Mexico, partially offset by robust activity in Argentina and higher production system sales in Brazil.</w:t>
      </w:r>
    </w:p>
    <w:p>
      <w:pPr>
        <w:spacing w:after="0" w:line="16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color w:val="auto"/>
        </w:rPr>
        <w:t xml:space="preserve">Europe &amp; Africa </w:t>
      </w:r>
      <w:r>
        <w:rPr>
          <w:rFonts w:ascii="Arial" w:cs="Arial" w:eastAsia="Arial" w:hAnsi="Arial"/>
          <w:sz w:val="18"/>
          <w:szCs w:val="18"/>
          <w:color w:val="auto"/>
        </w:rPr>
        <w:t>revenue of $2.47 billion rose 2% sequentially, supported by increased activity in Europe and North Africa, despite lower</w:t>
      </w:r>
      <w:r>
        <w:rPr>
          <w:rFonts w:ascii="Arial" w:cs="Arial" w:eastAsia="Arial" w:hAnsi="Arial"/>
          <w:sz w:val="18"/>
          <w:szCs w:val="18"/>
          <w:b w:val="1"/>
          <w:bCs w:val="1"/>
          <w:color w:val="auto"/>
        </w:rPr>
        <w:t xml:space="preserve"> </w:t>
      </w:r>
      <w:r>
        <w:rPr>
          <w:rFonts w:ascii="Arial" w:cs="Arial" w:eastAsia="Arial" w:hAnsi="Arial"/>
          <w:sz w:val="18"/>
          <w:szCs w:val="18"/>
          <w:color w:val="auto"/>
        </w:rPr>
        <w:t>subsea production system sales in Scandinavia. Year on year, revenue also grew 2%, with stronger performances in North Africa and Europe offsetting weaker results in West Africa.</w:t>
      </w:r>
    </w:p>
    <w:p>
      <w:pPr>
        <w:spacing w:after="0" w:line="16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of $3.38 billion increased 2% sequentially, driven by strong activity in the United Arab Emirates, higher drilling in Egypt, and increased stimulation, intervention and evaluation activity in Qatar. These gains offset weaker performance in Saudi Arabia and Australia. Year on year, revenue grew 7%, reflecting robust activity in the United Arab Emirates, Iraq, Kuwait, East Asia, China and Indonesia, partially offset by reduced drilling in India.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0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revenue of $1.75 billion increased 4% sequentially due to higher digital sales and increased sales of production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U.S. Gulf of Mexico, as well as higher digital sales and increased drilling activity in U.S. land and Canada. Year on year, revenue rose 7%, driven by growth in offshore activity in the U.S. Gulf of Mexico and higher Asset Performance Solutions (APS) revenue in Canada, despite lower drilling activity in U.S. land.</w:t>
      </w:r>
    </w:p>
    <w:p>
      <w:pPr>
        <w:sectPr>
          <w:pgSz w:w="11900" w:h="16838" w:orient="portrait"/>
          <w:cols w:equalWidth="0" w:num="1">
            <w:col w:w="11020"/>
          </w:cols>
          <w:pgMar w:left="440" w:top="269"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Fourth-Quarter Results by Division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20"/>
              <w:spacing w:after="0"/>
              <w:rPr>
                <w:sz w:val="20"/>
                <w:szCs w:val="20"/>
                <w:color w:val="auto"/>
              </w:rPr>
            </w:pPr>
            <w:r>
              <w:rPr>
                <w:rFonts w:ascii="Arial" w:cs="Arial" w:eastAsia="Arial" w:hAnsi="Arial"/>
                <w:sz w:val="14"/>
                <w:szCs w:val="14"/>
                <w:color w:val="auto"/>
              </w:rPr>
              <w:t>(Stated in mil</w:t>
            </w:r>
            <w:r>
              <w:rPr>
                <w:rFonts w:ascii="Arial" w:cs="Arial" w:eastAsia="Arial" w:hAnsi="Arial"/>
                <w:sz w:val="14"/>
                <w:szCs w:val="14"/>
                <w:b w:val="1"/>
                <w:bCs w:val="1"/>
                <w:color w:val="auto"/>
              </w:rPr>
              <w:t>l</w:t>
            </w:r>
            <w:r>
              <w:rPr>
                <w:rFonts w:ascii="Arial" w:cs="Arial" w:eastAsia="Arial" w:hAnsi="Arial"/>
                <w:sz w:val="14"/>
                <w:szCs w:val="14"/>
                <w:color w:val="auto"/>
              </w:rPr>
              <w:t>ions)</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960" w:type="dxa"/>
            <w:vAlign w:val="bottom"/>
            <w:tcBorders>
              <w:top w:val="single" w:sz="8" w:color="auto"/>
            </w:tcBorders>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rPr>
              <w:t>Dec. 31,</w:t>
            </w:r>
          </w:p>
        </w:tc>
        <w:tc>
          <w:tcPr>
            <w:tcW w:w="980" w:type="dxa"/>
            <w:vAlign w:val="bottom"/>
            <w:tcBorders>
              <w:top w:val="single" w:sz="8" w:color="auto"/>
            </w:tcBorders>
            <w:gridSpan w:val="3"/>
          </w:tcPr>
          <w:p>
            <w:pPr>
              <w:jc w:val="right"/>
              <w:ind w:right="400"/>
              <w:spacing w:after="0" w:line="147" w:lineRule="exact"/>
              <w:rPr>
                <w:sz w:val="20"/>
                <w:szCs w:val="20"/>
                <w:color w:val="auto"/>
              </w:rPr>
            </w:pPr>
            <w:r>
              <w:rPr>
                <w:rFonts w:ascii="Arial" w:cs="Arial" w:eastAsia="Arial" w:hAnsi="Arial"/>
                <w:sz w:val="14"/>
                <w:szCs w:val="14"/>
                <w:color w:val="auto"/>
              </w:rPr>
              <w:t>Sept. 30,</w:t>
            </w: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Dec. 31,</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2024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4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824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830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790</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331</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257</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28%</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1,156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1,088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1,049</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442</w:t>
            </w:r>
          </w:p>
        </w:tc>
        <w:tc>
          <w:tcPr>
            <w:tcW w:w="4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386</w:t>
            </w:r>
          </w:p>
        </w:tc>
        <w:tc>
          <w:tcPr>
            <w:tcW w:w="4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356</w:t>
            </w:r>
          </w:p>
        </w:tc>
        <w:tc>
          <w:tcPr>
            <w:tcW w:w="4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14%</w:t>
            </w: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38.3%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34.0%</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274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430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Digital &amp; Integration revenue of $1.16 billion increased 6% sequentially driven by 10% growth in digital revenue, supported by greater adoption of digital technologies and higher sales of exploration data, particularly in the U.S. Gulf of Mexico. APS revenue was flat sequentially. Year on year, revenue grew 10%, with digital revenue up 21%, offsetting a 2% decline in APS revenue.</w:t>
      </w:r>
    </w:p>
    <w:p>
      <w:pPr>
        <w:spacing w:after="0" w:line="16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Digital &amp; Integration pretax operating margin of 38% expanded 274 bps sequentially, reflecting improved profitability in digital from higher sales and cost efficiencies. Year on year, margin expanded 430 bps due to stronger digital performance, partially offset by lower APS profitability stemming from higher amortization expenses and lower gas prices.</w:t>
      </w:r>
    </w:p>
    <w:p>
      <w:pPr>
        <w:sectPr>
          <w:pgSz w:w="11900" w:h="16838" w:orient="portrait"/>
          <w:cols w:equalWidth="0" w:num="1">
            <w:col w:w="11020"/>
          </w:cols>
          <w:pgMar w:left="440" w:top="269"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Reservoir Performance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1060" w:type="dxa"/>
            <w:vAlign w:val="bottom"/>
            <w:tcBorders>
              <w:top w:val="single" w:sz="8" w:color="auto"/>
            </w:tcBorders>
            <w:gridSpan w:val="3"/>
          </w:tcPr>
          <w:p>
            <w:pPr>
              <w:jc w:val="center"/>
              <w:ind w:right="408"/>
              <w:spacing w:after="0" w:line="147" w:lineRule="exact"/>
              <w:rPr>
                <w:sz w:val="20"/>
                <w:szCs w:val="20"/>
                <w:color w:val="auto"/>
              </w:rPr>
            </w:pPr>
            <w:r>
              <w:rPr>
                <w:rFonts w:ascii="Arial" w:cs="Arial" w:eastAsia="Arial" w:hAnsi="Arial"/>
                <w:sz w:val="14"/>
                <w:szCs w:val="14"/>
                <w:b w:val="1"/>
                <w:bCs w:val="1"/>
                <w:color w:val="auto"/>
              </w:rPr>
              <w:t>Dec. 31,</w:t>
            </w:r>
          </w:p>
        </w:tc>
        <w:tc>
          <w:tcPr>
            <w:tcW w:w="1060" w:type="dxa"/>
            <w:vAlign w:val="bottom"/>
            <w:tcBorders>
              <w:top w:val="single" w:sz="8" w:color="auto"/>
            </w:tcBorders>
            <w:gridSpan w:val="3"/>
          </w:tcPr>
          <w:p>
            <w:pPr>
              <w:jc w:val="right"/>
              <w:ind w:right="500"/>
              <w:spacing w:after="0" w:line="147" w:lineRule="exact"/>
              <w:rPr>
                <w:sz w:val="20"/>
                <w:szCs w:val="20"/>
                <w:color w:val="auto"/>
              </w:rPr>
            </w:pPr>
            <w:r>
              <w:rPr>
                <w:rFonts w:ascii="Arial" w:cs="Arial" w:eastAsia="Arial" w:hAnsi="Arial"/>
                <w:sz w:val="14"/>
                <w:szCs w:val="14"/>
                <w:color w:val="auto"/>
                <w:w w:val="98"/>
              </w:rPr>
              <w:t>Sept. 30,</w:t>
            </w: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Dec. 31,</w:t>
            </w:r>
          </w:p>
        </w:tc>
        <w:tc>
          <w:tcPr>
            <w:tcW w:w="4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2024</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color w:val="auto"/>
                <w:w w:val="96"/>
              </w:rPr>
              <w:t>2024</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Sequential</w:t>
            </w:r>
          </w:p>
        </w:tc>
        <w:tc>
          <w:tcPr>
            <w:tcW w:w="3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408"/>
              <w:spacing w:after="0" w:line="202" w:lineRule="exact"/>
              <w:rPr>
                <w:sz w:val="20"/>
                <w:szCs w:val="20"/>
                <w:color w:val="auto"/>
              </w:rPr>
            </w:pPr>
            <w:r>
              <w:rPr>
                <w:rFonts w:ascii="Arial" w:cs="Arial" w:eastAsia="Arial" w:hAnsi="Arial"/>
                <w:sz w:val="18"/>
                <w:szCs w:val="18"/>
                <w:b w:val="1"/>
                <w:bCs w:val="1"/>
                <w:color w:val="auto"/>
                <w:w w:val="97"/>
              </w:rPr>
              <w:t>1,669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3"/>
              </w:rPr>
              <w:t>1,676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1,611</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— </w:t>
            </w:r>
          </w:p>
        </w:tc>
        <w:tc>
          <w:tcPr>
            <w:tcW w:w="116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139</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123</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160" w:type="dxa"/>
            <w:vAlign w:val="bottom"/>
            <w:gridSpan w:val="2"/>
            <w:shd w:val="clear" w:color="auto" w:fill="CCEEFF"/>
          </w:tcPr>
          <w:p>
            <w:pPr>
              <w:jc w:val="center"/>
              <w:ind w:left="310"/>
              <w:spacing w:after="0" w:line="202" w:lineRule="exact"/>
              <w:rPr>
                <w:sz w:val="20"/>
                <w:szCs w:val="20"/>
                <w:color w:val="auto"/>
              </w:rPr>
            </w:pPr>
            <w:r>
              <w:rPr>
                <w:rFonts w:ascii="Arial" w:cs="Arial" w:eastAsia="Arial" w:hAnsi="Arial"/>
                <w:sz w:val="18"/>
                <w:szCs w:val="18"/>
                <w:color w:val="auto"/>
                <w:w w:val="99"/>
              </w:rPr>
              <w:t>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32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1,810</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3"/>
              </w:rPr>
              <w:t>1,823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1,735</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1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370</w:t>
            </w:r>
          </w:p>
        </w:tc>
        <w:tc>
          <w:tcPr>
            <w:tcW w:w="4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367</w:t>
            </w:r>
          </w:p>
        </w:tc>
        <w:tc>
          <w:tcPr>
            <w:tcW w:w="5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371</w:t>
            </w:r>
          </w:p>
        </w:tc>
        <w:tc>
          <w:tcPr>
            <w:tcW w:w="4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1%</w:t>
            </w:r>
          </w:p>
        </w:tc>
        <w:tc>
          <w:tcPr>
            <w:tcW w:w="320" w:type="dxa"/>
            <w:vAlign w:val="bottom"/>
          </w:tcPr>
          <w:p>
            <w:pPr>
              <w:spacing w:after="0"/>
              <w:rPr>
                <w:sz w:val="17"/>
                <w:szCs w:val="17"/>
                <w:color w:val="auto"/>
              </w:rPr>
            </w:pPr>
          </w:p>
        </w:tc>
        <w:tc>
          <w:tcPr>
            <w:tcW w:w="840" w:type="dxa"/>
            <w:vAlign w:val="bottom"/>
          </w:tcPr>
          <w:p>
            <w:pPr>
              <w:ind w:left="320"/>
              <w:spacing w:after="0" w:line="196" w:lineRule="exact"/>
              <w:rPr>
                <w:sz w:val="20"/>
                <w:szCs w:val="20"/>
                <w:color w:val="auto"/>
              </w:rPr>
            </w:pPr>
            <w:r>
              <w:rPr>
                <w:rFonts w:ascii="Arial" w:cs="Arial" w:eastAsia="Arial" w:hAnsi="Arial"/>
                <w:sz w:val="18"/>
                <w:szCs w:val="18"/>
                <w:color w:val="auto"/>
              </w:rPr>
              <w:t>— 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20.5%</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21.4%</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35 bps</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-90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Reservoir Performance revenue of $ 1.81 billion declined 1% sequentially driven by reduced intervention and stimulation activity, partially offset by stronger evaluation activity. Revenue was impacted by lower stimulation and intervention work in Saudi Arabia, which was offset by increased activity in the rest of the Middle East &amp; Asia and North America. Year on year, revenue increased 4% due to higher intervention and stimulation activity, despite lower evaluation revenue.</w:t>
      </w:r>
    </w:p>
    <w:p>
      <w:pPr>
        <w:spacing w:after="0" w:line="174"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Reservoir Performance pretax operating margin of 20% expanded 35 bps sequentially, reflecting improved profitability in evaluation services, partially offset by weaker performance in intervention. Year on year, the margin decreased 90 bps due to an unfavorable technology mix.</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960" w:type="dxa"/>
            <w:vAlign w:val="bottom"/>
            <w:tcBorders>
              <w:top w:val="single" w:sz="8" w:color="auto"/>
            </w:tcBorders>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rPr>
              <w:t>Dec. 31,</w:t>
            </w:r>
          </w:p>
        </w:tc>
        <w:tc>
          <w:tcPr>
            <w:tcW w:w="980" w:type="dxa"/>
            <w:vAlign w:val="bottom"/>
            <w:tcBorders>
              <w:top w:val="single" w:sz="8" w:color="auto"/>
            </w:tcBorders>
            <w:gridSpan w:val="3"/>
          </w:tcPr>
          <w:p>
            <w:pPr>
              <w:jc w:val="right"/>
              <w:ind w:right="400"/>
              <w:spacing w:after="0" w:line="147" w:lineRule="exact"/>
              <w:rPr>
                <w:sz w:val="20"/>
                <w:szCs w:val="20"/>
                <w:color w:val="auto"/>
              </w:rPr>
            </w:pPr>
            <w:r>
              <w:rPr>
                <w:rFonts w:ascii="Arial" w:cs="Arial" w:eastAsia="Arial" w:hAnsi="Arial"/>
                <w:sz w:val="14"/>
                <w:szCs w:val="14"/>
                <w:color w:val="auto"/>
              </w:rPr>
              <w:t>Sept. 30,</w:t>
            </w: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Dec. 31,</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2024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4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2,625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2,675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2,748</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108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9"/>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583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614</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88"/>
              </w:rPr>
              <w:t>— </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56</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64</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3,267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3,312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3,426</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681</w:t>
            </w:r>
          </w:p>
        </w:tc>
        <w:tc>
          <w:tcPr>
            <w:tcW w:w="4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714</w:t>
            </w:r>
          </w:p>
        </w:tc>
        <w:tc>
          <w:tcPr>
            <w:tcW w:w="4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770</w:t>
            </w:r>
          </w:p>
        </w:tc>
        <w:tc>
          <w:tcPr>
            <w:tcW w:w="4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-5%</w:t>
            </w: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20.8%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22.5%</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-70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-162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Well Construction revenue of $3.27 billion declined 1% sequentially due to reduced drilling activity in Mexico and Saudi Arabia, partially mitigated by higher activity across the rest of the Middle East &amp; Asia. Year on year, revenue declined 5%, reflecting lower drilling activity in Mexico, Saudi Arabia and U.S. land, partially offset by improved performance in the rest of the Middle East &amp; Asia.</w:t>
      </w:r>
    </w:p>
    <w:p>
      <w:pPr>
        <w:spacing w:after="0" w:line="16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Well Construction pretax operating margin of 21% declined 70 bps sequentially and 162 bps year on year due to reduced activity across North America and international markets.</w:t>
      </w:r>
    </w:p>
    <w:p>
      <w:pPr>
        <w:sectPr>
          <w:pgSz w:w="11900" w:h="16838" w:orient="portrait"/>
          <w:cols w:equalWidth="0" w:num="1">
            <w:col w:w="11020"/>
          </w:cols>
          <w:pgMar w:left="440" w:top="269"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Production Systems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w:t>
            </w:r>
            <w:r>
              <w:rPr>
                <w:rFonts w:ascii="Arial" w:cs="Arial" w:eastAsia="Arial" w:hAnsi="Arial"/>
                <w:sz w:val="14"/>
                <w:szCs w:val="14"/>
                <w:b w:val="1"/>
                <w:bCs w:val="1"/>
                <w:color w:val="auto"/>
              </w:rPr>
              <w:t>l</w:t>
            </w:r>
            <w:r>
              <w:rPr>
                <w:rFonts w:ascii="Arial" w:cs="Arial" w:eastAsia="Arial" w:hAnsi="Arial"/>
                <w:sz w:val="14"/>
                <w:szCs w:val="14"/>
                <w:color w:val="auto"/>
              </w:rPr>
              <w:t>ions)</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1060" w:type="dxa"/>
            <w:vAlign w:val="bottom"/>
            <w:tcBorders>
              <w:top w:val="single" w:sz="8" w:color="auto"/>
            </w:tcBorders>
            <w:gridSpan w:val="3"/>
          </w:tcPr>
          <w:p>
            <w:pPr>
              <w:jc w:val="center"/>
              <w:ind w:right="408"/>
              <w:spacing w:after="0" w:line="147" w:lineRule="exact"/>
              <w:rPr>
                <w:sz w:val="20"/>
                <w:szCs w:val="20"/>
                <w:color w:val="auto"/>
              </w:rPr>
            </w:pPr>
            <w:r>
              <w:rPr>
                <w:rFonts w:ascii="Arial" w:cs="Arial" w:eastAsia="Arial" w:hAnsi="Arial"/>
                <w:sz w:val="14"/>
                <w:szCs w:val="14"/>
                <w:b w:val="1"/>
                <w:bCs w:val="1"/>
                <w:color w:val="auto"/>
              </w:rPr>
              <w:t>Dec. 31,</w:t>
            </w:r>
          </w:p>
        </w:tc>
        <w:tc>
          <w:tcPr>
            <w:tcW w:w="1060" w:type="dxa"/>
            <w:vAlign w:val="bottom"/>
            <w:tcBorders>
              <w:top w:val="single" w:sz="8" w:color="auto"/>
            </w:tcBorders>
            <w:gridSpan w:val="3"/>
          </w:tcPr>
          <w:p>
            <w:pPr>
              <w:jc w:val="right"/>
              <w:ind w:right="500"/>
              <w:spacing w:after="0" w:line="147" w:lineRule="exact"/>
              <w:rPr>
                <w:sz w:val="20"/>
                <w:szCs w:val="20"/>
                <w:color w:val="auto"/>
              </w:rPr>
            </w:pPr>
            <w:r>
              <w:rPr>
                <w:rFonts w:ascii="Arial" w:cs="Arial" w:eastAsia="Arial" w:hAnsi="Arial"/>
                <w:sz w:val="14"/>
                <w:szCs w:val="14"/>
                <w:color w:val="auto"/>
                <w:w w:val="98"/>
              </w:rPr>
              <w:t>Sept. 30,</w:t>
            </w: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Dec. 31,</w:t>
            </w:r>
          </w:p>
        </w:tc>
        <w:tc>
          <w:tcPr>
            <w:tcW w:w="4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2024</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color w:val="auto"/>
                <w:w w:val="96"/>
              </w:rPr>
              <w:t>2024</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Sequential</w:t>
            </w:r>
          </w:p>
        </w:tc>
        <w:tc>
          <w:tcPr>
            <w:tcW w:w="3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408"/>
              <w:spacing w:after="0" w:line="202" w:lineRule="exact"/>
              <w:rPr>
                <w:sz w:val="20"/>
                <w:szCs w:val="20"/>
                <w:color w:val="auto"/>
              </w:rPr>
            </w:pPr>
            <w:r>
              <w:rPr>
                <w:rFonts w:ascii="Arial" w:cs="Arial" w:eastAsia="Arial" w:hAnsi="Arial"/>
                <w:sz w:val="18"/>
                <w:szCs w:val="18"/>
                <w:b w:val="1"/>
                <w:bCs w:val="1"/>
                <w:color w:val="auto"/>
                <w:w w:val="97"/>
              </w:rPr>
              <w:t>2,471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3"/>
              </w:rPr>
              <w:t>2,373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2,276</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160" w:type="dxa"/>
            <w:vAlign w:val="bottom"/>
            <w:gridSpan w:val="2"/>
          </w:tcPr>
          <w:p>
            <w:pPr>
              <w:jc w:val="center"/>
              <w:ind w:left="290"/>
              <w:spacing w:after="0" w:line="202" w:lineRule="exact"/>
              <w:rPr>
                <w:sz w:val="20"/>
                <w:szCs w:val="20"/>
                <w:color w:val="auto"/>
              </w:rPr>
            </w:pPr>
            <w:r>
              <w:rPr>
                <w:rFonts w:ascii="Arial" w:cs="Arial" w:eastAsia="Arial" w:hAnsi="Arial"/>
                <w:sz w:val="18"/>
                <w:szCs w:val="18"/>
                <w:color w:val="auto"/>
                <w:w w:val="99"/>
              </w:rPr>
              <w:t>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716</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666</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160" w:type="dxa"/>
            <w:vAlign w:val="bottom"/>
            <w:gridSpan w:val="2"/>
            <w:shd w:val="clear" w:color="auto" w:fill="CCEEFF"/>
          </w:tcPr>
          <w:p>
            <w:pPr>
              <w:jc w:val="center"/>
              <w:ind w:left="290"/>
              <w:spacing w:after="0" w:line="202" w:lineRule="exact"/>
              <w:rPr>
                <w:sz w:val="20"/>
                <w:szCs w:val="20"/>
                <w:color w:val="auto"/>
              </w:rPr>
            </w:pPr>
            <w:r>
              <w:rPr>
                <w:rFonts w:ascii="Arial" w:cs="Arial" w:eastAsia="Arial" w:hAnsi="Arial"/>
                <w:sz w:val="18"/>
                <w:szCs w:val="18"/>
                <w:color w:val="auto"/>
                <w:w w:val="99"/>
              </w:rPr>
              <w:t>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32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3,197</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3"/>
              </w:rPr>
              <w:t>3,103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2,944</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1160" w:type="dxa"/>
            <w:vAlign w:val="bottom"/>
            <w:gridSpan w:val="2"/>
            <w:shd w:val="clear" w:color="auto" w:fill="CCEEFF"/>
          </w:tcPr>
          <w:p>
            <w:pPr>
              <w:jc w:val="center"/>
              <w:ind w:left="290"/>
              <w:spacing w:after="0" w:line="202" w:lineRule="exact"/>
              <w:rPr>
                <w:sz w:val="20"/>
                <w:szCs w:val="20"/>
                <w:color w:val="auto"/>
              </w:rPr>
            </w:pPr>
            <w:r>
              <w:rPr>
                <w:rFonts w:ascii="Arial" w:cs="Arial" w:eastAsia="Arial" w:hAnsi="Arial"/>
                <w:sz w:val="18"/>
                <w:szCs w:val="18"/>
                <w:color w:val="auto"/>
                <w:w w:val="99"/>
              </w:rPr>
              <w:t>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506</w:t>
            </w:r>
          </w:p>
        </w:tc>
        <w:tc>
          <w:tcPr>
            <w:tcW w:w="4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519</w:t>
            </w:r>
          </w:p>
        </w:tc>
        <w:tc>
          <w:tcPr>
            <w:tcW w:w="5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442</w:t>
            </w:r>
          </w:p>
        </w:tc>
        <w:tc>
          <w:tcPr>
            <w:tcW w:w="4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-3%</w:t>
            </w:r>
          </w:p>
        </w:tc>
        <w:tc>
          <w:tcPr>
            <w:tcW w:w="3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15.8%</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15.0%</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-93 bps</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79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Production Systems revenue of $3.20 billion increased 3% sequentially with growth led by higher international sales of artificial lift, midstream production systems and completions, partially offset by reduced sales of subsea production systems. Year on year, revenue grew 9%, mainly due to strong sales both in North America and internationally across most of the portfolio.</w:t>
      </w:r>
    </w:p>
    <w:p>
      <w:pPr>
        <w:spacing w:after="0" w:line="16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Production Systems pretax operating margin of 16% decreased 93 bps sequentially due to lower profitability in subsea production systems, partially offset by improved profitability in artificial lift and midstream production systems. Year on year, pretax operating margin expanded 79 bps due to improved profitability across a majority of the business lines.</w:t>
      </w:r>
    </w:p>
    <w:p>
      <w:pPr>
        <w:sectPr>
          <w:pgSz w:w="11900" w:h="16838" w:orient="portrait"/>
          <w:cols w:equalWidth="0" w:num="1">
            <w:col w:w="11020"/>
          </w:cols>
          <w:pgMar w:left="440" w:top="269" w:right="439"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Quarterly Highlights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CORE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Contract Awards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SLB continues to win new contract awards that align with SLB’s strengths in the Core, particularly in the international and offshore basins.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Notable highlights include the following:</w:t>
      </w:r>
    </w:p>
    <w:p>
      <w:pPr>
        <w:spacing w:after="0" w:line="99" w:lineRule="exact"/>
        <w:rPr>
          <w:sz w:val="20"/>
          <w:szCs w:val="20"/>
          <w:color w:val="auto"/>
        </w:rPr>
      </w:pPr>
    </w:p>
    <w:p>
      <w:pPr>
        <w:ind w:left="424" w:right="20" w:hanging="424"/>
        <w:spacing w:after="0" w:line="242"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SLB has been awarded a series of major drilling contracts by Shell to support capital-efficient energy development across its deep-and ultradeepwater assets in the UK North Sea, Trinidad and Tobago, the Gulf of Mexico and others. The projects, which will be delivered over a three-year time frame, will combine SLB’s AI-enabled digital drilling capabilities with its expertise in ultradeepwater environments. The scope of the contracts will include digital directional drilling services and hardware, logging while drilling (LWD), surface logging, cementing, drilling and completions fluids, completions, and wireline services. Each project will be managed through SLB’s Performance Live centers.</w:t>
      </w:r>
    </w:p>
    <w:p>
      <w:pPr>
        <w:spacing w:after="0" w:line="84" w:lineRule="exact"/>
        <w:rPr>
          <w:rFonts w:ascii="Arial" w:cs="Arial" w:eastAsia="Arial" w:hAnsi="Arial"/>
          <w:sz w:val="18"/>
          <w:szCs w:val="18"/>
          <w:color w:val="auto"/>
        </w:rPr>
      </w:pPr>
    </w:p>
    <w:p>
      <w:pPr>
        <w:ind w:left="424" w:right="180" w:hanging="424"/>
        <w:spacing w:after="0" w:line="242"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SLB OneSubsea, alongside Subsea Integration Alliance partner Subsea7, has signed a global frame agreement with bp, forming a platform to combine subsea expertise more effectively across a portfolio of future projects. This collaboration combines capabilities throughout all project stages—from initial concept development to full-field life cycle—enabling enhanced subsea project performance. Through early engagement and new ways of working, SLB OneSubsea and its alliance partners will support bp in achieving accelerated project delivery, standardization, simplification and reduced total cost of ownership, ultimately improving subsea project economics while embedding quality and driving sustainable outcomes in subsea field operations.</w:t>
      </w:r>
    </w:p>
    <w:p>
      <w:pPr>
        <w:spacing w:after="0" w:line="84" w:lineRule="exact"/>
        <w:rPr>
          <w:rFonts w:ascii="Arial" w:cs="Arial" w:eastAsia="Arial" w:hAnsi="Arial"/>
          <w:sz w:val="18"/>
          <w:szCs w:val="18"/>
          <w:color w:val="auto"/>
        </w:rPr>
      </w:pPr>
    </w:p>
    <w:p>
      <w:pPr>
        <w:jc w:val="both"/>
        <w:ind w:left="424" w:right="420" w:hanging="424"/>
        <w:spacing w:after="0" w:line="25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SLB has been awarded, after a competitive tender, a new contract by Petrobras for integrated services across all offshore fields operated by Petrobras in Brazil. SLB will oversee the construction of more than 100 deepwater wells, utilizing advanced drilling, cementing and drilling fluid technologies on up to nine ultradeepwater rigs.</w:t>
      </w:r>
    </w:p>
    <w:p>
      <w:pPr>
        <w:spacing w:after="0" w:line="74" w:lineRule="exact"/>
        <w:rPr>
          <w:rFonts w:ascii="Arial" w:cs="Arial" w:eastAsia="Arial" w:hAnsi="Arial"/>
          <w:sz w:val="18"/>
          <w:szCs w:val="18"/>
          <w:color w:val="auto"/>
        </w:rPr>
      </w:pPr>
    </w:p>
    <w:p>
      <w:pPr>
        <w:ind w:left="424" w:right="20" w:hanging="424"/>
        <w:spacing w:after="0" w:line="242"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Offshore Brazil, SLB OneSubsea was awarded multiple contracts by Petrobras. Following a competitive tender, SLB OneSubsea was awarded a contract to provide two subsea production manifolds, one electrohydraulic distribution unit and additional related services for the Roncador project. Additionally, SLB OneSubsea was awarded a contract for two subsea raw seawater injection (RWI) systems to increase recovery from the Búzios field. Under the contract, SLB OneSubsea will provide two complete subsea RWI systems to support Petrobras’ FPSOs P-74 and P-75, and they will each consist of a subsea seawater injection pump, umbilical system and topside variable speed drive.</w:t>
      </w:r>
    </w:p>
    <w:p>
      <w:pPr>
        <w:spacing w:after="0" w:line="84" w:lineRule="exact"/>
        <w:rPr>
          <w:rFonts w:ascii="Arial" w:cs="Arial" w:eastAsia="Arial" w:hAnsi="Arial"/>
          <w:sz w:val="18"/>
          <w:szCs w:val="18"/>
          <w:color w:val="auto"/>
        </w:rPr>
      </w:pPr>
    </w:p>
    <w:p>
      <w:pPr>
        <w:ind w:left="424" w:right="160" w:hanging="424"/>
        <w:spacing w:after="0" w:line="244"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Italy, TotalEnergies awarded SLB a four-year contract for the provision of completions and artificial lift equipment and services in Tempa Rossa Field, one of the largest land fields in Europe with an estimated volume of 200 million barrels and a target production of over 50,000 barrels per day. The field presents several technical challenges which require custom-designed technologies to maximize production and recovery. SLB was selected for its ability to deliver fit-for-basin solutions using its global reach and the expertise of the local team.</w:t>
      </w:r>
    </w:p>
    <w:p>
      <w:pPr>
        <w:spacing w:after="0" w:line="81" w:lineRule="exact"/>
        <w:rPr>
          <w:rFonts w:ascii="Arial" w:cs="Arial" w:eastAsia="Arial" w:hAnsi="Arial"/>
          <w:sz w:val="18"/>
          <w:szCs w:val="18"/>
          <w:color w:val="auto"/>
        </w:rPr>
      </w:pPr>
    </w:p>
    <w:p>
      <w:pPr>
        <w:ind w:left="424" w:hanging="424"/>
        <w:spacing w:after="0" w:line="216"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Oman, Petroleum Development Oman has awarded SLB a five-year contract for well placement services throughout its Block 6 concession. SLB will provide multiple key technologies, including PowerDrive Orbit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and the PeriScope HD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service, across a variety of gas and oil fields, for both development and exploration wells.</w:t>
      </w:r>
    </w:p>
    <w:p>
      <w:pPr>
        <w:spacing w:after="0" w:line="87" w:lineRule="exact"/>
        <w:rPr>
          <w:rFonts w:ascii="Arial" w:cs="Arial" w:eastAsia="Arial" w:hAnsi="Arial"/>
          <w:sz w:val="18"/>
          <w:szCs w:val="18"/>
          <w:color w:val="auto"/>
        </w:rPr>
      </w:pPr>
    </w:p>
    <w:p>
      <w:pPr>
        <w:ind w:left="424" w:right="80" w:hanging="424"/>
        <w:spacing w:after="0" w:line="24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Also in Oman, Daleel Petroleum LLC awarded SLB a five-year contract for advanced measurements-while-drilling (MWD) and directional drilling services in its Block 5 concession, with an expected delivery of more than 250 wells. SLB was able to secure this award through market-leading fit-for-basin MWD, LWD and rotary steerable system technologies, which have improved well delivery efficiencies and service quality reliability.</w:t>
      </w:r>
    </w:p>
    <w:p>
      <w:pPr>
        <w:sectPr>
          <w:pgSz w:w="11900" w:h="16838" w:orient="portrait"/>
          <w:cols w:equalWidth="0" w:num="1">
            <w:col w:w="10984"/>
          </w:cols>
          <w:pgMar w:left="436" w:top="269" w:right="47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Technology and Innovation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Notable technology introductions and deployment in the quarter include the following:</w:t>
      </w:r>
    </w:p>
    <w:p>
      <w:pPr>
        <w:spacing w:after="0" w:line="117" w:lineRule="exact"/>
        <w:rPr>
          <w:sz w:val="20"/>
          <w:szCs w:val="20"/>
          <w:color w:val="auto"/>
        </w:rPr>
      </w:pPr>
    </w:p>
    <w:p>
      <w:pPr>
        <w:ind w:left="424" w:right="220" w:hanging="424"/>
        <w:spacing w:after="0" w:line="22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SLB introduced Neuro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autonomous geosteering, which dynamically responds to subsurface complexities to drill more efficient, higher-performing wells, while reducing the carbon footprint of the drilling operations. Using AI, Neuro autonomous geosteering integrates and interprets complex real-time subsurface information to autonomously guide the drill bit through the most productive layer or “sweet spot” of the reservoir.</w:t>
      </w:r>
    </w:p>
    <w:p>
      <w:pPr>
        <w:spacing w:after="0" w:line="88" w:lineRule="exact"/>
        <w:rPr>
          <w:rFonts w:ascii="Arial" w:cs="Arial" w:eastAsia="Arial" w:hAnsi="Arial"/>
          <w:sz w:val="18"/>
          <w:szCs w:val="18"/>
          <w:color w:val="auto"/>
        </w:rPr>
      </w:pPr>
    </w:p>
    <w:p>
      <w:pPr>
        <w:ind w:left="424" w:hanging="424"/>
        <w:spacing w:after="0" w:line="206"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SLB launched Stream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high-speed intelligent telemetry that increases drilling confidence and performance for complex wells. Designed to overcome the bottlenecks and limitations of conventional mud pulse, Stream telemetry combines proprietary AI algorithms with SLB’s TruLink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definitive dynamic survey-while-drilling service. This provides uninterrupted, high-speed, high-fidelity real-time subsurface measurements with no data limitations, regardless of depth, in even the most challenging conditions. Stream telemetry has already been deployed in 14 countries, with more than 370 runs and more than 1.5 million feet drilled.</w:t>
      </w:r>
    </w:p>
    <w:p>
      <w:pPr>
        <w:spacing w:after="0" w:line="87" w:lineRule="exact"/>
        <w:rPr>
          <w:rFonts w:ascii="Arial" w:cs="Arial" w:eastAsia="Arial" w:hAnsi="Arial"/>
          <w:sz w:val="18"/>
          <w:szCs w:val="18"/>
          <w:color w:val="auto"/>
        </w:rPr>
      </w:pPr>
    </w:p>
    <w:p>
      <w:pPr>
        <w:ind w:left="424" w:right="540" w:hanging="424"/>
        <w:spacing w:after="0" w:line="25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Offshore United States, SLB helped Chevron access resources in a high-pressure deepwater area of the Gulf of Mexico. New technologies deployed included 20,000-psi-rated trees, manifolds, connections, controls, and an advanced boosting system, presenting new opportunities for resource extraction in high-pressure environments.</w:t>
      </w:r>
    </w:p>
    <w:p>
      <w:pPr>
        <w:spacing w:after="0" w:line="74" w:lineRule="exact"/>
        <w:rPr>
          <w:rFonts w:ascii="Arial" w:cs="Arial" w:eastAsia="Arial" w:hAnsi="Arial"/>
          <w:sz w:val="18"/>
          <w:szCs w:val="18"/>
          <w:color w:val="auto"/>
        </w:rPr>
      </w:pPr>
    </w:p>
    <w:p>
      <w:pPr>
        <w:ind w:left="424" w:right="20" w:hanging="424"/>
        <w:spacing w:after="0" w:line="19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Kuwait, SLB and Kuwait Oil Company tackled significant challenges in the mature Bahrah Field by using an advanced openhole multistage completion design and OpenPath Flex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acid stimulation service. The project achieved Kuwait’s longest lateral at 13,800 feet, incorporating 29 treatment stages with up to three acid fracturing stages daily. Kinetix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software enhanced fault isolation, while DataFRAC</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services provided comprehensive exploratory area assessments, improving the geomechanical earth model. These innovative methods, including the use of a frac tree for isolation, eliminated HSE risks associated with isolation tools and set a new benchmark for operational efficiency and safety in acid fracturing operations.</w:t>
      </w:r>
    </w:p>
    <w:p>
      <w:pPr>
        <w:spacing w:after="0" w:line="90" w:lineRule="exact"/>
        <w:rPr>
          <w:rFonts w:ascii="Arial" w:cs="Arial" w:eastAsia="Arial" w:hAnsi="Arial"/>
          <w:sz w:val="18"/>
          <w:szCs w:val="18"/>
          <w:color w:val="auto"/>
        </w:rPr>
      </w:pPr>
    </w:p>
    <w:p>
      <w:pPr>
        <w:ind w:left="424" w:right="120" w:hanging="424"/>
        <w:spacing w:after="0" w:line="22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Malaysia, SLB and Hibiscus Oil and Gas Malaysia Limited integrated a directional drilling solution using SLB Smith Bits and PowerDrive X6</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rotary steerable system in the Bunga Orkid project that resulted in the longest extended-reach drilling well in Malaysia at a depth of 6,970 meters. SLB provided drilling, measurements, geoservices, and drilling fluid, as well as proactive real-time monitoring and intervention during drilling and tripping using our K&amp;M Technology Group. Bottomhole assembly optimization and proven techniques were implemented based on a similar offset well.</w:t>
      </w:r>
    </w:p>
    <w:p>
      <w:pPr>
        <w:spacing w:after="0" w:line="86" w:lineRule="exact"/>
        <w:rPr>
          <w:rFonts w:ascii="Arial" w:cs="Arial" w:eastAsia="Arial" w:hAnsi="Arial"/>
          <w:sz w:val="18"/>
          <w:szCs w:val="18"/>
          <w:color w:val="auto"/>
        </w:rPr>
      </w:pPr>
    </w:p>
    <w:p>
      <w:pPr>
        <w:ind w:left="424" w:right="300" w:hanging="424"/>
        <w:spacing w:after="0" w:line="22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Also in Malaysia, SLB and PETRONAS Carigali Sdn. Bhd. successfully implemented a matrix stimulation treatment using the OneSTEP EF</w:t>
      </w:r>
      <w:r>
        <w:rPr>
          <w:rFonts w:ascii="Arial" w:cs="Arial" w:eastAsia="Arial" w:hAnsi="Arial"/>
          <w:sz w:val="26"/>
          <w:szCs w:val="26"/>
          <w:color w:val="auto"/>
          <w:vertAlign w:val="superscript"/>
        </w:rPr>
        <w:t>™</w:t>
      </w:r>
      <w:r>
        <w:rPr>
          <w:rFonts w:ascii="Arial" w:cs="Arial" w:eastAsia="Arial" w:hAnsi="Arial"/>
          <w:sz w:val="18"/>
          <w:szCs w:val="18"/>
          <w:color w:val="auto"/>
        </w:rPr>
        <w:t xml:space="preserve"> efficient, low-risk sandstone stimulation solution in two oil-producing layers in the Dulang oil field. This innovative approach improved operational efficiency, increasing oil production by 400% without increasing the water cut. This success underscores the outstanding collaboration between PETRONAS Carigali and SLB in identifying the issues and developing fit-for-basin solutions.</w:t>
      </w:r>
    </w:p>
    <w:p>
      <w:pPr>
        <w:spacing w:after="0" w:line="86" w:lineRule="exact"/>
        <w:rPr>
          <w:rFonts w:ascii="Arial" w:cs="Arial" w:eastAsia="Arial" w:hAnsi="Arial"/>
          <w:sz w:val="18"/>
          <w:szCs w:val="18"/>
          <w:color w:val="auto"/>
        </w:rPr>
      </w:pPr>
    </w:p>
    <w:p>
      <w:pPr>
        <w:ind w:left="424" w:right="40" w:hanging="424"/>
        <w:spacing w:after="0" w:line="25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Western Australia, SLB deployed drilling services for Strike Energy to successfully drill the easternmost and deepest well to date in the Kingia-High Cliff Sandstones of Perth Basin, enabling the discovery of two significant gas resources. With a record total depth of 5,225 meters, it is the deepest onshore well in Australia.</w:t>
      </w:r>
    </w:p>
    <w:p>
      <w:pPr>
        <w:sectPr>
          <w:pgSz w:w="11900" w:h="16838" w:orient="portrait"/>
          <w:cols w:equalWidth="0" w:num="1">
            <w:col w:w="10944"/>
          </w:cols>
          <w:pgMar w:left="436" w:top="269" w:right="51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DIGITAL</w:t>
      </w:r>
    </w:p>
    <w:p>
      <w:pPr>
        <w:spacing w:after="0" w:line="104" w:lineRule="exact"/>
        <w:rPr>
          <w:sz w:val="20"/>
          <w:szCs w:val="20"/>
          <w:color w:val="auto"/>
        </w:rPr>
      </w:pPr>
    </w:p>
    <w:p>
      <w:pPr>
        <w:ind w:left="4" w:right="500"/>
        <w:spacing w:after="0" w:line="301" w:lineRule="auto"/>
        <w:rPr>
          <w:sz w:val="20"/>
          <w:szCs w:val="20"/>
          <w:color w:val="auto"/>
        </w:rPr>
      </w:pPr>
      <w:r>
        <w:rPr>
          <w:rFonts w:ascii="Arial" w:cs="Arial" w:eastAsia="Arial" w:hAnsi="Arial"/>
          <w:sz w:val="17"/>
          <w:szCs w:val="17"/>
          <w:color w:val="auto"/>
        </w:rPr>
        <w:t>SLB is deploying digital technology at scale, partnering with customers to migrate their technology and workflows into the cloud, to embrace new AI-enabled capabilities, and to leverage insights to elevate their performance. Notable highlights include the following:</w:t>
      </w:r>
    </w:p>
    <w:p>
      <w:pPr>
        <w:spacing w:after="0" w:line="36" w:lineRule="exact"/>
        <w:rPr>
          <w:sz w:val="20"/>
          <w:szCs w:val="20"/>
          <w:color w:val="auto"/>
        </w:rPr>
      </w:pPr>
    </w:p>
    <w:p>
      <w:pPr>
        <w:ind w:left="424" w:right="80" w:hanging="424"/>
        <w:spacing w:after="0" w:line="202"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United States, SLB, Equinor and Sensia collaborated to enhance Equinor’s subsurface and surface modeling workflows for one of Equinor’s non-operated assets in the Gulf of Mexico. The improved model links geology, geophysics and engineering, replacing a manual process with automated live updates. This was achieved by connecting Petrel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subsurface software, Intersect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high-resolution reservoir simulator and Pipesim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steady-state multiphase flow simulator. A link to the production database in OFM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well and reservoir analysis software enabled production history updates to the dynamic reservoir model. In tests, the subsurface model updates were improved from Months to weeks and days, and simulation runtimes were reduced from nine hours to 36 minutes.</w:t>
      </w:r>
    </w:p>
    <w:p>
      <w:pPr>
        <w:spacing w:after="0" w:line="87" w:lineRule="exact"/>
        <w:rPr>
          <w:rFonts w:ascii="Arial" w:cs="Arial" w:eastAsia="Arial" w:hAnsi="Arial"/>
          <w:sz w:val="18"/>
          <w:szCs w:val="18"/>
          <w:color w:val="auto"/>
        </w:rPr>
      </w:pPr>
    </w:p>
    <w:p>
      <w:pPr>
        <w:ind w:left="424" w:hanging="424"/>
        <w:spacing w:after="0" w:line="22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Suriname, Staatsolie Maatschappij Suriname N.V. has awarded SLB a four-year contract for the Delfi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digital platform to increase the efficiency of its offshore teams. The Delfi platform will bring both data and applications into the cloud to foster collaboration and derive further insights. Coupled with a previous contract award to SLB for the country’s National Data Repository, this platform will be the digital foundation for Suriname’s Center of Excellence, which was formed to maximize the value of the country’s hydrocarbon resources.</w:t>
      </w:r>
    </w:p>
    <w:p>
      <w:pPr>
        <w:spacing w:after="0" w:line="86" w:lineRule="exact"/>
        <w:rPr>
          <w:rFonts w:ascii="Arial" w:cs="Arial" w:eastAsia="Arial" w:hAnsi="Arial"/>
          <w:sz w:val="18"/>
          <w:szCs w:val="18"/>
          <w:color w:val="auto"/>
        </w:rPr>
      </w:pPr>
    </w:p>
    <w:p>
      <w:pPr>
        <w:ind w:left="424" w:right="40"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Egypt, Khalda Petroleum Company awarded SLB a multiyear digital contract for Petrel subsurface software technology in addition to a long-term contract for seismic imaging and processing over the West Kalabsha and Shushan concessions. The full integrity processing scope spans from deblending to full-waveform inversion (FWI). Deblending separates overlapping seismic signals from simultaneous sources, producing clean data ready for further analysis. FWI then iteratively refines the subsurface velocity model using full-waveform data, resulting in highly accurate, high-resolution images of complex geological structures. This reservoir characterization will enable Khalda Petroleum Company to better understand subsurface features, identify potential hydrocarbon zones, and make informed decisions about exploration, drilling and production.</w:t>
      </w:r>
    </w:p>
    <w:p>
      <w:pPr>
        <w:spacing w:after="0" w:line="90" w:lineRule="exact"/>
        <w:rPr>
          <w:rFonts w:ascii="Arial" w:cs="Arial" w:eastAsia="Arial" w:hAnsi="Arial"/>
          <w:sz w:val="18"/>
          <w:szCs w:val="18"/>
          <w:color w:val="auto"/>
        </w:rPr>
      </w:pPr>
    </w:p>
    <w:p>
      <w:pPr>
        <w:ind w:left="424" w:hanging="424"/>
        <w:spacing w:after="0" w:line="25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Malaysia, PETRONAS through Malaysia Petroleum Management (MPM) has signed a memorandum of understanding with SLB to enhance technical capabilities in AI, machine learning and generative AI technologies. This collaboration aims to leverage cutting-edge AI-driven solutions for MPM’s data platform, revolutionizing the management and interpretation of subsurface data.</w:t>
      </w:r>
    </w:p>
    <w:p>
      <w:pPr>
        <w:spacing w:after="0" w:line="74" w:lineRule="exact"/>
        <w:rPr>
          <w:rFonts w:ascii="Arial" w:cs="Arial" w:eastAsia="Arial" w:hAnsi="Arial"/>
          <w:sz w:val="18"/>
          <w:szCs w:val="18"/>
          <w:color w:val="auto"/>
        </w:rPr>
      </w:pPr>
    </w:p>
    <w:p>
      <w:pPr>
        <w:ind w:left="424" w:right="80" w:hanging="424"/>
        <w:spacing w:after="0" w:line="24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Australia, Arrow Energy awarded SLB a contract to deploy enterprise-scale advanced digital solutions by migrating its subsurface applications from third-party cloud hosts to SLB’s Delfi platform. By incorporating this collaborative exploration and production platform into its digital strategy, Arrow Energy can quickly deploy scalable advanced workflows, reducing the total cost of ownership and enhancing efficiency.</w:t>
      </w:r>
    </w:p>
    <w:p>
      <w:pPr>
        <w:sectPr>
          <w:pgSz w:w="11900" w:h="16838" w:orient="portrait"/>
          <w:cols w:equalWidth="0" w:num="1">
            <w:col w:w="10984"/>
          </w:cols>
          <w:pgMar w:left="436" w:top="269" w:right="479" w:bottom="1440" w:gutter="0" w:footer="0" w:header="0"/>
        </w:sectPr>
      </w:pPr>
    </w:p>
    <w:bookmarkStart w:id="17" w:name="page18"/>
    <w:bookmarkEnd w:id="1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ENERGY</w:t>
      </w:r>
    </w:p>
    <w:p>
      <w:pPr>
        <w:spacing w:after="0" w:line="104" w:lineRule="exact"/>
        <w:rPr>
          <w:sz w:val="20"/>
          <w:szCs w:val="20"/>
          <w:color w:val="auto"/>
        </w:rPr>
      </w:pPr>
    </w:p>
    <w:p>
      <w:pPr>
        <w:ind w:left="4" w:right="1020"/>
        <w:spacing w:after="0" w:line="271" w:lineRule="auto"/>
        <w:rPr>
          <w:sz w:val="20"/>
          <w:szCs w:val="20"/>
          <w:color w:val="auto"/>
        </w:rPr>
      </w:pPr>
      <w:r>
        <w:rPr>
          <w:rFonts w:ascii="Arial" w:cs="Arial" w:eastAsia="Arial" w:hAnsi="Arial"/>
          <w:sz w:val="18"/>
          <w:szCs w:val="18"/>
          <w:color w:val="auto"/>
        </w:rPr>
        <w:t>SLB continues to participate in the global transition to low-carbon energy systems through innovative technology and strategic partnerships, including the following:</w:t>
      </w:r>
    </w:p>
    <w:p>
      <w:pPr>
        <w:spacing w:after="0" w:line="59" w:lineRule="exact"/>
        <w:rPr>
          <w:sz w:val="20"/>
          <w:szCs w:val="20"/>
          <w:color w:val="auto"/>
        </w:rPr>
      </w:pPr>
    </w:p>
    <w:p>
      <w:pPr>
        <w:ind w:left="424" w:right="20" w:hanging="424"/>
        <w:spacing w:after="0" w:line="247"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SLB entered into an agreement with Aramco and Linde that paves the way for the development of a carbon capture and storage (CCS) hub in Jubail, Saudi Arabia, that is expected to become one of the largest globally. The first phase of the project is expected to capture and store up to nine million metric tons of CO</w:t>
      </w:r>
      <w:r>
        <w:rPr>
          <w:rFonts w:ascii="Arial" w:cs="Arial" w:eastAsia="Arial" w:hAnsi="Arial"/>
          <w:sz w:val="13"/>
          <w:szCs w:val="13"/>
          <w:color w:val="auto"/>
        </w:rPr>
        <w:t>2</w:t>
      </w:r>
      <w:r>
        <w:rPr>
          <w:rFonts w:ascii="Arial" w:cs="Arial" w:eastAsia="Arial" w:hAnsi="Arial"/>
          <w:sz w:val="18"/>
          <w:szCs w:val="18"/>
          <w:color w:val="auto"/>
        </w:rPr>
        <w:t xml:space="preserve"> annually, with construction completed by the end of 2027. Later phases are expected to further expand its capacity.</w:t>
      </w:r>
    </w:p>
    <w:p>
      <w:pPr>
        <w:spacing w:after="0" w:line="79" w:lineRule="exact"/>
        <w:rPr>
          <w:rFonts w:ascii="Arial" w:cs="Arial" w:eastAsia="Arial" w:hAnsi="Arial"/>
          <w:sz w:val="18"/>
          <w:szCs w:val="18"/>
          <w:color w:val="auto"/>
        </w:rPr>
      </w:pPr>
    </w:p>
    <w:p>
      <w:pPr>
        <w:ind w:left="424" w:right="100" w:hanging="424"/>
        <w:spacing w:after="0" w:line="220"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SLB Capturi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reached a significant milestone, achieving mechanical completion of the carbon capture plant at Heidelberg Materials’ cement facility in Brevik, Norway. The carbon capture plant is designed to capture up to 400,000 metric tons of CO</w:t>
      </w:r>
      <w:r>
        <w:rPr>
          <w:rFonts w:ascii="Arial" w:cs="Arial" w:eastAsia="Arial" w:hAnsi="Arial"/>
          <w:sz w:val="13"/>
          <w:szCs w:val="13"/>
          <w:color w:val="auto"/>
        </w:rPr>
        <w:t>2</w:t>
      </w:r>
      <w:r>
        <w:rPr>
          <w:rFonts w:ascii="Arial" w:cs="Arial" w:eastAsia="Arial" w:hAnsi="Arial"/>
          <w:sz w:val="18"/>
          <w:szCs w:val="18"/>
          <w:color w:val="auto"/>
        </w:rPr>
        <w:t xml:space="preserve"> annually from the cement facility. When operational, this world-first commercial-scale carbon capture plant at a cement facility will enable production of net-zero cement, without compromising the product strength or quality.</w:t>
      </w:r>
    </w:p>
    <w:p>
      <w:pPr>
        <w:spacing w:after="0" w:line="88" w:lineRule="exact"/>
        <w:rPr>
          <w:rFonts w:ascii="Arial" w:cs="Arial" w:eastAsia="Arial" w:hAnsi="Arial"/>
          <w:sz w:val="18"/>
          <w:szCs w:val="18"/>
          <w:color w:val="auto"/>
        </w:rPr>
      </w:pPr>
    </w:p>
    <w:p>
      <w:pPr>
        <w:ind w:left="424" w:hanging="424"/>
        <w:spacing w:after="0" w:line="242"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Norway, SLB Capturi completed a test campaign at WACKER’s silicon production site to capture CO</w:t>
      </w:r>
      <w:r>
        <w:rPr>
          <w:rFonts w:ascii="Arial" w:cs="Arial" w:eastAsia="Arial" w:hAnsi="Arial"/>
          <w:sz w:val="13"/>
          <w:szCs w:val="13"/>
          <w:color w:val="auto"/>
        </w:rPr>
        <w:t>2</w:t>
      </w:r>
      <w:r>
        <w:rPr>
          <w:rFonts w:ascii="Arial" w:cs="Arial" w:eastAsia="Arial" w:hAnsi="Arial"/>
          <w:sz w:val="18"/>
          <w:szCs w:val="18"/>
          <w:color w:val="auto"/>
        </w:rPr>
        <w:t xml:space="preserve"> emissions generated from the production of metallurgical-grade silicon—an essential raw material for microchips, solar modules and silicones. During the test campaign, a mobile test unit was installed adjacent to WACKER’s production facilities, effectively replicating the CO</w:t>
      </w:r>
      <w:r>
        <w:rPr>
          <w:rFonts w:ascii="Arial" w:cs="Arial" w:eastAsia="Arial" w:hAnsi="Arial"/>
          <w:sz w:val="13"/>
          <w:szCs w:val="13"/>
          <w:color w:val="auto"/>
        </w:rPr>
        <w:t>2</w:t>
      </w:r>
      <w:r>
        <w:rPr>
          <w:rFonts w:ascii="Arial" w:cs="Arial" w:eastAsia="Arial" w:hAnsi="Arial"/>
          <w:sz w:val="18"/>
          <w:szCs w:val="18"/>
          <w:color w:val="auto"/>
        </w:rPr>
        <w:t xml:space="preserve"> capture process on a smaller scale. The pilot study concluded successfully in late July and achieved capture rates of over 95%. Additionally, WACKER and SLB Capturi conducted an engineering feasibility study to design a plant that would capture 180,000 metric tons of CO</w:t>
      </w:r>
      <w:r>
        <w:rPr>
          <w:rFonts w:ascii="Arial" w:cs="Arial" w:eastAsia="Arial" w:hAnsi="Arial"/>
          <w:sz w:val="13"/>
          <w:szCs w:val="13"/>
          <w:color w:val="auto"/>
        </w:rPr>
        <w:t>2</w:t>
      </w:r>
      <w:r>
        <w:rPr>
          <w:rFonts w:ascii="Arial" w:cs="Arial" w:eastAsia="Arial" w:hAnsi="Arial"/>
          <w:sz w:val="18"/>
          <w:szCs w:val="18"/>
          <w:color w:val="auto"/>
        </w:rPr>
        <w:t xml:space="preserve"> annually.</w:t>
      </w:r>
    </w:p>
    <w:p>
      <w:pPr>
        <w:spacing w:after="0" w:line="84" w:lineRule="exact"/>
        <w:rPr>
          <w:rFonts w:ascii="Arial" w:cs="Arial" w:eastAsia="Arial" w:hAnsi="Arial"/>
          <w:sz w:val="18"/>
          <w:szCs w:val="18"/>
          <w:color w:val="auto"/>
        </w:rPr>
      </w:pPr>
    </w:p>
    <w:p>
      <w:pPr>
        <w:ind w:left="424" w:right="200" w:hanging="424"/>
        <w:spacing w:after="0" w:line="247"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Taiwan, CPC Corporation, Taiwan (CPC), has awarded SLB a three-year contract for subsurface site characterization; storage development planning; and measurement, monitoring, and verification planning for a strategic shoreline CCS project. The objective of the project is to improve the performance and reduce the operational risks of CCS, which will help CPC’s ambition to commence commercial CCS operations in 2030.</w:t>
      </w:r>
    </w:p>
    <w:p>
      <w:pPr>
        <w:sectPr>
          <w:pgSz w:w="11900" w:h="16838" w:orient="portrait"/>
          <w:cols w:equalWidth="0" w:num="1">
            <w:col w:w="11024"/>
          </w:cols>
          <w:pgMar w:left="436" w:top="269" w:right="43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TABLES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000" w:type="dxa"/>
            <w:vAlign w:val="bottom"/>
            <w:gridSpan w:val="14"/>
          </w:tcPr>
          <w:p>
            <w:pPr>
              <w:ind w:left="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8020" w:type="dxa"/>
            <w:vAlign w:val="bottom"/>
            <w:gridSpan w:val="2"/>
            <w:vMerge w:val="restart"/>
          </w:tcPr>
          <w:p>
            <w:pPr>
              <w:spacing w:after="0"/>
              <w:rPr>
                <w:sz w:val="20"/>
                <w:szCs w:val="20"/>
                <w:color w:val="auto"/>
              </w:rPr>
            </w:pPr>
            <w:r>
              <w:rPr>
                <w:rFonts w:ascii="Arial" w:cs="Arial" w:eastAsia="Arial" w:hAnsi="Arial"/>
                <w:sz w:val="14"/>
                <w:szCs w:val="14"/>
                <w:color w:val="auto"/>
              </w:rPr>
              <w:t>Periods Ended December 31,</w:t>
            </w:r>
          </w:p>
        </w:tc>
        <w:tc>
          <w:tcPr>
            <w:tcW w:w="100" w:type="dxa"/>
            <w:vAlign w:val="bottom"/>
          </w:tcPr>
          <w:p>
            <w:pPr>
              <w:spacing w:after="0"/>
              <w:rPr>
                <w:sz w:val="14"/>
                <w:szCs w:val="14"/>
                <w:color w:val="auto"/>
              </w:rPr>
            </w:pPr>
          </w:p>
        </w:tc>
        <w:tc>
          <w:tcPr>
            <w:tcW w:w="1360" w:type="dxa"/>
            <w:vAlign w:val="bottom"/>
            <w:gridSpan w:val="6"/>
          </w:tcPr>
          <w:p>
            <w:pPr>
              <w:ind w:left="80"/>
              <w:spacing w:after="0"/>
              <w:rPr>
                <w:sz w:val="20"/>
                <w:szCs w:val="20"/>
                <w:color w:val="auto"/>
              </w:rPr>
            </w:pPr>
            <w:r>
              <w:rPr>
                <w:rFonts w:ascii="Arial" w:cs="Arial" w:eastAsia="Arial" w:hAnsi="Arial"/>
                <w:sz w:val="14"/>
                <w:szCs w:val="14"/>
                <w:color w:val="auto"/>
              </w:rPr>
              <w:t>Fourth Quarter</w:t>
            </w:r>
          </w:p>
        </w:tc>
        <w:tc>
          <w:tcPr>
            <w:tcW w:w="100" w:type="dxa"/>
            <w:vAlign w:val="bottom"/>
          </w:tcPr>
          <w:p>
            <w:pPr>
              <w:spacing w:after="0"/>
              <w:rPr>
                <w:sz w:val="14"/>
                <w:szCs w:val="14"/>
                <w:color w:val="auto"/>
              </w:rPr>
            </w:pPr>
          </w:p>
        </w:tc>
        <w:tc>
          <w:tcPr>
            <w:tcW w:w="1440" w:type="dxa"/>
            <w:vAlign w:val="bottom"/>
            <w:gridSpan w:val="6"/>
          </w:tcPr>
          <w:p>
            <w:pPr>
              <w:ind w:left="160"/>
              <w:spacing w:after="0"/>
              <w:rPr>
                <w:sz w:val="20"/>
                <w:szCs w:val="20"/>
                <w:color w:val="auto"/>
              </w:rPr>
            </w:pPr>
            <w:r>
              <w:rPr>
                <w:rFonts w:ascii="Arial" w:cs="Arial" w:eastAsia="Arial" w:hAnsi="Arial"/>
                <w:sz w:val="14"/>
                <w:szCs w:val="14"/>
                <w:color w:val="auto"/>
              </w:rPr>
              <w:t>Twelve Months</w:t>
            </w:r>
          </w:p>
        </w:tc>
        <w:tc>
          <w:tcPr>
            <w:tcW w:w="0" w:type="dxa"/>
            <w:vAlign w:val="bottom"/>
          </w:tcPr>
          <w:p>
            <w:pPr>
              <w:spacing w:after="0"/>
              <w:rPr>
                <w:sz w:val="1"/>
                <w:szCs w:val="1"/>
                <w:color w:val="auto"/>
              </w:rPr>
            </w:pPr>
          </w:p>
        </w:tc>
      </w:tr>
      <w:tr>
        <w:trPr>
          <w:trHeight w:val="162"/>
        </w:trPr>
        <w:tc>
          <w:tcPr>
            <w:tcW w:w="8020" w:type="dxa"/>
            <w:vAlign w:val="bottom"/>
            <w:gridSpan w:val="2"/>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color w:val="auto"/>
                <w:w w:val="96"/>
              </w:rPr>
              <w:t>2023</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6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7"/>
              </w:rPr>
              <w:t>9,284</w:t>
            </w:r>
          </w:p>
        </w:tc>
        <w:tc>
          <w:tcPr>
            <w:tcW w:w="16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8,990</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8"/>
              </w:rPr>
              <w:t>36,289</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33,135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Interest &amp; other income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115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6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w w:val="97"/>
              </w:rPr>
              <w:t>7,322</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7,194</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w w:val="98"/>
              </w:rPr>
              <w:t>28,829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26,572</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192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749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General &amp; administrative</w:t>
            </w:r>
          </w:p>
        </w:tc>
        <w:tc>
          <w:tcPr>
            <w:tcW w:w="100" w:type="dxa"/>
            <w:vAlign w:val="bottom"/>
          </w:tcPr>
          <w:p>
            <w:pPr>
              <w:spacing w:after="0"/>
              <w:rPr>
                <w:sz w:val="17"/>
                <w:szCs w:val="17"/>
                <w:color w:val="auto"/>
              </w:rPr>
            </w:pPr>
          </w:p>
        </w:tc>
        <w:tc>
          <w:tcPr>
            <w:tcW w:w="6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96</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 xml:space="preserve">Restructuring &amp; other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— </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399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131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Income before taxes </w:t>
            </w:r>
            <w:r>
              <w:rPr>
                <w:rFonts w:ascii="Arial" w:cs="Arial" w:eastAsia="Arial" w:hAnsi="Arial"/>
                <w:sz w:val="24"/>
                <w:szCs w:val="24"/>
                <w:color w:val="auto"/>
                <w:vertAlign w:val="superscript"/>
              </w:rPr>
              <w:t>(1)</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1,433</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Tax expense </w:t>
            </w:r>
            <w:r>
              <w:rPr>
                <w:rFonts w:ascii="Arial" w:cs="Arial" w:eastAsia="Arial" w:hAnsi="Arial"/>
                <w:sz w:val="23"/>
                <w:szCs w:val="23"/>
                <w:color w:val="auto"/>
                <w:vertAlign w:val="superscript"/>
              </w:rPr>
              <w:t>(1)</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6"/>
                <w:szCs w:val="26"/>
                <w:color w:val="auto"/>
                <w:vertAlign w:val="superscript"/>
              </w:rPr>
              <w:t>(1)</w:t>
            </w: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1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7"/>
              </w:rPr>
              <w:t>1,118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1,149</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4,579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4,275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Net income attributable to SLB </w:t>
            </w:r>
            <w:r>
              <w:rPr>
                <w:rFonts w:ascii="Arial" w:cs="Arial" w:eastAsia="Arial" w:hAnsi="Arial"/>
                <w:sz w:val="24"/>
                <w:szCs w:val="24"/>
                <w:color w:val="auto"/>
                <w:vertAlign w:val="superscript"/>
              </w:rPr>
              <w:t>(1)</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1,113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gridSpan w:val="2"/>
            <w:shd w:val="clear" w:color="auto" w:fill="CCEEFF"/>
          </w:tcPr>
          <w:p>
            <w:pPr>
              <w:spacing w:after="0" w:line="197" w:lineRule="exact"/>
              <w:rPr>
                <w:sz w:val="20"/>
                <w:szCs w:val="20"/>
                <w:color w:val="auto"/>
              </w:rPr>
            </w:pPr>
            <w:r>
              <w:rPr>
                <w:rFonts w:ascii="Arial" w:cs="Arial" w:eastAsia="Arial" w:hAnsi="Arial"/>
                <w:sz w:val="16"/>
                <w:szCs w:val="16"/>
                <w:color w:val="auto"/>
              </w:rPr>
              <w:t xml:space="preserve">Diluted earnings per share of SLB </w:t>
            </w:r>
            <w:r>
              <w:rPr>
                <w:rFonts w:ascii="Arial" w:cs="Arial" w:eastAsia="Arial" w:hAnsi="Arial"/>
                <w:sz w:val="22"/>
                <w:szCs w:val="22"/>
                <w:color w:val="auto"/>
                <w:vertAlign w:val="superscript"/>
              </w:rPr>
              <w:t>(1)</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0.77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3.11</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7"/>
              </w:rPr>
              <w:t>1,406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1,429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1,425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shares outstanding assuming dilution</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7"/>
              </w:rPr>
              <w:t>1,420</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1,446</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1,436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6"/>
                <w:szCs w:val="26"/>
                <w:color w:val="auto"/>
                <w:vertAlign w:val="superscript"/>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gridSpan w:val="2"/>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648</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609</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See section entitled “Charges &amp; Credits” for details.</w:t>
      </w:r>
    </w:p>
    <w:p>
      <w:pPr>
        <w:ind w:left="424" w:hanging="424"/>
        <w:spacing w:after="0" w:line="184" w:lineRule="auto"/>
        <w:tabs>
          <w:tab w:leader="none" w:pos="424" w:val="left"/>
        </w:tabs>
        <w:numPr>
          <w:ilvl w:val="0"/>
          <w:numId w:val="12"/>
        </w:numPr>
        <w:rPr>
          <w:rFonts w:ascii="Arial" w:cs="Arial" w:eastAsia="Arial" w:hAnsi="Arial"/>
          <w:sz w:val="25"/>
          <w:szCs w:val="25"/>
          <w:color w:val="auto"/>
          <w:vertAlign w:val="superscript"/>
        </w:rPr>
      </w:pPr>
      <w:r>
        <w:rPr>
          <w:rFonts w:ascii="Arial" w:cs="Arial" w:eastAsia="Arial" w:hAnsi="Arial"/>
          <w:sz w:val="17"/>
          <w:szCs w:val="17"/>
          <w:color w:val="auto"/>
        </w:rPr>
        <w:t>Includes depreciation of fixed assets and amortization of intangible assets, exploration data costs and APS investments.</w:t>
      </w:r>
    </w:p>
    <w:p>
      <w:pPr>
        <w:sectPr>
          <w:pgSz w:w="11900" w:h="16838" w:orient="portrait"/>
          <w:cols w:equalWidth="0" w:num="1">
            <w:col w:w="11024"/>
          </w:cols>
          <w:pgMar w:left="436" w:top="269"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Condensed Consolidated Balance Sheet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8640" w:type="dxa"/>
            <w:vAlign w:val="bottom"/>
            <w:gridSpan w:val="2"/>
            <w:vMerge w:val="restart"/>
          </w:tcPr>
          <w:p>
            <w:pPr>
              <w:spacing w:after="0"/>
              <w:rPr>
                <w:sz w:val="20"/>
                <w:szCs w:val="20"/>
                <w:color w:val="auto"/>
              </w:rPr>
            </w:pPr>
            <w:r>
              <w:rPr>
                <w:rFonts w:ascii="Arial" w:cs="Arial" w:eastAsia="Arial" w:hAnsi="Arial"/>
                <w:sz w:val="14"/>
                <w:szCs w:val="14"/>
                <w:color w:val="auto"/>
              </w:rPr>
              <w:t>Assets</w:t>
            </w: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Dec. 31,</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58"/>
        </w:trPr>
        <w:tc>
          <w:tcPr>
            <w:tcW w:w="8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1"/>
              <w:spacing w:after="0" w:line="158"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52"/>
              <w:spacing w:after="0" w:line="158" w:lineRule="exact"/>
              <w:rPr>
                <w:sz w:val="20"/>
                <w:szCs w:val="20"/>
                <w:color w:val="auto"/>
              </w:rPr>
            </w:pPr>
            <w:r>
              <w:rPr>
                <w:rFonts w:ascii="Arial" w:cs="Arial" w:eastAsia="Arial" w:hAnsi="Arial"/>
                <w:sz w:val="14"/>
                <w:szCs w:val="14"/>
                <w:color w:val="auto"/>
              </w:rPr>
              <w:t>2023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8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Cash and short-term investments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4,669</w:t>
            </w:r>
          </w:p>
        </w:tc>
        <w:tc>
          <w:tcPr>
            <w:tcW w:w="44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8,011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7,812</w:t>
            </w:r>
          </w:p>
        </w:tc>
        <w:tc>
          <w:tcPr>
            <w:tcW w:w="0" w:type="dxa"/>
            <w:vAlign w:val="bottom"/>
          </w:tcPr>
          <w:p>
            <w:pPr>
              <w:spacing w:after="0"/>
              <w:rPr>
                <w:sz w:val="1"/>
                <w:szCs w:val="1"/>
                <w:color w:val="auto"/>
              </w:rPr>
            </w:pPr>
          </w:p>
        </w:tc>
      </w:tr>
      <w:tr>
        <w:trPr>
          <w:trHeight w:val="202"/>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4,375</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1,515</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18,570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Investment in affiliated companies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1,635</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7,359</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14,593</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14,084</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3,012</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3,766</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48,935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Liabilities and Equity</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10,375</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10,904</w:t>
            </w: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982</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1,051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9"/>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Dividends payable</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403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12,811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13,395</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11,023</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2,751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26,585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22,350</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21,359</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48,935</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Liquidity</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6"/>
          </w:tcPr>
          <w:p>
            <w:pPr>
              <w:jc w:val="center"/>
              <w:ind w:left="194"/>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880" w:type="dxa"/>
            <w:vAlign w:val="bottom"/>
            <w:vMerge w:val="restart"/>
          </w:tcPr>
          <w:p>
            <w:pPr>
              <w:spacing w:after="0"/>
              <w:rPr>
                <w:sz w:val="14"/>
                <w:szCs w:val="14"/>
                <w:color w:val="auto"/>
              </w:rPr>
            </w:pPr>
          </w:p>
        </w:tc>
        <w:tc>
          <w:tcPr>
            <w:tcW w:w="1560" w:type="dxa"/>
            <w:vAlign w:val="bottom"/>
            <w:vMerge w:val="restart"/>
          </w:tcPr>
          <w:p>
            <w:pPr>
              <w:spacing w:after="0"/>
              <w:rPr>
                <w:sz w:val="20"/>
                <w:szCs w:val="20"/>
                <w:color w:val="auto"/>
              </w:rPr>
            </w:pPr>
            <w:r>
              <w:rPr>
                <w:rFonts w:ascii="Arial" w:cs="Arial" w:eastAsia="Arial" w:hAnsi="Arial"/>
                <w:sz w:val="14"/>
                <w:szCs w:val="14"/>
                <w:color w:val="auto"/>
              </w:rPr>
              <w:t>Components of Liquidity</w:t>
            </w:r>
          </w:p>
        </w:tc>
        <w:tc>
          <w:tcPr>
            <w:tcW w:w="3520" w:type="dxa"/>
            <w:vAlign w:val="bottom"/>
            <w:gridSpan w:val="2"/>
            <w:vMerge w:val="restart"/>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3"/>
          </w:tcPr>
          <w:p>
            <w:pPr>
              <w:jc w:val="right"/>
              <w:ind w:right="261"/>
              <w:spacing w:after="0"/>
              <w:rPr>
                <w:sz w:val="20"/>
                <w:szCs w:val="20"/>
                <w:color w:val="auto"/>
              </w:rPr>
            </w:pPr>
            <w:r>
              <w:rPr>
                <w:rFonts w:ascii="Arial" w:cs="Arial" w:eastAsia="Arial" w:hAnsi="Arial"/>
                <w:sz w:val="14"/>
                <w:szCs w:val="14"/>
                <w:b w:val="1"/>
                <w:bCs w:val="1"/>
                <w:color w:val="auto"/>
              </w:rPr>
              <w:t>Dec.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jc w:val="right"/>
              <w:ind w:right="101"/>
              <w:spacing w:after="0"/>
              <w:rPr>
                <w:sz w:val="20"/>
                <w:szCs w:val="20"/>
                <w:color w:val="auto"/>
              </w:rPr>
            </w:pPr>
            <w:r>
              <w:rPr>
                <w:rFonts w:ascii="Arial" w:cs="Arial" w:eastAsia="Arial" w:hAnsi="Arial"/>
                <w:sz w:val="14"/>
                <w:szCs w:val="14"/>
                <w:color w:val="auto"/>
              </w:rPr>
              <w:t>Sept. 30,</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35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94"/>
              <w:spacing w:after="0" w:line="158"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50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Cash and short-term investments</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4,669</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4,462</w:t>
            </w: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3,989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1"/>
              <w:spacing w:after="0" w:line="202" w:lineRule="exact"/>
              <w:rPr>
                <w:sz w:val="20"/>
                <w:szCs w:val="20"/>
                <w:color w:val="auto"/>
              </w:rPr>
            </w:pPr>
            <w:r>
              <w:rPr>
                <w:rFonts w:ascii="Arial" w:cs="Arial" w:eastAsia="Arial" w:hAnsi="Arial"/>
                <w:sz w:val="18"/>
                <w:szCs w:val="18"/>
                <w:b w:val="1"/>
                <w:bCs w:val="1"/>
                <w:color w:val="auto"/>
              </w:rPr>
              <w:t>(1,051)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(1,059)</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b w:val="1"/>
                <w:bCs w:val="1"/>
                <w:color w:val="auto"/>
                <w:w w:val="95"/>
              </w:rPr>
              <w:t>(11,023)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(11,864)</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r>
        <w:trPr>
          <w:trHeight w:val="209"/>
        </w:trPr>
        <w:tc>
          <w:tcPr>
            <w:tcW w:w="5960" w:type="dxa"/>
            <w:vAlign w:val="bottom"/>
            <w:gridSpan w:val="4"/>
          </w:tcPr>
          <w:p>
            <w:pPr>
              <w:ind w:left="880"/>
              <w:spacing w:after="0" w:line="210" w:lineRule="exact"/>
              <w:rPr>
                <w:sz w:val="20"/>
                <w:szCs w:val="20"/>
                <w:color w:val="auto"/>
              </w:rPr>
            </w:pPr>
            <w:r>
              <w:rPr>
                <w:rFonts w:ascii="Arial" w:cs="Arial" w:eastAsia="Arial" w:hAnsi="Arial"/>
                <w:sz w:val="17"/>
                <w:szCs w:val="17"/>
                <w:color w:val="auto"/>
              </w:rPr>
              <w:t xml:space="preserve">Net Debt </w:t>
            </w:r>
            <w:r>
              <w:rPr>
                <w:rFonts w:ascii="Arial" w:cs="Arial" w:eastAsia="Arial" w:hAnsi="Arial"/>
                <w:sz w:val="24"/>
                <w:szCs w:val="24"/>
                <w:color w:val="auto"/>
                <w:vertAlign w:val="superscript"/>
              </w:rPr>
              <w:t>(1)</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(7,405</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(8,461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4"/>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96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5"/>
          </w:tcPr>
          <w:p>
            <w:pPr>
              <w:jc w:val="right"/>
              <w:ind w:right="321"/>
              <w:spacing w:after="0"/>
              <w:rPr>
                <w:sz w:val="20"/>
                <w:szCs w:val="20"/>
                <w:color w:val="auto"/>
              </w:rPr>
            </w:pPr>
            <w:r>
              <w:rPr>
                <w:rFonts w:ascii="Arial" w:cs="Arial" w:eastAsia="Arial" w:hAnsi="Arial"/>
                <w:sz w:val="14"/>
                <w:szCs w:val="14"/>
                <w:b w:val="1"/>
                <w:bCs w:val="1"/>
                <w:color w:val="auto"/>
              </w:rPr>
              <w:t>Twelve</w:t>
            </w:r>
          </w:p>
        </w:tc>
        <w:tc>
          <w:tcPr>
            <w:tcW w:w="60" w:type="dxa"/>
            <w:vAlign w:val="bottom"/>
          </w:tcPr>
          <w:p>
            <w:pPr>
              <w:spacing w:after="0"/>
              <w:rPr>
                <w:sz w:val="24"/>
                <w:szCs w:val="2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Fourth</w:t>
            </w:r>
          </w:p>
        </w:tc>
        <w:tc>
          <w:tcPr>
            <w:tcW w:w="300" w:type="dxa"/>
            <w:vAlign w:val="bottom"/>
          </w:tcPr>
          <w:p>
            <w:pPr>
              <w:spacing w:after="0"/>
              <w:rPr>
                <w:sz w:val="24"/>
                <w:szCs w:val="2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Twelve</w:t>
            </w:r>
          </w:p>
        </w:tc>
        <w:tc>
          <w:tcPr>
            <w:tcW w:w="0" w:type="dxa"/>
            <w:vAlign w:val="bottom"/>
          </w:tcPr>
          <w:p>
            <w:pPr>
              <w:spacing w:after="0"/>
              <w:rPr>
                <w:sz w:val="1"/>
                <w:szCs w:val="1"/>
                <w:color w:val="auto"/>
              </w:rPr>
            </w:pPr>
          </w:p>
        </w:tc>
      </w:tr>
      <w:tr>
        <w:trPr>
          <w:trHeight w:val="162"/>
        </w:trPr>
        <w:tc>
          <w:tcPr>
            <w:tcW w:w="880" w:type="dxa"/>
            <w:vAlign w:val="bottom"/>
            <w:vMerge w:val="restart"/>
          </w:tcPr>
          <w:p>
            <w:pPr>
              <w:spacing w:after="0"/>
              <w:rPr>
                <w:sz w:val="14"/>
                <w:szCs w:val="14"/>
                <w:color w:val="auto"/>
              </w:rPr>
            </w:pPr>
          </w:p>
        </w:tc>
        <w:tc>
          <w:tcPr>
            <w:tcW w:w="1900" w:type="dxa"/>
            <w:vAlign w:val="bottom"/>
            <w:gridSpan w:val="2"/>
            <w:vMerge w:val="restart"/>
          </w:tcPr>
          <w:p>
            <w:pPr>
              <w:spacing w:after="0"/>
              <w:rPr>
                <w:sz w:val="20"/>
                <w:szCs w:val="20"/>
                <w:color w:val="auto"/>
              </w:rPr>
            </w:pPr>
            <w:r>
              <w:rPr>
                <w:rFonts w:ascii="Arial" w:cs="Arial" w:eastAsia="Arial" w:hAnsi="Arial"/>
                <w:sz w:val="14"/>
                <w:szCs w:val="14"/>
                <w:color w:val="auto"/>
              </w:rPr>
              <w:t>Periods Ended December 31,</w:t>
            </w:r>
          </w:p>
        </w:tc>
        <w:tc>
          <w:tcPr>
            <w:tcW w:w="318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5"/>
          </w:tcPr>
          <w:p>
            <w:pPr>
              <w:jc w:val="right"/>
              <w:ind w:right="301"/>
              <w:spacing w:after="0"/>
              <w:rPr>
                <w:sz w:val="20"/>
                <w:szCs w:val="20"/>
                <w:color w:val="auto"/>
              </w:rPr>
            </w:pPr>
            <w:r>
              <w:rPr>
                <w:rFonts w:ascii="Arial" w:cs="Arial" w:eastAsia="Arial" w:hAnsi="Arial"/>
                <w:sz w:val="14"/>
                <w:szCs w:val="14"/>
                <w:b w:val="1"/>
                <w:bCs w:val="1"/>
                <w:color w:val="auto"/>
              </w:rPr>
              <w:t>Months</w:t>
            </w:r>
          </w:p>
        </w:tc>
        <w:tc>
          <w:tcPr>
            <w:tcW w:w="60" w:type="dxa"/>
            <w:vAlign w:val="bottom"/>
          </w:tcPr>
          <w:p>
            <w:pPr>
              <w:spacing w:after="0"/>
              <w:rPr>
                <w:sz w:val="14"/>
                <w:szCs w:val="14"/>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Quarter</w:t>
            </w:r>
          </w:p>
        </w:tc>
        <w:tc>
          <w:tcPr>
            <w:tcW w:w="3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1900" w:type="dxa"/>
            <w:vAlign w:val="bottom"/>
            <w:tcBorders>
              <w:bottom w:val="single" w:sz="8" w:color="auto"/>
            </w:tcBorders>
            <w:gridSpan w:val="2"/>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4"/>
          </w:tcPr>
          <w:p>
            <w:pPr>
              <w:ind w:left="340"/>
              <w:spacing w:after="0" w:line="158"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5"/>
                <w:szCs w:val="15"/>
                <w:color w:val="auto"/>
              </w:rPr>
            </w:pPr>
          </w:p>
        </w:tc>
        <w:tc>
          <w:tcPr>
            <w:tcW w:w="920" w:type="dxa"/>
            <w:vAlign w:val="bottom"/>
            <w:gridSpan w:val="2"/>
          </w:tcPr>
          <w:p>
            <w:pPr>
              <w:jc w:val="center"/>
              <w:ind w:left="192"/>
              <w:spacing w:after="0" w:line="158"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50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6"/>
              </w:rPr>
              <w:t>$ 4,579</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6"/>
              </w:rPr>
              <w:t>$ 1,118</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$ 4,275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Charges and credits, net of tax </w:t>
            </w:r>
            <w:r>
              <w:rPr>
                <w:rFonts w:ascii="Arial" w:cs="Arial" w:eastAsia="Arial" w:hAnsi="Arial"/>
                <w:sz w:val="23"/>
                <w:szCs w:val="23"/>
                <w:color w:val="auto"/>
                <w:vertAlign w:val="superscript"/>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223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5,033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1,341</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4,385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3"/>
                <w:szCs w:val="23"/>
                <w:color w:val="auto"/>
                <w:vertAlign w:val="superscript"/>
              </w:rPr>
              <w:t>(3)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2,519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648</w:t>
            </w:r>
          </w:p>
        </w:tc>
        <w:tc>
          <w:tcPr>
            <w:tcW w:w="8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316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72</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Change in working capital</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5"/>
          </w:tcPr>
          <w:p>
            <w:pPr>
              <w:jc w:val="right"/>
              <w:ind w:right="180"/>
              <w:spacing w:after="0" w:line="202" w:lineRule="exact"/>
              <w:rPr>
                <w:sz w:val="20"/>
                <w:szCs w:val="20"/>
                <w:color w:val="auto"/>
              </w:rPr>
            </w:pPr>
            <w:r>
              <w:rPr>
                <w:rFonts w:ascii="Arial" w:cs="Arial" w:eastAsia="Arial" w:hAnsi="Arial"/>
                <w:sz w:val="18"/>
                <w:szCs w:val="18"/>
                <w:b w:val="1"/>
                <w:bCs w:val="1"/>
                <w:color w:val="auto"/>
              </w:rPr>
              <w:t>(1,379)</w:t>
            </w:r>
          </w:p>
        </w:tc>
        <w:tc>
          <w:tcPr>
            <w:tcW w:w="100" w:type="dxa"/>
            <w:vAlign w:val="bottom"/>
          </w:tcPr>
          <w:p>
            <w:pPr>
              <w:spacing w:after="0"/>
              <w:rPr>
                <w:sz w:val="17"/>
                <w:szCs w:val="17"/>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352</w:t>
            </w:r>
          </w:p>
        </w:tc>
        <w:tc>
          <w:tcPr>
            <w:tcW w:w="8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US Federal tax refund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01"/>
              <w:spacing w:after="0" w:line="202" w:lineRule="exact"/>
              <w:rPr>
                <w:sz w:val="20"/>
                <w:szCs w:val="20"/>
                <w:color w:val="auto"/>
              </w:rPr>
            </w:pPr>
            <w:r>
              <w:rPr>
                <w:rFonts w:ascii="Arial" w:cs="Arial" w:eastAsia="Arial" w:hAnsi="Arial"/>
                <w:sz w:val="18"/>
                <w:szCs w:val="18"/>
                <w:b w:val="1"/>
                <w:bCs w:val="1"/>
                <w:color w:val="auto"/>
              </w:rPr>
              <w:t>— </w:t>
            </w:r>
          </w:p>
        </w:tc>
        <w:tc>
          <w:tcPr>
            <w:tcW w:w="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center"/>
              <w:ind w:left="114"/>
              <w:spacing w:after="0" w:line="202" w:lineRule="exact"/>
              <w:rPr>
                <w:sz w:val="20"/>
                <w:szCs w:val="20"/>
                <w:color w:val="auto"/>
              </w:rPr>
            </w:pPr>
            <w:r>
              <w:rPr>
                <w:rFonts w:ascii="Arial" w:cs="Arial" w:eastAsia="Arial" w:hAnsi="Arial"/>
                <w:sz w:val="18"/>
                <w:szCs w:val="18"/>
                <w:b w:val="1"/>
                <w:bCs w:val="1"/>
                <w:color w:val="auto"/>
                <w:w w:val="81"/>
              </w:rPr>
              <w:t>— </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40"/>
              <w:spacing w:after="0" w:line="202" w:lineRule="exact"/>
              <w:rPr>
                <w:sz w:val="20"/>
                <w:szCs w:val="20"/>
                <w:color w:val="auto"/>
              </w:rPr>
            </w:pPr>
            <w:r>
              <w:rPr>
                <w:rFonts w:ascii="Arial" w:cs="Arial" w:eastAsia="Arial" w:hAnsi="Arial"/>
                <w:sz w:val="18"/>
                <w:szCs w:val="18"/>
                <w:b w:val="1"/>
                <w:bCs w:val="1"/>
                <w:color w:val="auto"/>
              </w:rPr>
              <w:t>(23)</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 from operations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6,602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2,390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gridSpan w:val="4"/>
            <w:vMerge w:val="restart"/>
          </w:tcPr>
          <w:p>
            <w:pPr>
              <w:ind w:left="8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(1,931)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(609)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APS investments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w w:val="95"/>
              </w:rPr>
              <w:t>(483)</w:t>
            </w: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(93)</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Exploration data capitalized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w w:val="95"/>
              </w:rPr>
              <w:t>(198)</w:t>
            </w:r>
          </w:p>
        </w:tc>
        <w:tc>
          <w:tcPr>
            <w:tcW w:w="100" w:type="dxa"/>
            <w:vAlign w:val="bottom"/>
          </w:tcPr>
          <w:p>
            <w:pPr>
              <w:spacing w:after="0"/>
              <w:rPr>
                <w:sz w:val="18"/>
                <w:szCs w:val="18"/>
                <w:color w:val="auto"/>
              </w:rPr>
            </w:pPr>
          </w:p>
        </w:tc>
        <w:tc>
          <w:tcPr>
            <w:tcW w:w="760" w:type="dxa"/>
            <w:vAlign w:val="bottom"/>
            <w:gridSpan w:val="4"/>
          </w:tcPr>
          <w:p>
            <w:pPr>
              <w:jc w:val="right"/>
              <w:ind w:right="40"/>
              <w:spacing w:after="0" w:line="202" w:lineRule="exact"/>
              <w:rPr>
                <w:sz w:val="20"/>
                <w:szCs w:val="20"/>
                <w:color w:val="auto"/>
              </w:rPr>
            </w:pPr>
            <w:r>
              <w:rPr>
                <w:rFonts w:ascii="Arial" w:cs="Arial" w:eastAsia="Arial" w:hAnsi="Arial"/>
                <w:sz w:val="18"/>
                <w:szCs w:val="18"/>
                <w:b w:val="1"/>
                <w:bCs w:val="1"/>
                <w:color w:val="auto"/>
              </w:rPr>
              <w:t>(57)</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3,990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1,631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4,038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gridSpan w:val="4"/>
            <w:vMerge w:val="restart"/>
          </w:tcPr>
          <w:p>
            <w:pPr>
              <w:ind w:left="8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(1,533)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(389)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Stock repurchase program</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(1,737)</w:t>
            </w: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(501)</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Proceeds from employee stock plans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Business acquisitions and investments, net of cash acquired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w w:val="95"/>
              </w:rPr>
              <w:t>(553)</w:t>
            </w: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(1)</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Purchases of Blue Chip Swap securities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w w:val="95"/>
              </w:rPr>
              <w:t>(207)</w:t>
            </w:r>
          </w:p>
        </w:tc>
        <w:tc>
          <w:tcPr>
            <w:tcW w:w="100" w:type="dxa"/>
            <w:vAlign w:val="bottom"/>
          </w:tcPr>
          <w:p>
            <w:pPr>
              <w:spacing w:after="0"/>
              <w:rPr>
                <w:sz w:val="17"/>
                <w:szCs w:val="17"/>
                <w:color w:val="auto"/>
              </w:rPr>
            </w:pPr>
          </w:p>
        </w:tc>
        <w:tc>
          <w:tcPr>
            <w:tcW w:w="760" w:type="dxa"/>
            <w:vAlign w:val="bottom"/>
            <w:gridSpan w:val="4"/>
          </w:tcPr>
          <w:p>
            <w:pPr>
              <w:jc w:val="right"/>
              <w:ind w:right="40"/>
              <w:spacing w:after="0" w:line="202" w:lineRule="exact"/>
              <w:rPr>
                <w:sz w:val="20"/>
                <w:szCs w:val="20"/>
                <w:color w:val="auto"/>
              </w:rPr>
            </w:pPr>
            <w:r>
              <w:rPr>
                <w:rFonts w:ascii="Arial" w:cs="Arial" w:eastAsia="Arial" w:hAnsi="Arial"/>
                <w:sz w:val="18"/>
                <w:szCs w:val="18"/>
                <w:b w:val="1"/>
                <w:bCs w:val="1"/>
                <w:color w:val="auto"/>
              </w:rPr>
              <w:t>(71)</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Blue Chip Swap securities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60</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Proceeds from sale of Liberty shares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301"/>
              <w:spacing w:after="0" w:line="202" w:lineRule="exact"/>
              <w:rPr>
                <w:sz w:val="20"/>
                <w:szCs w:val="20"/>
                <w:color w:val="auto"/>
              </w:rPr>
            </w:pPr>
            <w:r>
              <w:rPr>
                <w:rFonts w:ascii="Arial" w:cs="Arial" w:eastAsia="Arial" w:hAnsi="Arial"/>
                <w:sz w:val="18"/>
                <w:szCs w:val="18"/>
                <w:b w:val="1"/>
                <w:bCs w:val="1"/>
                <w:color w:val="auto"/>
              </w:rPr>
              <w:t>— </w:t>
            </w:r>
          </w:p>
        </w:tc>
        <w:tc>
          <w:tcPr>
            <w:tcW w:w="60" w:type="dxa"/>
            <w:vAlign w:val="bottom"/>
          </w:tcPr>
          <w:p>
            <w:pPr>
              <w:spacing w:after="0"/>
              <w:rPr>
                <w:sz w:val="17"/>
                <w:szCs w:val="17"/>
                <w:color w:val="auto"/>
              </w:rPr>
            </w:pPr>
          </w:p>
        </w:tc>
        <w:tc>
          <w:tcPr>
            <w:tcW w:w="700" w:type="dxa"/>
            <w:vAlign w:val="bottom"/>
            <w:gridSpan w:val="3"/>
          </w:tcPr>
          <w:p>
            <w:pPr>
              <w:jc w:val="center"/>
              <w:ind w:left="114"/>
              <w:spacing w:after="0" w:line="202" w:lineRule="exact"/>
              <w:rPr>
                <w:sz w:val="20"/>
                <w:szCs w:val="20"/>
                <w:color w:val="auto"/>
              </w:rPr>
            </w:pPr>
            <w:r>
              <w:rPr>
                <w:rFonts w:ascii="Arial" w:cs="Arial" w:eastAsia="Arial" w:hAnsi="Arial"/>
                <w:sz w:val="18"/>
                <w:szCs w:val="18"/>
                <w:b w:val="1"/>
                <w:bCs w:val="1"/>
                <w:color w:val="auto"/>
                <w:w w:val="81"/>
              </w:rPr>
              <w:t>— </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Taxes paid on net settled stock-based compensation awards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(90)</w:t>
            </w: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(4)</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26</w:t>
            </w:r>
          </w:p>
        </w:tc>
        <w:tc>
          <w:tcPr>
            <w:tcW w:w="80" w:type="dxa"/>
            <w:vAlign w:val="bottom"/>
          </w:tcPr>
          <w:p>
            <w:pPr>
              <w:spacing w:after="0"/>
              <w:rPr>
                <w:sz w:val="18"/>
                <w:szCs w:val="18"/>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6320" w:type="dxa"/>
            <w:vAlign w:val="bottom"/>
            <w:gridSpan w:val="7"/>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Decrease in net debt before impact of changes in foreign exchange</w:t>
            </w:r>
          </w:p>
        </w:tc>
        <w:tc>
          <w:tcPr>
            <w:tcW w:w="2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50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rates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755</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Impact of changes in foreign exchange rates on net debt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Decrease in Net Debt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571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1,056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Net Debt, beginning of period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4"/>
          </w:tcPr>
          <w:p>
            <w:pPr>
              <w:jc w:val="right"/>
              <w:ind w:right="180"/>
              <w:spacing w:after="0" w:line="202" w:lineRule="exact"/>
              <w:rPr>
                <w:sz w:val="20"/>
                <w:szCs w:val="20"/>
                <w:color w:val="auto"/>
              </w:rPr>
            </w:pPr>
            <w:r>
              <w:rPr>
                <w:rFonts w:ascii="Arial" w:cs="Arial" w:eastAsia="Arial" w:hAnsi="Arial"/>
                <w:sz w:val="18"/>
                <w:szCs w:val="18"/>
                <w:b w:val="1"/>
                <w:bCs w:val="1"/>
                <w:color w:val="auto"/>
              </w:rPr>
              <w:t>(7,976)</w:t>
            </w:r>
          </w:p>
        </w:tc>
        <w:tc>
          <w:tcPr>
            <w:tcW w:w="100" w:type="dxa"/>
            <w:vAlign w:val="bottom"/>
          </w:tcPr>
          <w:p>
            <w:pPr>
              <w:spacing w:after="0"/>
              <w:rPr>
                <w:sz w:val="17"/>
                <w:szCs w:val="17"/>
                <w:color w:val="auto"/>
              </w:rPr>
            </w:pPr>
          </w:p>
        </w:tc>
        <w:tc>
          <w:tcPr>
            <w:tcW w:w="760" w:type="dxa"/>
            <w:vAlign w:val="bottom"/>
            <w:gridSpan w:val="4"/>
          </w:tcPr>
          <w:p>
            <w:pPr>
              <w:jc w:val="right"/>
              <w:ind w:right="40"/>
              <w:spacing w:after="0" w:line="202" w:lineRule="exact"/>
              <w:rPr>
                <w:sz w:val="20"/>
                <w:szCs w:val="20"/>
                <w:color w:val="auto"/>
              </w:rPr>
            </w:pPr>
            <w:r>
              <w:rPr>
                <w:rFonts w:ascii="Arial" w:cs="Arial" w:eastAsia="Arial" w:hAnsi="Arial"/>
                <w:sz w:val="18"/>
                <w:szCs w:val="18"/>
                <w:b w:val="1"/>
                <w:bCs w:val="1"/>
                <w:color w:val="auto"/>
              </w:rPr>
              <w:t>(8,461)</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(9,332)</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vMerge w:val="continue"/>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Debt, end of period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(7,405)</w:t>
            </w: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(7,405)</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line="213" w:lineRule="auto"/>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7"/>
          <w:szCs w:val="27"/>
          <w:color w:val="auto"/>
          <w:vertAlign w:val="superscript"/>
        </w:rPr>
      </w:pPr>
    </w:p>
    <w:p>
      <w:pPr>
        <w:ind w:left="424" w:hanging="424"/>
        <w:spacing w:after="0" w:line="183" w:lineRule="auto"/>
        <w:tabs>
          <w:tab w:leader="none" w:pos="424"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exploration data costs, and APS investments.</w:t>
      </w:r>
    </w:p>
    <w:p>
      <w:pPr>
        <w:ind w:left="424" w:right="80" w:hanging="424"/>
        <w:spacing w:after="0" w:line="221" w:lineRule="auto"/>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ectPr>
          <w:pgSz w:w="11900" w:h="16838" w:orient="portrait"/>
          <w:cols w:equalWidth="0" w:num="1">
            <w:col w:w="11004"/>
          </w:cols>
          <w:pgMar w:left="436" w:top="26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&amp; Credits</w:t>
      </w:r>
    </w:p>
    <w:p>
      <w:pPr>
        <w:spacing w:after="0" w:line="10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fourth-quarter 2024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provides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11).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gridSpan w:val="17"/>
          </w:tcPr>
          <w:p>
            <w:pPr>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7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12"/>
          </w:tcPr>
          <w:p>
            <w:pPr>
              <w:jc w:val="right"/>
              <w:ind w:right="700"/>
              <w:spacing w:after="0"/>
              <w:rPr>
                <w:sz w:val="20"/>
                <w:szCs w:val="20"/>
                <w:color w:val="auto"/>
              </w:rPr>
            </w:pPr>
            <w:r>
              <w:rPr>
                <w:rFonts w:ascii="Arial" w:cs="Arial" w:eastAsia="Arial" w:hAnsi="Arial"/>
                <w:sz w:val="14"/>
                <w:szCs w:val="14"/>
                <w:b w:val="1"/>
                <w:bCs w:val="1"/>
                <w:color w:val="auto"/>
              </w:rPr>
              <w:t>Fourth Quarter 2024</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7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5"/>
          </w:tcPr>
          <w:p>
            <w:pPr>
              <w:spacing w:after="0" w:line="147" w:lineRule="exact"/>
              <w:rPr>
                <w:sz w:val="20"/>
                <w:szCs w:val="20"/>
                <w:color w:val="auto"/>
              </w:rPr>
            </w:pPr>
            <w:r>
              <w:rPr>
                <w:rFonts w:ascii="Arial" w:cs="Arial" w:eastAsia="Arial" w:hAnsi="Arial"/>
                <w:sz w:val="14"/>
                <w:szCs w:val="14"/>
                <w:color w:val="auto"/>
              </w:rPr>
              <w:t>Noncont.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7060" w:type="dxa"/>
            <w:vAlign w:val="bottom"/>
          </w:tcPr>
          <w:p>
            <w:pPr>
              <w:spacing w:after="0"/>
              <w:rPr>
                <w:sz w:val="14"/>
                <w:szCs w:val="14"/>
                <w:color w:val="auto"/>
              </w:rPr>
            </w:pPr>
          </w:p>
        </w:tc>
        <w:tc>
          <w:tcPr>
            <w:tcW w:w="900" w:type="dxa"/>
            <w:vAlign w:val="bottom"/>
            <w:gridSpan w:val="5"/>
          </w:tcPr>
          <w:p>
            <w:pPr>
              <w:ind w:left="80"/>
              <w:spacing w:after="0"/>
              <w:rPr>
                <w:sz w:val="20"/>
                <w:szCs w:val="20"/>
                <w:color w:val="auto"/>
              </w:rPr>
            </w:pPr>
            <w:r>
              <w:rPr>
                <w:rFonts w:ascii="Arial" w:cs="Arial" w:eastAsia="Arial" w:hAnsi="Arial"/>
                <w:sz w:val="14"/>
                <w:szCs w:val="14"/>
                <w:color w:val="auto"/>
              </w:rPr>
              <w:t>Pretax</w:t>
            </w:r>
          </w:p>
        </w:tc>
        <w:tc>
          <w:tcPr>
            <w:tcW w:w="680" w:type="dxa"/>
            <w:vAlign w:val="bottom"/>
            <w:gridSpan w:val="4"/>
          </w:tcPr>
          <w:p>
            <w:pPr>
              <w:jc w:val="right"/>
              <w:ind w:right="360"/>
              <w:spacing w:after="0"/>
              <w:rPr>
                <w:sz w:val="20"/>
                <w:szCs w:val="20"/>
                <w:color w:val="auto"/>
              </w:rPr>
            </w:pPr>
            <w:r>
              <w:rPr>
                <w:rFonts w:ascii="Arial" w:cs="Arial" w:eastAsia="Arial" w:hAnsi="Arial"/>
                <w:sz w:val="14"/>
                <w:szCs w:val="14"/>
                <w:color w:val="auto"/>
              </w:rPr>
              <w:t>Tax</w:t>
            </w:r>
          </w:p>
        </w:tc>
        <w:tc>
          <w:tcPr>
            <w:tcW w:w="840" w:type="dxa"/>
            <w:vAlign w:val="bottom"/>
            <w:gridSpan w:val="5"/>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4"/>
          </w:tcPr>
          <w:p>
            <w:pPr>
              <w:jc w:val="right"/>
              <w:ind w:right="500"/>
              <w:spacing w:after="0"/>
              <w:rPr>
                <w:sz w:val="20"/>
                <w:szCs w:val="20"/>
                <w:color w:val="auto"/>
              </w:rPr>
            </w:pPr>
            <w:r>
              <w:rPr>
                <w:rFonts w:ascii="Arial" w:cs="Arial" w:eastAsia="Arial" w:hAnsi="Arial"/>
                <w:sz w:val="14"/>
                <w:szCs w:val="14"/>
                <w:color w:val="auto"/>
              </w:rPr>
              <w:t>Net</w:t>
            </w:r>
          </w:p>
        </w:tc>
        <w:tc>
          <w:tcPr>
            <w:tcW w:w="660" w:type="dxa"/>
            <w:vAlign w:val="bottom"/>
            <w:gridSpan w:val="4"/>
          </w:tcPr>
          <w:p>
            <w:pPr>
              <w:jc w:val="center"/>
              <w:ind w:right="120"/>
              <w:spacing w:after="0"/>
              <w:rPr>
                <w:sz w:val="20"/>
                <w:szCs w:val="20"/>
                <w:color w:val="auto"/>
              </w:rPr>
            </w:pPr>
            <w:r>
              <w:rPr>
                <w:rFonts w:ascii="Arial" w:cs="Arial" w:eastAsia="Arial" w:hAnsi="Arial"/>
                <w:sz w:val="14"/>
                <w:szCs w:val="14"/>
                <w:color w:val="auto"/>
              </w:rPr>
              <w:t>EPS *</w:t>
            </w: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$1,387</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$269</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$1,095</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$ 0.77</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Asset impairments </w:t>
            </w:r>
            <w:r>
              <w:rPr>
                <w:rFonts w:ascii="Arial" w:cs="Arial" w:eastAsia="Arial" w:hAnsi="Arial"/>
                <w:sz w:val="23"/>
                <w:szCs w:val="23"/>
                <w:color w:val="auto"/>
                <w:vertAlign w:val="superscript"/>
              </w:rPr>
              <w:t>(1)</w:t>
            </w:r>
          </w:p>
        </w:tc>
        <w:tc>
          <w:tcPr>
            <w:tcW w:w="8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162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139</w:t>
            </w:r>
          </w:p>
        </w:tc>
        <w:tc>
          <w:tcPr>
            <w:tcW w:w="140" w:type="dxa"/>
            <w:vAlign w:val="bottom"/>
          </w:tcPr>
          <w:p>
            <w:pPr>
              <w:spacing w:after="0"/>
              <w:rPr>
                <w:sz w:val="17"/>
                <w:szCs w:val="17"/>
                <w:color w:val="auto"/>
              </w:rPr>
            </w:pPr>
          </w:p>
        </w:tc>
        <w:tc>
          <w:tcPr>
            <w:tcW w:w="6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0.10</w:t>
            </w:r>
          </w:p>
        </w:tc>
        <w:tc>
          <w:tcPr>
            <w:tcW w:w="60" w:type="dxa"/>
            <w:vAlign w:val="bottom"/>
          </w:tcPr>
          <w:p>
            <w:pPr>
              <w:spacing w:after="0"/>
              <w:rPr>
                <w:sz w:val="17"/>
                <w:szCs w:val="17"/>
                <w:color w:val="auto"/>
              </w:rPr>
            </w:pP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Merger &amp; integration</w:t>
            </w:r>
          </w:p>
        </w:tc>
        <w:tc>
          <w:tcPr>
            <w:tcW w:w="8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9"/>
              </w:rPr>
              <w:t>50</w:t>
            </w:r>
          </w:p>
        </w:tc>
        <w:tc>
          <w:tcPr>
            <w:tcW w:w="1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7"/>
                <w:szCs w:val="17"/>
                <w:color w:val="auto"/>
              </w:rPr>
            </w:pP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Workforce reductions </w:t>
            </w:r>
            <w:r>
              <w:rPr>
                <w:rFonts w:ascii="Arial" w:cs="Arial" w:eastAsia="Arial" w:hAnsi="Arial"/>
                <w:sz w:val="23"/>
                <w:szCs w:val="23"/>
                <w:color w:val="auto"/>
                <w:vertAlign w:val="superscript"/>
              </w:rPr>
              <w:t>(1)</w:t>
            </w:r>
          </w:p>
        </w:tc>
        <w:tc>
          <w:tcPr>
            <w:tcW w:w="8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— </w:t>
            </w:r>
          </w:p>
        </w:tc>
        <w:tc>
          <w:tcPr>
            <w:tcW w:w="740" w:type="dxa"/>
            <w:vAlign w:val="bottom"/>
            <w:gridSpan w:val="3"/>
          </w:tcPr>
          <w:p>
            <w:pPr>
              <w:jc w:val="center"/>
              <w:ind w:left="92"/>
              <w:spacing w:after="0" w:line="202" w:lineRule="exact"/>
              <w:rPr>
                <w:sz w:val="20"/>
                <w:szCs w:val="20"/>
                <w:color w:val="auto"/>
              </w:rPr>
            </w:pPr>
            <w:r>
              <w:rPr>
                <w:rFonts w:ascii="Arial" w:cs="Arial" w:eastAsia="Arial" w:hAnsi="Arial"/>
                <w:sz w:val="18"/>
                <w:szCs w:val="18"/>
                <w:color w:val="auto"/>
                <w:w w:val="99"/>
              </w:rPr>
              <w:t>51</w:t>
            </w:r>
          </w:p>
        </w:tc>
        <w:tc>
          <w:tcPr>
            <w:tcW w:w="140" w:type="dxa"/>
            <w:vAlign w:val="bottom"/>
          </w:tcPr>
          <w:p>
            <w:pPr>
              <w:spacing w:after="0"/>
              <w:rPr>
                <w:sz w:val="17"/>
                <w:szCs w:val="17"/>
                <w:color w:val="auto"/>
              </w:rPr>
            </w:pPr>
          </w:p>
        </w:tc>
        <w:tc>
          <w:tcPr>
            <w:tcW w:w="6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0.04</w:t>
            </w:r>
          </w:p>
        </w:tc>
        <w:tc>
          <w:tcPr>
            <w:tcW w:w="60" w:type="dxa"/>
            <w:vAlign w:val="bottom"/>
          </w:tcPr>
          <w:p>
            <w:pPr>
              <w:spacing w:after="0"/>
              <w:rPr>
                <w:sz w:val="17"/>
                <w:szCs w:val="17"/>
                <w:color w:val="auto"/>
              </w:rPr>
            </w:pP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Gain on sale of investment </w:t>
            </w:r>
            <w:r>
              <w:rPr>
                <w:rFonts w:ascii="Arial" w:cs="Arial" w:eastAsia="Arial" w:hAnsi="Arial"/>
                <w:sz w:val="23"/>
                <w:szCs w:val="23"/>
                <w:color w:val="auto"/>
                <w:vertAlign w:val="superscript"/>
              </w:rPr>
              <w:t>(2)</w:t>
            </w:r>
          </w:p>
        </w:tc>
        <w:tc>
          <w:tcPr>
            <w:tcW w:w="8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— </w:t>
            </w:r>
          </w:p>
        </w:tc>
        <w:tc>
          <w:tcPr>
            <w:tcW w:w="740" w:type="dxa"/>
            <w:vAlign w:val="bottom"/>
            <w:gridSpan w:val="3"/>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9"/>
              </w:rPr>
              <w:t>(24)</w:t>
            </w:r>
          </w:p>
        </w:tc>
        <w:tc>
          <w:tcPr>
            <w:tcW w:w="1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7"/>
                <w:szCs w:val="17"/>
                <w:color w:val="auto"/>
              </w:rPr>
            </w:pPr>
          </w:p>
        </w:tc>
      </w:tr>
      <w:tr>
        <w:trPr>
          <w:trHeight w:val="209"/>
        </w:trPr>
        <w:tc>
          <w:tcPr>
            <w:tcW w:w="706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$ 1,311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$ 0.92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7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1"/>
          </w:tcPr>
          <w:p>
            <w:pPr>
              <w:jc w:val="right"/>
              <w:ind w:right="600"/>
              <w:spacing w:after="0"/>
              <w:rPr>
                <w:sz w:val="20"/>
                <w:szCs w:val="20"/>
                <w:color w:val="auto"/>
              </w:rPr>
            </w:pPr>
            <w:r>
              <w:rPr>
                <w:rFonts w:ascii="Arial" w:cs="Arial" w:eastAsia="Arial" w:hAnsi="Arial"/>
                <w:sz w:val="14"/>
                <w:szCs w:val="14"/>
                <w:b w:val="1"/>
                <w:bCs w:val="1"/>
                <w:color w:val="auto"/>
              </w:rPr>
              <w:t>Third Quarter 2024</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6"/>
        </w:trPr>
        <w:tc>
          <w:tcPr>
            <w:tcW w:w="7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4"/>
          </w:tcPr>
          <w:p>
            <w:pPr>
              <w:spacing w:after="0" w:line="147" w:lineRule="exact"/>
              <w:rPr>
                <w:sz w:val="20"/>
                <w:szCs w:val="20"/>
                <w:color w:val="auto"/>
              </w:rPr>
            </w:pPr>
            <w:r>
              <w:rPr>
                <w:rFonts w:ascii="Arial" w:cs="Arial" w:eastAsia="Arial" w:hAnsi="Arial"/>
                <w:sz w:val="14"/>
                <w:szCs w:val="14"/>
                <w:color w:val="auto"/>
              </w:rPr>
              <w:t>Noncont.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2"/>
                <w:szCs w:val="12"/>
                <w:color w:val="auto"/>
              </w:rPr>
            </w:pPr>
          </w:p>
        </w:tc>
      </w:tr>
      <w:tr>
        <w:trPr>
          <w:trHeight w:val="171"/>
        </w:trPr>
        <w:tc>
          <w:tcPr>
            <w:tcW w:w="7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4"/>
          </w:tcPr>
          <w:p>
            <w:pPr>
              <w:ind w:left="80"/>
              <w:spacing w:after="0"/>
              <w:rPr>
                <w:sz w:val="20"/>
                <w:szCs w:val="20"/>
                <w:color w:val="auto"/>
              </w:rPr>
            </w:pPr>
            <w:r>
              <w:rPr>
                <w:rFonts w:ascii="Arial" w:cs="Arial" w:eastAsia="Arial" w:hAnsi="Arial"/>
                <w:sz w:val="14"/>
                <w:szCs w:val="14"/>
                <w:color w:val="auto"/>
              </w:rPr>
              <w:t>Pretax</w:t>
            </w:r>
          </w:p>
        </w:tc>
        <w:tc>
          <w:tcPr>
            <w:tcW w:w="160" w:type="dxa"/>
            <w:vAlign w:val="bottom"/>
          </w:tcPr>
          <w:p>
            <w:pPr>
              <w:spacing w:after="0"/>
              <w:rPr>
                <w:sz w:val="14"/>
                <w:szCs w:val="14"/>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4"/>
                <w:szCs w:val="14"/>
                <w:color w:val="auto"/>
              </w:rPr>
              <w:t>Tax</w:t>
            </w:r>
          </w:p>
        </w:tc>
        <w:tc>
          <w:tcPr>
            <w:tcW w:w="18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color w:val="auto"/>
              </w:rPr>
              <w:t>Interests</w:t>
            </w:r>
          </w:p>
        </w:tc>
        <w:tc>
          <w:tcPr>
            <w:tcW w:w="180" w:type="dxa"/>
            <w:vAlign w:val="bottom"/>
          </w:tcPr>
          <w:p>
            <w:pPr>
              <w:spacing w:after="0"/>
              <w:rPr>
                <w:sz w:val="14"/>
                <w:szCs w:val="14"/>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20" w:type="dxa"/>
            <w:vAlign w:val="bottom"/>
            <w:gridSpan w:val="3"/>
          </w:tcPr>
          <w:p>
            <w:pPr>
              <w:jc w:val="center"/>
              <w:ind w:right="60"/>
              <w:spacing w:after="0"/>
              <w:rPr>
                <w:sz w:val="20"/>
                <w:szCs w:val="20"/>
                <w:color w:val="auto"/>
              </w:rPr>
            </w:pPr>
            <w:r>
              <w:rPr>
                <w:rFonts w:ascii="Arial" w:cs="Arial" w:eastAsia="Arial" w:hAnsi="Arial"/>
                <w:sz w:val="14"/>
                <w:szCs w:val="14"/>
                <w:color w:val="auto"/>
              </w:rPr>
              <w:t>EPS</w:t>
            </w: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$1,507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$289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rPr>
              <w:t>$1,186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$0.83</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Workforce reductions </w:t>
            </w:r>
            <w:r>
              <w:rPr>
                <w:rFonts w:ascii="Arial" w:cs="Arial" w:eastAsia="Arial" w:hAnsi="Arial"/>
                <w:sz w:val="23"/>
                <w:szCs w:val="23"/>
                <w:color w:val="auto"/>
                <w:vertAlign w:val="superscript"/>
              </w:rPr>
              <w:t>(1)</w:t>
            </w:r>
          </w:p>
        </w:tc>
        <w:tc>
          <w:tcPr>
            <w:tcW w:w="8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65</w:t>
            </w:r>
          </w:p>
        </w:tc>
        <w:tc>
          <w:tcPr>
            <w:tcW w:w="80" w:type="dxa"/>
            <w:vAlign w:val="bottom"/>
          </w:tcPr>
          <w:p>
            <w:pPr>
              <w:spacing w:after="0"/>
              <w:rPr>
                <w:sz w:val="17"/>
                <w:szCs w:val="17"/>
                <w:color w:val="auto"/>
              </w:rPr>
            </w:pPr>
          </w:p>
        </w:tc>
        <w:tc>
          <w:tcPr>
            <w:tcW w:w="68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55</w:t>
            </w:r>
          </w:p>
        </w:tc>
        <w:tc>
          <w:tcPr>
            <w:tcW w:w="66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0.04</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(3)</w:t>
            </w:r>
          </w:p>
        </w:tc>
        <w:tc>
          <w:tcPr>
            <w:tcW w:w="8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88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30</w:t>
            </w:r>
          </w:p>
        </w:tc>
        <w:tc>
          <w:tcPr>
            <w:tcW w:w="6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0.02</w:t>
            </w:r>
          </w:p>
        </w:tc>
      </w:tr>
      <w:tr>
        <w:trPr>
          <w:trHeight w:val="210"/>
        </w:trPr>
        <w:tc>
          <w:tcPr>
            <w:tcW w:w="706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22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0.89</w:t>
            </w:r>
          </w:p>
        </w:tc>
        <w:tc>
          <w:tcPr>
            <w:tcW w:w="6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7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1"/>
          </w:tcPr>
          <w:p>
            <w:pPr>
              <w:jc w:val="right"/>
              <w:ind w:right="560"/>
              <w:spacing w:after="0"/>
              <w:rPr>
                <w:sz w:val="20"/>
                <w:szCs w:val="20"/>
                <w:color w:val="auto"/>
              </w:rPr>
            </w:pPr>
            <w:r>
              <w:rPr>
                <w:rFonts w:ascii="Arial" w:cs="Arial" w:eastAsia="Arial" w:hAnsi="Arial"/>
                <w:sz w:val="14"/>
                <w:szCs w:val="14"/>
                <w:b w:val="1"/>
                <w:bCs w:val="1"/>
                <w:color w:val="auto"/>
              </w:rPr>
              <w:t>Fourth Quarter 2023</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6"/>
        </w:trPr>
        <w:tc>
          <w:tcPr>
            <w:tcW w:w="7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4"/>
          </w:tcPr>
          <w:p>
            <w:pPr>
              <w:spacing w:after="0" w:line="147" w:lineRule="exact"/>
              <w:rPr>
                <w:sz w:val="20"/>
                <w:szCs w:val="20"/>
                <w:color w:val="auto"/>
              </w:rPr>
            </w:pPr>
            <w:r>
              <w:rPr>
                <w:rFonts w:ascii="Arial" w:cs="Arial" w:eastAsia="Arial" w:hAnsi="Arial"/>
                <w:sz w:val="14"/>
                <w:szCs w:val="14"/>
                <w:color w:val="auto"/>
              </w:rPr>
              <w:t>Noncont.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2"/>
                <w:szCs w:val="12"/>
                <w:color w:val="auto"/>
              </w:rPr>
            </w:pPr>
          </w:p>
        </w:tc>
      </w:tr>
      <w:tr>
        <w:trPr>
          <w:trHeight w:val="171"/>
        </w:trPr>
        <w:tc>
          <w:tcPr>
            <w:tcW w:w="7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4"/>
          </w:tcPr>
          <w:p>
            <w:pPr>
              <w:ind w:left="80"/>
              <w:spacing w:after="0"/>
              <w:rPr>
                <w:sz w:val="20"/>
                <w:szCs w:val="20"/>
                <w:color w:val="auto"/>
              </w:rPr>
            </w:pPr>
            <w:r>
              <w:rPr>
                <w:rFonts w:ascii="Arial" w:cs="Arial" w:eastAsia="Arial" w:hAnsi="Arial"/>
                <w:sz w:val="14"/>
                <w:szCs w:val="14"/>
                <w:color w:val="auto"/>
              </w:rPr>
              <w:t>Pretax</w:t>
            </w:r>
          </w:p>
        </w:tc>
        <w:tc>
          <w:tcPr>
            <w:tcW w:w="160" w:type="dxa"/>
            <w:vAlign w:val="bottom"/>
          </w:tcPr>
          <w:p>
            <w:pPr>
              <w:spacing w:after="0"/>
              <w:rPr>
                <w:sz w:val="14"/>
                <w:szCs w:val="14"/>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4"/>
                <w:szCs w:val="14"/>
                <w:color w:val="auto"/>
              </w:rPr>
              <w:t>Tax</w:t>
            </w:r>
          </w:p>
        </w:tc>
        <w:tc>
          <w:tcPr>
            <w:tcW w:w="18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color w:val="auto"/>
              </w:rPr>
              <w:t>Interests</w:t>
            </w:r>
          </w:p>
        </w:tc>
        <w:tc>
          <w:tcPr>
            <w:tcW w:w="180" w:type="dxa"/>
            <w:vAlign w:val="bottom"/>
          </w:tcPr>
          <w:p>
            <w:pPr>
              <w:spacing w:after="0"/>
              <w:rPr>
                <w:sz w:val="14"/>
                <w:szCs w:val="14"/>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20" w:type="dxa"/>
            <w:vAlign w:val="bottom"/>
            <w:gridSpan w:val="3"/>
          </w:tcPr>
          <w:p>
            <w:pPr>
              <w:jc w:val="center"/>
              <w:ind w:right="60"/>
              <w:spacing w:after="0"/>
              <w:rPr>
                <w:sz w:val="20"/>
                <w:szCs w:val="20"/>
                <w:color w:val="auto"/>
              </w:rPr>
            </w:pPr>
            <w:r>
              <w:rPr>
                <w:rFonts w:ascii="Arial" w:cs="Arial" w:eastAsia="Arial" w:hAnsi="Arial"/>
                <w:sz w:val="14"/>
                <w:szCs w:val="14"/>
                <w:color w:val="auto"/>
              </w:rPr>
              <w:t>EPS</w:t>
            </w: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$1,433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$284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$ 1,113</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$0.77</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(3)</w:t>
            </w:r>
          </w:p>
        </w:tc>
        <w:tc>
          <w:tcPr>
            <w:tcW w:w="8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56</w:t>
            </w:r>
          </w:p>
        </w:tc>
        <w:tc>
          <w:tcPr>
            <w:tcW w:w="80" w:type="dxa"/>
            <w:vAlign w:val="bottom"/>
          </w:tcPr>
          <w:p>
            <w:pPr>
              <w:spacing w:after="0"/>
              <w:rPr>
                <w:sz w:val="17"/>
                <w:szCs w:val="17"/>
                <w:color w:val="auto"/>
              </w:rPr>
            </w:pPr>
          </w:p>
        </w:tc>
        <w:tc>
          <w:tcPr>
            <w:tcW w:w="68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40</w:t>
            </w:r>
          </w:p>
        </w:tc>
        <w:tc>
          <w:tcPr>
            <w:tcW w:w="66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Argentina devaluation </w:t>
            </w:r>
            <w:r>
              <w:rPr>
                <w:rFonts w:ascii="Arial" w:cs="Arial" w:eastAsia="Arial" w:hAnsi="Arial"/>
                <w:sz w:val="23"/>
                <w:szCs w:val="23"/>
                <w:color w:val="auto"/>
                <w:vertAlign w:val="superscript"/>
              </w:rPr>
              <w:t>(4)</w:t>
            </w:r>
          </w:p>
        </w:tc>
        <w:tc>
          <w:tcPr>
            <w:tcW w:w="8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90</w:t>
            </w:r>
          </w:p>
        </w:tc>
        <w:tc>
          <w:tcPr>
            <w:tcW w:w="6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0.06</w:t>
            </w:r>
          </w:p>
        </w:tc>
      </w:tr>
      <w:tr>
        <w:trPr>
          <w:trHeight w:val="210"/>
        </w:trPr>
        <w:tc>
          <w:tcPr>
            <w:tcW w:w="706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22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0.86</w:t>
            </w:r>
          </w:p>
        </w:tc>
        <w:tc>
          <w:tcPr>
            <w:tcW w:w="6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Does not add due to rounding.</w:t>
      </w:r>
    </w:p>
    <w:p>
      <w:pPr>
        <w:sectPr>
          <w:pgSz w:w="11900" w:h="16838" w:orient="portrait"/>
          <w:cols w:equalWidth="0" w:num="1">
            <w:col w:w="11020"/>
          </w:cols>
          <w:pgMar w:left="440" w:top="269" w:right="439" w:bottom="1440" w:gutter="0" w:footer="0" w:header="0"/>
        </w:sectPr>
      </w:pPr>
    </w:p>
    <w:bookmarkStart w:id="22" w:name="page23"/>
    <w:bookmarkEnd w:id="22"/>
    <w:tbl>
      <w:tblPr>
        <w:tblLayout w:type="fixed"/>
        <w:tblInd w:w="4"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0" w:type="dxa"/>
            <w:vAlign w:val="bottom"/>
            <w:gridSpan w:val="10"/>
          </w:tcPr>
          <w:p>
            <w:pPr>
              <w:ind w:left="14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6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right"/>
              <w:ind w:right="760"/>
              <w:spacing w:after="0"/>
              <w:rPr>
                <w:sz w:val="20"/>
                <w:szCs w:val="20"/>
                <w:color w:val="auto"/>
              </w:rPr>
            </w:pPr>
            <w:r>
              <w:rPr>
                <w:rFonts w:ascii="Arial" w:cs="Arial" w:eastAsia="Arial" w:hAnsi="Arial"/>
                <w:sz w:val="14"/>
                <w:szCs w:val="14"/>
                <w:b w:val="1"/>
                <w:bCs w:val="1"/>
                <w:color w:val="auto"/>
              </w:rPr>
              <w:t>Twelve Months 2024</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6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692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820" w:type="dxa"/>
            <w:vAlign w:val="bottom"/>
            <w:gridSpan w:val="3"/>
          </w:tcPr>
          <w:p>
            <w:pPr>
              <w:ind w:left="160"/>
              <w:spacing w:after="0"/>
              <w:rPr>
                <w:sz w:val="20"/>
                <w:szCs w:val="20"/>
                <w:color w:val="auto"/>
              </w:rPr>
            </w:pPr>
            <w:r>
              <w:rPr>
                <w:rFonts w:ascii="Arial" w:cs="Arial" w:eastAsia="Arial" w:hAnsi="Arial"/>
                <w:sz w:val="14"/>
                <w:szCs w:val="14"/>
                <w:color w:val="auto"/>
              </w:rPr>
              <w:t>Tax</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EPS</w:t>
            </w:r>
          </w:p>
        </w:tc>
      </w:tr>
      <w:tr>
        <w:trPr>
          <w:trHeight w:val="196"/>
        </w:trPr>
        <w:tc>
          <w:tcPr>
            <w:tcW w:w="69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$5,672</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$1,093</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$4,461</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$ 3.11</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692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Workforce reductions </w:t>
            </w:r>
            <w:r>
              <w:rPr>
                <w:rFonts w:ascii="Arial" w:cs="Arial" w:eastAsia="Arial" w:hAnsi="Arial"/>
                <w:sz w:val="23"/>
                <w:szCs w:val="23"/>
                <w:color w:val="auto"/>
                <w:vertAlign w:val="superscript"/>
              </w:rPr>
              <w:t>(1)</w:t>
            </w:r>
          </w:p>
        </w:tc>
        <w:tc>
          <w:tcPr>
            <w:tcW w:w="8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237</w:t>
            </w:r>
          </w:p>
        </w:tc>
        <w:tc>
          <w:tcPr>
            <w:tcW w:w="90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37</w:t>
            </w:r>
          </w:p>
        </w:tc>
        <w:tc>
          <w:tcPr>
            <w:tcW w:w="180" w:type="dxa"/>
            <w:vAlign w:val="bottom"/>
          </w:tcPr>
          <w:p>
            <w:pPr>
              <w:spacing w:after="0"/>
              <w:rPr>
                <w:sz w:val="17"/>
                <w:szCs w:val="17"/>
                <w:color w:val="auto"/>
              </w:rPr>
            </w:pPr>
          </w:p>
        </w:tc>
        <w:tc>
          <w:tcPr>
            <w:tcW w:w="6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200</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0.14</w:t>
            </w:r>
          </w:p>
        </w:tc>
      </w:tr>
      <w:tr>
        <w:trPr>
          <w:trHeight w:val="203"/>
        </w:trPr>
        <w:tc>
          <w:tcPr>
            <w:tcW w:w="6920" w:type="dxa"/>
            <w:vAlign w:val="bottom"/>
            <w:tcBorders>
              <w:right w:val="single" w:sz="8" w:color="CCEEFF"/>
            </w:tcBorders>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(5)</w:t>
            </w:r>
          </w:p>
        </w:tc>
        <w:tc>
          <w:tcPr>
            <w:tcW w:w="8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166</w:t>
            </w:r>
          </w:p>
        </w:tc>
        <w:tc>
          <w:tcPr>
            <w:tcW w:w="900" w:type="dxa"/>
            <w:vAlign w:val="bottom"/>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w:t>
            </w: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112</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0.08</w:t>
            </w:r>
          </w:p>
        </w:tc>
      </w:tr>
      <w:tr>
        <w:trPr>
          <w:trHeight w:val="203"/>
        </w:trPr>
        <w:tc>
          <w:tcPr>
            <w:tcW w:w="692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Asset impairments </w:t>
            </w:r>
            <w:r>
              <w:rPr>
                <w:rFonts w:ascii="Arial" w:cs="Arial" w:eastAsia="Arial" w:hAnsi="Arial"/>
                <w:sz w:val="23"/>
                <w:szCs w:val="23"/>
                <w:color w:val="auto"/>
                <w:vertAlign w:val="superscript"/>
              </w:rPr>
              <w:t>(1)</w:t>
            </w:r>
          </w:p>
        </w:tc>
        <w:tc>
          <w:tcPr>
            <w:tcW w:w="8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162</w:t>
            </w:r>
          </w:p>
        </w:tc>
        <w:tc>
          <w:tcPr>
            <w:tcW w:w="90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23</w:t>
            </w:r>
          </w:p>
        </w:tc>
        <w:tc>
          <w:tcPr>
            <w:tcW w:w="180" w:type="dxa"/>
            <w:vAlign w:val="bottom"/>
          </w:tcPr>
          <w:p>
            <w:pPr>
              <w:spacing w:after="0"/>
              <w:rPr>
                <w:sz w:val="17"/>
                <w:szCs w:val="17"/>
                <w:color w:val="auto"/>
              </w:rPr>
            </w:pPr>
          </w:p>
        </w:tc>
        <w:tc>
          <w:tcPr>
            <w:tcW w:w="6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139</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0.10</w:t>
            </w:r>
          </w:p>
        </w:tc>
      </w:tr>
      <w:tr>
        <w:trPr>
          <w:trHeight w:val="203"/>
        </w:trPr>
        <w:tc>
          <w:tcPr>
            <w:tcW w:w="6920" w:type="dxa"/>
            <w:vAlign w:val="bottom"/>
            <w:tcBorders>
              <w:right w:val="single" w:sz="8" w:color="CCEEFF"/>
            </w:tcBorders>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Gain on sale of investment </w:t>
            </w:r>
            <w:r>
              <w:rPr>
                <w:rFonts w:ascii="Arial" w:cs="Arial" w:eastAsia="Arial" w:hAnsi="Arial"/>
                <w:sz w:val="23"/>
                <w:szCs w:val="23"/>
                <w:color w:val="auto"/>
                <w:vertAlign w:val="superscript"/>
              </w:rPr>
              <w:t>(2)</w:t>
            </w:r>
          </w:p>
        </w:tc>
        <w:tc>
          <w:tcPr>
            <w:tcW w:w="8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280"/>
              <w:spacing w:after="0" w:line="202" w:lineRule="exact"/>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(0.02)</w:t>
            </w:r>
          </w:p>
        </w:tc>
      </w:tr>
      <w:tr>
        <w:trPr>
          <w:trHeight w:val="209"/>
        </w:trPr>
        <w:tc>
          <w:tcPr>
            <w:tcW w:w="692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6,213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1,180</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4,888</w:t>
            </w:r>
          </w:p>
        </w:tc>
        <w:tc>
          <w:tcPr>
            <w:tcW w:w="3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$ 3.41</w:t>
            </w:r>
          </w:p>
        </w:tc>
        <w:tc>
          <w:tcPr>
            <w:tcW w:w="12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69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8"/>
          </w:tcPr>
          <w:p>
            <w:pPr>
              <w:jc w:val="right"/>
              <w:ind w:right="800"/>
              <w:spacing w:after="0"/>
              <w:rPr>
                <w:sz w:val="20"/>
                <w:szCs w:val="20"/>
                <w:color w:val="auto"/>
              </w:rPr>
            </w:pPr>
            <w:r>
              <w:rPr>
                <w:rFonts w:ascii="Arial" w:cs="Arial" w:eastAsia="Arial" w:hAnsi="Arial"/>
                <w:sz w:val="14"/>
                <w:szCs w:val="14"/>
                <w:b w:val="1"/>
                <w:bCs w:val="1"/>
                <w:color w:val="auto"/>
              </w:rPr>
              <w:t>Twelve Months 2023</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6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6920" w:type="dxa"/>
            <w:vAlign w:val="bottom"/>
          </w:tcPr>
          <w:p>
            <w:pPr>
              <w:spacing w:after="0"/>
              <w:rPr>
                <w:sz w:val="14"/>
                <w:szCs w:val="14"/>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4"/>
                <w:szCs w:val="14"/>
                <w:color w:val="auto"/>
                <w:w w:val="98"/>
              </w:rPr>
              <w:t>Pretax</w:t>
            </w:r>
          </w:p>
        </w:tc>
        <w:tc>
          <w:tcPr>
            <w:tcW w:w="80" w:type="dxa"/>
            <w:vAlign w:val="bottom"/>
          </w:tcPr>
          <w:p>
            <w:pPr>
              <w:spacing w:after="0"/>
              <w:rPr>
                <w:sz w:val="14"/>
                <w:szCs w:val="14"/>
                <w:color w:val="auto"/>
              </w:rPr>
            </w:pPr>
          </w:p>
        </w:tc>
        <w:tc>
          <w:tcPr>
            <w:tcW w:w="820" w:type="dxa"/>
            <w:vAlign w:val="bottom"/>
            <w:gridSpan w:val="3"/>
          </w:tcPr>
          <w:p>
            <w:pPr>
              <w:ind w:left="100"/>
              <w:spacing w:after="0"/>
              <w:rPr>
                <w:sz w:val="20"/>
                <w:szCs w:val="20"/>
                <w:color w:val="auto"/>
              </w:rPr>
            </w:pPr>
            <w:r>
              <w:rPr>
                <w:rFonts w:ascii="Arial" w:cs="Arial" w:eastAsia="Arial" w:hAnsi="Arial"/>
                <w:sz w:val="14"/>
                <w:szCs w:val="14"/>
                <w:color w:val="auto"/>
              </w:rPr>
              <w:t>Tax</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EPS</w:t>
            </w:r>
          </w:p>
        </w:tc>
      </w:tr>
      <w:tr>
        <w:trPr>
          <w:trHeight w:val="196"/>
        </w:trPr>
        <w:tc>
          <w:tcPr>
            <w:tcW w:w="69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$5,282</w:t>
            </w: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$1,007</w:t>
            </w: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$4,203</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$ 2.91</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692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Argentina devaluation </w:t>
            </w:r>
            <w:r>
              <w:rPr>
                <w:rFonts w:ascii="Arial" w:cs="Arial" w:eastAsia="Arial" w:hAnsi="Arial"/>
                <w:sz w:val="23"/>
                <w:szCs w:val="23"/>
                <w:color w:val="auto"/>
                <w:vertAlign w:val="superscript"/>
              </w:rPr>
              <w:t>(4)</w:t>
            </w: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— </w:t>
            </w:r>
          </w:p>
        </w:tc>
        <w:tc>
          <w:tcPr>
            <w:tcW w:w="180" w:type="dxa"/>
            <w:vAlign w:val="bottom"/>
          </w:tcPr>
          <w:p>
            <w:pPr>
              <w:spacing w:after="0"/>
              <w:rPr>
                <w:sz w:val="17"/>
                <w:szCs w:val="17"/>
                <w:color w:val="auto"/>
              </w:rPr>
            </w:pPr>
          </w:p>
        </w:tc>
        <w:tc>
          <w:tcPr>
            <w:tcW w:w="6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90</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0.06</w:t>
            </w:r>
          </w:p>
        </w:tc>
      </w:tr>
      <w:tr>
        <w:trPr>
          <w:trHeight w:val="203"/>
        </w:trPr>
        <w:tc>
          <w:tcPr>
            <w:tcW w:w="6920" w:type="dxa"/>
            <w:vAlign w:val="bottom"/>
            <w:tcBorders>
              <w:right w:val="single" w:sz="8" w:color="CCEEFF"/>
            </w:tcBorders>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(6)</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40</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692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Gain on sale of Liberty shares </w:t>
            </w:r>
            <w:r>
              <w:rPr>
                <w:rFonts w:ascii="Arial" w:cs="Arial" w:eastAsia="Arial" w:hAnsi="Arial"/>
                <w:sz w:val="23"/>
                <w:szCs w:val="23"/>
                <w:color w:val="auto"/>
                <w:vertAlign w:val="superscript"/>
              </w:rPr>
              <w:t>(2)</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w:t>
            </w:r>
          </w:p>
        </w:tc>
        <w:tc>
          <w:tcPr>
            <w:tcW w:w="26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(28)</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(0.02)</w:t>
            </w:r>
          </w:p>
        </w:tc>
      </w:tr>
      <w:tr>
        <w:trPr>
          <w:trHeight w:val="27"/>
        </w:trPr>
        <w:tc>
          <w:tcPr>
            <w:tcW w:w="69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9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SLB net income, excluding charges &amp; credits</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5,392</w:t>
            </w:r>
          </w:p>
        </w:tc>
        <w:tc>
          <w:tcPr>
            <w:tcW w:w="2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80</w:t>
            </w: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4,305</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$ 2.98</w:t>
            </w:r>
          </w:p>
        </w:tc>
      </w:tr>
      <w:tr>
        <w:trPr>
          <w:trHeight w:val="20"/>
        </w:trPr>
        <w:tc>
          <w:tcPr>
            <w:tcW w:w="6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 xml:space="preserve">Classified in </w:t>
      </w:r>
      <w:r>
        <w:rPr>
          <w:rFonts w:ascii="Arial" w:cs="Arial" w:eastAsia="Arial" w:hAnsi="Arial"/>
          <w:sz w:val="18"/>
          <w:szCs w:val="18"/>
          <w:i w:val="1"/>
          <w:iCs w:val="1"/>
          <w:color w:val="auto"/>
        </w:rPr>
        <w:t>Restructuring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w:t>
      </w:r>
      <w:r>
        <w:rPr>
          <w:rFonts w:ascii="Arial" w:cs="Arial" w:eastAsia="Arial" w:hAnsi="Arial"/>
          <w:sz w:val="18"/>
          <w:szCs w:val="18"/>
          <w:color w:val="auto"/>
        </w:rPr>
        <w:t>.</w:t>
      </w:r>
    </w:p>
    <w:p>
      <w:pPr>
        <w:ind w:left="424" w:hanging="424"/>
        <w:spacing w:after="0" w:line="183" w:lineRule="auto"/>
        <w:tabs>
          <w:tab w:leader="none" w:pos="424"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w:t>
      </w:r>
      <w:r>
        <w:rPr>
          <w:rFonts w:ascii="Arial" w:cs="Arial" w:eastAsia="Arial" w:hAnsi="Arial"/>
          <w:sz w:val="16"/>
          <w:szCs w:val="16"/>
          <w:color w:val="auto"/>
        </w:rPr>
        <w:t>.</w:t>
      </w:r>
    </w:p>
    <w:p>
      <w:pPr>
        <w:ind w:left="424" w:right="200" w:hanging="424"/>
        <w:spacing w:after="0" w:line="201" w:lineRule="auto"/>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 xml:space="preserve">During the third quarter of 2024, $14 million of these charges were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of Income </w:t>
      </w:r>
      <w:r>
        <w:rPr>
          <w:rFonts w:ascii="Arial" w:cs="Arial" w:eastAsia="Arial" w:hAnsi="Arial"/>
          <w:sz w:val="18"/>
          <w:szCs w:val="18"/>
          <w:color w:val="auto"/>
        </w:rPr>
        <w:t>with the remaining $33 million classified in</w:t>
      </w:r>
      <w:r>
        <w:rPr>
          <w:rFonts w:ascii="Arial" w:cs="Arial" w:eastAsia="Arial" w:hAnsi="Arial"/>
          <w:sz w:val="18"/>
          <w:szCs w:val="18"/>
          <w:i w:val="1"/>
          <w:iCs w:val="1"/>
          <w:color w:val="auto"/>
        </w:rPr>
        <w:t xml:space="preserve"> Merger &amp; integration. </w:t>
      </w:r>
      <w:r>
        <w:rPr>
          <w:rFonts w:ascii="Arial" w:cs="Arial" w:eastAsia="Arial" w:hAnsi="Arial"/>
          <w:sz w:val="18"/>
          <w:szCs w:val="18"/>
          <w:color w:val="auto"/>
        </w:rPr>
        <w:t>During the fourth quarter of 2023, $11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these charges were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with the remaining $45 million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w:t>
      </w:r>
    </w:p>
    <w:p>
      <w:pPr>
        <w:ind w:left="424" w:hanging="424"/>
        <w:spacing w:after="0" w:line="183" w:lineRule="auto"/>
        <w:tabs>
          <w:tab w:leader="none" w:pos="424"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Cost of revenue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w:t>
      </w:r>
      <w:r>
        <w:rPr>
          <w:rFonts w:ascii="Arial" w:cs="Arial" w:eastAsia="Arial" w:hAnsi="Arial"/>
          <w:sz w:val="16"/>
          <w:szCs w:val="16"/>
          <w:color w:val="auto"/>
        </w:rPr>
        <w:t>.</w:t>
      </w:r>
    </w:p>
    <w:p>
      <w:pPr>
        <w:ind w:left="424" w:right="80" w:hanging="424"/>
        <w:spacing w:after="0" w:line="187" w:lineRule="auto"/>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 xml:space="preserve">During the full year 2024, $43 million of these charges were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Consolidation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Income </w:t>
      </w:r>
      <w:r>
        <w:rPr>
          <w:rFonts w:ascii="Arial" w:cs="Arial" w:eastAsia="Arial" w:hAnsi="Arial"/>
          <w:sz w:val="18"/>
          <w:szCs w:val="18"/>
          <w:color w:val="auto"/>
        </w:rPr>
        <w:t>with the remaining $123 million classified in</w:t>
      </w:r>
      <w:r>
        <w:rPr>
          <w:rFonts w:ascii="Arial" w:cs="Arial" w:eastAsia="Arial" w:hAnsi="Arial"/>
          <w:sz w:val="18"/>
          <w:szCs w:val="18"/>
          <w:i w:val="1"/>
          <w:iCs w:val="1"/>
          <w:color w:val="auto"/>
        </w:rPr>
        <w:t xml:space="preserve"> Merger &amp; integration</w:t>
      </w:r>
      <w:r>
        <w:rPr>
          <w:rFonts w:ascii="Arial" w:cs="Arial" w:eastAsia="Arial" w:hAnsi="Arial"/>
          <w:sz w:val="18"/>
          <w:szCs w:val="18"/>
          <w:color w:val="auto"/>
        </w:rPr>
        <w:t>.</w:t>
      </w:r>
    </w:p>
    <w:p>
      <w:pPr>
        <w:spacing w:after="0" w:line="1" w:lineRule="exact"/>
        <w:rPr>
          <w:rFonts w:ascii="Arial" w:cs="Arial" w:eastAsia="Arial" w:hAnsi="Arial"/>
          <w:sz w:val="27"/>
          <w:szCs w:val="27"/>
          <w:color w:val="auto"/>
          <w:vertAlign w:val="superscript"/>
        </w:rPr>
      </w:pPr>
    </w:p>
    <w:p>
      <w:pPr>
        <w:ind w:left="424" w:right="140" w:hanging="424"/>
        <w:spacing w:after="0" w:line="196" w:lineRule="auto"/>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 xml:space="preserve">During the full year 2023, $11 million of these charges were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Income </w:t>
      </w:r>
      <w:r>
        <w:rPr>
          <w:rFonts w:ascii="Arial" w:cs="Arial" w:eastAsia="Arial" w:hAnsi="Arial"/>
          <w:sz w:val="18"/>
          <w:szCs w:val="18"/>
          <w:color w:val="auto"/>
        </w:rPr>
        <w:t>with the remaining $45 million classified in</w:t>
      </w:r>
      <w:r>
        <w:rPr>
          <w:rFonts w:ascii="Arial" w:cs="Arial" w:eastAsia="Arial" w:hAnsi="Arial"/>
          <w:sz w:val="18"/>
          <w:szCs w:val="18"/>
          <w:i w:val="1"/>
          <w:iCs w:val="1"/>
          <w:color w:val="auto"/>
        </w:rPr>
        <w:t xml:space="preserve"> Merger &amp; integration</w:t>
      </w:r>
      <w:r>
        <w:rPr>
          <w:rFonts w:ascii="Arial" w:cs="Arial" w:eastAsia="Arial" w:hAnsi="Arial"/>
          <w:sz w:val="18"/>
          <w:szCs w:val="18"/>
          <w:color w:val="auto"/>
        </w:rPr>
        <w:t>.</w:t>
      </w:r>
    </w:p>
    <w:p>
      <w:pPr>
        <w:sectPr>
          <w:pgSz w:w="11900" w:h="16838" w:orient="portrait"/>
          <w:cols w:equalWidth="0" w:num="1">
            <w:col w:w="11024"/>
          </w:cols>
          <w:pgMar w:left="436" w:top="279"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Divisions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60" w:type="dxa"/>
            <w:vAlign w:val="bottom"/>
            <w:gridSpan w:val="7"/>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7"/>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7"/>
          </w:tcPr>
          <w:p>
            <w:pPr>
              <w:ind w:left="240"/>
              <w:spacing w:after="0" w:line="155" w:lineRule="exact"/>
              <w:rPr>
                <w:sz w:val="20"/>
                <w:szCs w:val="20"/>
                <w:color w:val="auto"/>
              </w:rPr>
            </w:pPr>
            <w:r>
              <w:rPr>
                <w:rFonts w:ascii="Arial" w:cs="Arial" w:eastAsia="Arial" w:hAnsi="Arial"/>
                <w:sz w:val="14"/>
                <w:szCs w:val="14"/>
                <w:b w:val="1"/>
                <w:bCs w:val="1"/>
                <w:color w:val="auto"/>
              </w:rPr>
              <w:t>Dec. 31, 2024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6"/>
          </w:tcPr>
          <w:p>
            <w:pPr>
              <w:jc w:val="right"/>
              <w:ind w:right="228"/>
              <w:spacing w:after="0" w:line="155" w:lineRule="exact"/>
              <w:rPr>
                <w:sz w:val="20"/>
                <w:szCs w:val="20"/>
                <w:color w:val="auto"/>
              </w:rPr>
            </w:pPr>
            <w:r>
              <w:rPr>
                <w:rFonts w:ascii="Arial" w:cs="Arial" w:eastAsia="Arial" w:hAnsi="Arial"/>
                <w:sz w:val="14"/>
                <w:szCs w:val="14"/>
                <w:color w:val="auto"/>
              </w:rPr>
              <w:t>Sept. 30, 2024</w:t>
            </w:r>
          </w:p>
        </w:tc>
        <w:tc>
          <w:tcPr>
            <w:tcW w:w="200" w:type="dxa"/>
            <w:vAlign w:val="bottom"/>
          </w:tcPr>
          <w:p>
            <w:pPr>
              <w:spacing w:after="0"/>
              <w:rPr>
                <w:sz w:val="13"/>
                <w:szCs w:val="13"/>
                <w:color w:val="auto"/>
              </w:rPr>
            </w:pPr>
          </w:p>
        </w:tc>
        <w:tc>
          <w:tcPr>
            <w:tcW w:w="1340" w:type="dxa"/>
            <w:vAlign w:val="bottom"/>
            <w:gridSpan w:val="6"/>
          </w:tcPr>
          <w:p>
            <w:pPr>
              <w:jc w:val="right"/>
              <w:ind w:right="150"/>
              <w:spacing w:after="0" w:line="155" w:lineRule="exact"/>
              <w:rPr>
                <w:sz w:val="20"/>
                <w:szCs w:val="20"/>
                <w:color w:val="auto"/>
              </w:rPr>
            </w:pPr>
            <w:r>
              <w:rPr>
                <w:rFonts w:ascii="Arial" w:cs="Arial" w:eastAsia="Arial" w:hAnsi="Arial"/>
                <w:sz w:val="14"/>
                <w:szCs w:val="14"/>
                <w:color w:val="auto"/>
              </w:rPr>
              <w:t>Dec. 31, 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color w:val="auto"/>
              </w:rPr>
              <w:t>Income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4"/>
          </w:tcPr>
          <w:p>
            <w:pPr>
              <w:ind w:left="40"/>
              <w:spacing w:after="0"/>
              <w:rPr>
                <w:sz w:val="20"/>
                <w:szCs w:val="20"/>
                <w:color w:val="auto"/>
              </w:rPr>
            </w:pPr>
            <w:r>
              <w:rPr>
                <w:rFonts w:ascii="Arial" w:cs="Arial" w:eastAsia="Arial" w:hAnsi="Arial"/>
                <w:sz w:val="14"/>
                <w:szCs w:val="14"/>
                <w:b w:val="1"/>
                <w:bCs w:val="1"/>
                <w:color w:val="auto"/>
              </w:rPr>
              <w:t>Before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4"/>
          </w:tcPr>
          <w:p>
            <w:pPr>
              <w:jc w:val="center"/>
              <w:ind w:right="8"/>
              <w:spacing w:after="0"/>
              <w:rPr>
                <w:sz w:val="20"/>
                <w:szCs w:val="20"/>
                <w:color w:val="auto"/>
              </w:rPr>
            </w:pPr>
            <w:r>
              <w:rPr>
                <w:rFonts w:ascii="Arial" w:cs="Arial" w:eastAsia="Arial" w:hAnsi="Arial"/>
                <w:sz w:val="14"/>
                <w:szCs w:val="14"/>
                <w:color w:val="auto"/>
              </w:rPr>
              <w:t>Before</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Revenue</w:t>
            </w:r>
          </w:p>
        </w:tc>
        <w:tc>
          <w:tcPr>
            <w:tcW w:w="220" w:type="dxa"/>
            <w:vAlign w:val="bottom"/>
          </w:tcPr>
          <w:p>
            <w:pPr>
              <w:spacing w:after="0"/>
              <w:rPr>
                <w:sz w:val="14"/>
                <w:szCs w:val="14"/>
                <w:color w:val="auto"/>
              </w:rPr>
            </w:pPr>
          </w:p>
        </w:tc>
        <w:tc>
          <w:tcPr>
            <w:tcW w:w="580" w:type="dxa"/>
            <w:vAlign w:val="bottom"/>
            <w:gridSpan w:val="4"/>
          </w:tcPr>
          <w:p>
            <w:pPr>
              <w:ind w:left="80"/>
              <w:spacing w:after="0"/>
              <w:rPr>
                <w:sz w:val="20"/>
                <w:szCs w:val="20"/>
                <w:color w:val="auto"/>
              </w:rPr>
            </w:pPr>
            <w:r>
              <w:rPr>
                <w:rFonts w:ascii="Arial" w:cs="Arial" w:eastAsia="Arial" w:hAnsi="Arial"/>
                <w:sz w:val="14"/>
                <w:szCs w:val="14"/>
                <w:b w:val="1"/>
                <w:bCs w:val="1"/>
                <w:color w:val="auto"/>
              </w:rPr>
              <w:t>Taxes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Revenue</w:t>
            </w:r>
          </w:p>
        </w:tc>
        <w:tc>
          <w:tcPr>
            <w:tcW w:w="640" w:type="dxa"/>
            <w:vAlign w:val="bottom"/>
            <w:gridSpan w:val="4"/>
          </w:tcPr>
          <w:p>
            <w:pPr>
              <w:jc w:val="center"/>
              <w:ind w:right="8"/>
              <w:spacing w:after="0"/>
              <w:rPr>
                <w:sz w:val="20"/>
                <w:szCs w:val="20"/>
                <w:color w:val="auto"/>
              </w:rPr>
            </w:pPr>
            <w:r>
              <w:rPr>
                <w:rFonts w:ascii="Arial" w:cs="Arial" w:eastAsia="Arial" w:hAnsi="Arial"/>
                <w:sz w:val="14"/>
                <w:szCs w:val="14"/>
                <w:color w:val="auto"/>
                <w:w w:val="94"/>
              </w:rPr>
              <w:t>Taxes</w:t>
            </w:r>
          </w:p>
        </w:tc>
        <w:tc>
          <w:tcPr>
            <w:tcW w:w="20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w w:val="92"/>
              </w:rPr>
              <w:t>Revenue</w:t>
            </w:r>
          </w:p>
        </w:tc>
        <w:tc>
          <w:tcPr>
            <w:tcW w:w="14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6"/>
              </w:rPr>
              <w:t>$ 1,156</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442</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$ 1,088</w:t>
            </w: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386</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lef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$ 1,049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356</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1,810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370</w:t>
            </w:r>
          </w:p>
        </w:tc>
        <w:tc>
          <w:tcPr>
            <w:tcW w:w="10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1,823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w w:val="93"/>
              </w:rPr>
              <w:t>367</w:t>
            </w:r>
          </w:p>
        </w:tc>
        <w:tc>
          <w:tcPr>
            <w:tcW w:w="200" w:type="dxa"/>
            <w:vAlign w:val="bottom"/>
          </w:tcPr>
          <w:p>
            <w:pPr>
              <w:spacing w:after="0"/>
              <w:rPr>
                <w:sz w:val="17"/>
                <w:szCs w:val="17"/>
                <w:color w:val="auto"/>
              </w:rPr>
            </w:pPr>
          </w:p>
        </w:tc>
        <w:tc>
          <w:tcPr>
            <w:tcW w:w="6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1,735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3,267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681</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3,312</w:t>
            </w:r>
          </w:p>
        </w:tc>
        <w:tc>
          <w:tcPr>
            <w:tcW w:w="2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w w:val="93"/>
              </w:rPr>
              <w:t>714</w:t>
            </w:r>
          </w:p>
        </w:tc>
        <w:tc>
          <w:tcPr>
            <w:tcW w:w="2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left w:val="single" w:sz="8" w:color="CCEEFF"/>
            </w:tcBorders>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770</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3,197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506</w:t>
            </w:r>
          </w:p>
        </w:tc>
        <w:tc>
          <w:tcPr>
            <w:tcW w:w="10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3,103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w w:val="93"/>
              </w:rPr>
              <w:t>519</w:t>
            </w:r>
          </w:p>
        </w:tc>
        <w:tc>
          <w:tcPr>
            <w:tcW w:w="200" w:type="dxa"/>
            <w:vAlign w:val="bottom"/>
          </w:tcPr>
          <w:p>
            <w:pPr>
              <w:spacing w:after="0"/>
              <w:rPr>
                <w:sz w:val="17"/>
                <w:szCs w:val="17"/>
                <w:color w:val="auto"/>
              </w:rPr>
            </w:pPr>
          </w:p>
        </w:tc>
        <w:tc>
          <w:tcPr>
            <w:tcW w:w="6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2,944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(146)</w:t>
            </w:r>
          </w:p>
        </w:tc>
        <w:tc>
          <w:tcPr>
            <w:tcW w:w="10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(81)</w:t>
            </w: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2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left w:val="single" w:sz="8" w:color="CCEEFF"/>
            </w:tcBorders>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4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1,918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1,902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1,868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6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(187)</w:t>
            </w:r>
          </w:p>
        </w:tc>
        <w:tc>
          <w:tcPr>
            <w:tcW w:w="20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3"/>
                <w:szCs w:val="23"/>
                <w:color w:val="auto"/>
                <w:vertAlign w:val="superscript"/>
              </w:rPr>
              <w:t>(1)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36</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(128)</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6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20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3"/>
                <w:szCs w:val="23"/>
                <w:color w:val="auto"/>
                <w:vertAlign w:val="superscript"/>
              </w:rPr>
              <w:t>(2)</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(262)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(112)</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80" w:type="dxa"/>
            <w:vAlign w:val="bottom"/>
            <w:tcBorders>
              <w:lef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$ 9,284</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p>
        </w:tc>
        <w:tc>
          <w:tcPr>
            <w:tcW w:w="4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1,387</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$ 9,159</w:t>
            </w:r>
          </w:p>
        </w:tc>
        <w:tc>
          <w:tcPr>
            <w:tcW w:w="240" w:type="dxa"/>
            <w:vAlign w:val="bottom"/>
            <w:tcBorders>
              <w:left w:val="single" w:sz="8" w:color="CCEEFF"/>
            </w:tcBorders>
            <w:shd w:val="clear" w:color="auto" w:fill="CCEEFF"/>
          </w:tcPr>
          <w:p>
            <w:pPr>
              <w:spacing w:after="0"/>
              <w:rPr>
                <w:sz w:val="17"/>
                <w:szCs w:val="17"/>
                <w:color w:val="auto"/>
              </w:rPr>
            </w:pPr>
          </w:p>
        </w:tc>
        <w:tc>
          <w:tcPr>
            <w:tcW w:w="640" w:type="dxa"/>
            <w:vAlign w:val="bottom"/>
            <w:gridSpan w:val="4"/>
            <w:shd w:val="clear" w:color="auto" w:fill="CCEEFF"/>
          </w:tcPr>
          <w:p>
            <w:pPr>
              <w:jc w:val="right"/>
              <w:ind w:right="8"/>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1,507</w:t>
            </w:r>
          </w:p>
        </w:tc>
        <w:tc>
          <w:tcPr>
            <w:tcW w:w="82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$ 8,990</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1,433</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3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Full Year 2024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9"/>
          </w:tcPr>
          <w:p>
            <w:pPr>
              <w:jc w:val="right"/>
              <w:ind w:right="5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8"/>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Net Interest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9"/>
              </w:rPr>
              <w:t>Before</w:t>
            </w:r>
          </w:p>
        </w:tc>
        <w:tc>
          <w:tcPr>
            <w:tcW w:w="1500" w:type="dxa"/>
            <w:vAlign w:val="bottom"/>
            <w:gridSpan w:val="8"/>
          </w:tcPr>
          <w:p>
            <w:pPr>
              <w:spacing w:after="0" w:line="158"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3"/>
                <w:szCs w:val="13"/>
                <w:color w:val="auto"/>
              </w:rPr>
            </w:pPr>
          </w:p>
        </w:tc>
        <w:tc>
          <w:tcPr>
            <w:tcW w:w="920" w:type="dxa"/>
            <w:vAlign w:val="bottom"/>
            <w:gridSpan w:val="3"/>
          </w:tcPr>
          <w:p>
            <w:pPr>
              <w:jc w:val="right"/>
              <w:ind w:right="320"/>
              <w:spacing w:after="0" w:line="158"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3"/>
                <w:szCs w:val="13"/>
                <w:color w:val="auto"/>
              </w:rPr>
            </w:pPr>
          </w:p>
        </w:tc>
        <w:tc>
          <w:tcPr>
            <w:tcW w:w="70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Adjusted</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4"/>
          </w:tcPr>
          <w:p>
            <w:pPr>
              <w:jc w:val="right"/>
              <w:ind w:right="320"/>
              <w:spacing w:after="0" w:line="158"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Taxes</w:t>
            </w:r>
          </w:p>
        </w:tc>
        <w:tc>
          <w:tcPr>
            <w:tcW w:w="1500" w:type="dxa"/>
            <w:vAlign w:val="bottom"/>
            <w:gridSpan w:val="8"/>
          </w:tcPr>
          <w:p>
            <w:pPr>
              <w:ind w:left="60"/>
              <w:spacing w:after="0" w:line="175" w:lineRule="exact"/>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20"/>
                <w:szCs w:val="20"/>
                <w:b w:val="1"/>
                <w:bCs w:val="1"/>
                <w:color w:val="auto"/>
                <w:vertAlign w:val="superscript"/>
              </w:rPr>
              <w:t>(3)</w:t>
            </w:r>
          </w:p>
        </w:tc>
        <w:tc>
          <w:tcPr>
            <w:tcW w:w="1020" w:type="dxa"/>
            <w:vAlign w:val="bottom"/>
            <w:gridSpan w:val="4"/>
          </w:tcPr>
          <w:p>
            <w:pPr>
              <w:ind w:left="20"/>
              <w:spacing w:after="0" w:line="175" w:lineRule="exact"/>
              <w:rPr>
                <w:sz w:val="20"/>
                <w:szCs w:val="20"/>
                <w:color w:val="auto"/>
              </w:rPr>
            </w:pPr>
            <w:r>
              <w:rPr>
                <w:rFonts w:ascii="Arial" w:cs="Arial" w:eastAsia="Arial" w:hAnsi="Arial"/>
                <w:sz w:val="14"/>
                <w:szCs w:val="14"/>
                <w:b w:val="1"/>
                <w:bCs w:val="1"/>
                <w:color w:val="auto"/>
              </w:rPr>
              <w:t xml:space="preserve">(Income) </w:t>
            </w:r>
            <w:r>
              <w:rPr>
                <w:rFonts w:ascii="Arial" w:cs="Arial" w:eastAsia="Arial" w:hAnsi="Arial"/>
                <w:sz w:val="20"/>
                <w:szCs w:val="20"/>
                <w:b w:val="1"/>
                <w:bCs w:val="1"/>
                <w:color w:val="auto"/>
                <w:vertAlign w:val="superscript"/>
              </w:rPr>
              <w:t>(4)</w:t>
            </w:r>
          </w:p>
        </w:tc>
        <w:tc>
          <w:tcPr>
            <w:tcW w:w="140" w:type="dxa"/>
            <w:vAlign w:val="bottom"/>
          </w:tcPr>
          <w:p>
            <w:pPr>
              <w:spacing w:after="0"/>
              <w:rPr>
                <w:sz w:val="15"/>
                <w:szCs w:val="15"/>
                <w:color w:val="auto"/>
              </w:rPr>
            </w:pPr>
          </w:p>
        </w:tc>
        <w:tc>
          <w:tcPr>
            <w:tcW w:w="700" w:type="dxa"/>
            <w:vAlign w:val="bottom"/>
            <w:gridSpan w:val="4"/>
          </w:tcPr>
          <w:p>
            <w:pPr>
              <w:spacing w:after="0" w:line="175" w:lineRule="exact"/>
              <w:rPr>
                <w:sz w:val="20"/>
                <w:szCs w:val="20"/>
                <w:color w:val="auto"/>
              </w:rPr>
            </w:pPr>
            <w:r>
              <w:rPr>
                <w:rFonts w:ascii="Arial" w:cs="Arial" w:eastAsia="Arial" w:hAnsi="Arial"/>
                <w:sz w:val="14"/>
                <w:szCs w:val="14"/>
                <w:b w:val="1"/>
                <w:bCs w:val="1"/>
                <w:color w:val="auto"/>
                <w:w w:val="91"/>
              </w:rPr>
              <w:t xml:space="preserve">EBITDA </w:t>
            </w:r>
            <w:r>
              <w:rPr>
                <w:rFonts w:ascii="Arial" w:cs="Arial" w:eastAsia="Arial" w:hAnsi="Arial"/>
                <w:sz w:val="20"/>
                <w:szCs w:val="20"/>
                <w:b w:val="1"/>
                <w:bCs w:val="1"/>
                <w:color w:val="auto"/>
                <w:w w:val="91"/>
                <w:vertAlign w:val="superscript"/>
              </w:rPr>
              <w:t>(5)</w:t>
            </w:r>
          </w:p>
        </w:tc>
        <w:tc>
          <w:tcPr>
            <w:tcW w:w="380" w:type="dxa"/>
            <w:vAlign w:val="bottom"/>
          </w:tcPr>
          <w:p>
            <w:pPr>
              <w:spacing w:after="0"/>
              <w:rPr>
                <w:sz w:val="15"/>
                <w:szCs w:val="15"/>
                <w:color w:val="auto"/>
              </w:rPr>
            </w:pPr>
          </w:p>
        </w:tc>
        <w:tc>
          <w:tcPr>
            <w:tcW w:w="1080" w:type="dxa"/>
            <w:vAlign w:val="bottom"/>
            <w:gridSpan w:val="6"/>
          </w:tcPr>
          <w:p>
            <w:pPr>
              <w:ind w:left="20"/>
              <w:spacing w:after="0" w:line="175" w:lineRule="exact"/>
              <w:rPr>
                <w:sz w:val="20"/>
                <w:szCs w:val="20"/>
                <w:color w:val="auto"/>
              </w:rPr>
            </w:pPr>
            <w:r>
              <w:rPr>
                <w:rFonts w:ascii="Arial" w:cs="Arial" w:eastAsia="Arial" w:hAnsi="Arial"/>
                <w:sz w:val="14"/>
                <w:szCs w:val="14"/>
                <w:b w:val="1"/>
                <w:bCs w:val="1"/>
                <w:color w:val="auto"/>
              </w:rPr>
              <w:t xml:space="preserve">Investments </w:t>
            </w:r>
            <w:r>
              <w:rPr>
                <w:rFonts w:ascii="Arial" w:cs="Arial" w:eastAsia="Arial" w:hAnsi="Arial"/>
                <w:sz w:val="20"/>
                <w:szCs w:val="20"/>
                <w:b w:val="1"/>
                <w:bCs w:val="1"/>
                <w:color w:val="auto"/>
                <w:vertAlign w:val="superscript"/>
              </w:rPr>
              <w:t>(6)</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4,247</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$1,408</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654</w:t>
            </w: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w:t>
            </w: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righ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2,074</w:t>
            </w:r>
          </w:p>
        </w:tc>
        <w:tc>
          <w:tcPr>
            <w:tcW w:w="38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682</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7,177</w:t>
            </w:r>
          </w:p>
        </w:tc>
        <w:tc>
          <w:tcPr>
            <w:tcW w:w="1080" w:type="dxa"/>
            <w:vAlign w:val="bottom"/>
            <w:gridSpan w:val="3"/>
          </w:tcPr>
          <w:p>
            <w:pPr>
              <w:jc w:val="right"/>
              <w:ind w:right="360"/>
              <w:spacing w:after="0" w:line="202" w:lineRule="exact"/>
              <w:rPr>
                <w:sz w:val="20"/>
                <w:szCs w:val="20"/>
                <w:color w:val="auto"/>
              </w:rPr>
            </w:pPr>
            <w:r>
              <w:rPr>
                <w:rFonts w:ascii="Arial" w:cs="Arial" w:eastAsia="Arial" w:hAnsi="Arial"/>
                <w:sz w:val="18"/>
                <w:szCs w:val="18"/>
                <w:b w:val="1"/>
                <w:bCs w:val="1"/>
                <w:color w:val="auto"/>
              </w:rPr>
              <w:t>1,452</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4"/>
          </w:tcPr>
          <w:p>
            <w:pPr>
              <w:jc w:val="right"/>
              <w:ind w:right="300"/>
              <w:spacing w:after="0" w:line="202" w:lineRule="exact"/>
              <w:rPr>
                <w:sz w:val="20"/>
                <w:szCs w:val="20"/>
                <w:color w:val="auto"/>
              </w:rPr>
            </w:pPr>
            <w:r>
              <w:rPr>
                <w:rFonts w:ascii="Arial" w:cs="Arial" w:eastAsia="Arial" w:hAnsi="Arial"/>
                <w:sz w:val="18"/>
                <w:szCs w:val="18"/>
                <w:b w:val="1"/>
                <w:bCs w:val="1"/>
                <w:color w:val="auto"/>
              </w:rPr>
              <w:t>403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(14)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1,841</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624</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w w:val="98"/>
              </w:rPr>
              <w:t>13,357</w:t>
            </w:r>
          </w:p>
        </w:tc>
        <w:tc>
          <w:tcPr>
            <w:tcW w:w="10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2,826</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649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3,461</w:t>
            </w:r>
          </w:p>
        </w:tc>
        <w:tc>
          <w:tcPr>
            <w:tcW w:w="3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745</w:t>
            </w: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w w:val="98"/>
              </w:rPr>
              <w:t>12,143</w:t>
            </w:r>
          </w:p>
        </w:tc>
        <w:tc>
          <w:tcPr>
            <w:tcW w:w="1080" w:type="dxa"/>
            <w:vAlign w:val="bottom"/>
            <w:gridSpan w:val="3"/>
          </w:tcPr>
          <w:p>
            <w:pPr>
              <w:jc w:val="right"/>
              <w:ind w:right="360"/>
              <w:spacing w:after="0" w:line="202" w:lineRule="exact"/>
              <w:rPr>
                <w:sz w:val="20"/>
                <w:szCs w:val="20"/>
                <w:color w:val="auto"/>
              </w:rPr>
            </w:pPr>
            <w:r>
              <w:rPr>
                <w:rFonts w:ascii="Arial" w:cs="Arial" w:eastAsia="Arial" w:hAnsi="Arial"/>
                <w:sz w:val="18"/>
                <w:szCs w:val="18"/>
                <w:b w:val="1"/>
                <w:bCs w:val="1"/>
                <w:color w:val="auto"/>
              </w:rPr>
              <w:t>1,898</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4"/>
          </w:tcPr>
          <w:p>
            <w:pPr>
              <w:jc w:val="right"/>
              <w:ind w:right="300"/>
              <w:spacing w:after="0" w:line="202" w:lineRule="exact"/>
              <w:rPr>
                <w:sz w:val="20"/>
                <w:szCs w:val="20"/>
                <w:color w:val="auto"/>
              </w:rPr>
            </w:pPr>
            <w:r>
              <w:rPr>
                <w:rFonts w:ascii="Arial" w:cs="Arial" w:eastAsia="Arial" w:hAnsi="Arial"/>
                <w:sz w:val="18"/>
                <w:szCs w:val="18"/>
                <w:b w:val="1"/>
                <w:bCs w:val="1"/>
                <w:color w:val="auto"/>
              </w:rPr>
              <w:t>348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2,242</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418</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(635)</w:t>
            </w:r>
          </w:p>
        </w:tc>
        <w:tc>
          <w:tcPr>
            <w:tcW w:w="10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(263)</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287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9"/>
              </w:rPr>
              <w:t>18</w:t>
            </w:r>
          </w:p>
        </w:tc>
        <w:tc>
          <w:tcPr>
            <w:tcW w:w="3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143</w:t>
            </w: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7,321</w:t>
            </w: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2,341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9,636</w:t>
            </w: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(744)</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178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236"/>
              <w:spacing w:after="0" w:line="202" w:lineRule="exact"/>
              <w:rPr>
                <w:sz w:val="20"/>
                <w:szCs w:val="20"/>
                <w:color w:val="auto"/>
              </w:rPr>
            </w:pPr>
            <w:r>
              <w:rPr>
                <w:rFonts w:ascii="Arial" w:cs="Arial" w:eastAsia="Arial" w:hAnsi="Arial"/>
                <w:sz w:val="18"/>
                <w:szCs w:val="18"/>
                <w:b w:val="1"/>
                <w:bCs w:val="1"/>
                <w:color w:val="auto"/>
              </w:rPr>
              <w:t>(566)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3"/>
                <w:szCs w:val="23"/>
                <w:color w:val="auto"/>
                <w:vertAlign w:val="superscript"/>
              </w:rPr>
              <w:t>(1)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jc w:val="right"/>
              <w:ind w:right="360"/>
              <w:spacing w:after="0" w:line="202" w:lineRule="exact"/>
              <w:rPr>
                <w:sz w:val="20"/>
                <w:szCs w:val="20"/>
                <w:color w:val="auto"/>
              </w:rPr>
            </w:pPr>
            <w:r>
              <w:rPr>
                <w:rFonts w:ascii="Arial" w:cs="Arial" w:eastAsia="Arial" w:hAnsi="Arial"/>
                <w:sz w:val="18"/>
                <w:szCs w:val="18"/>
                <w:b w:val="1"/>
                <w:bCs w:val="1"/>
                <w:color w:val="auto"/>
              </w:rPr>
              <w:t>134</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(498)</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3"/>
                <w:szCs w:val="23"/>
                <w:color w:val="auto"/>
                <w:vertAlign w:val="superscript"/>
              </w:rPr>
              <w:t>(2)</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(541)</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w w:val="98"/>
              </w:rPr>
              <w:t>36,289</w:t>
            </w:r>
          </w:p>
        </w:tc>
        <w:tc>
          <w:tcPr>
            <w:tcW w:w="10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5,672</w:t>
            </w:r>
          </w:p>
        </w:tc>
        <w:tc>
          <w:tcPr>
            <w:tcW w:w="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2,519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(26)</w:t>
            </w:r>
          </w:p>
        </w:tc>
        <w:tc>
          <w:tcPr>
            <w:tcW w:w="26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w w:val="99"/>
              </w:rPr>
              <w:t>$</w:t>
            </w:r>
          </w:p>
        </w:tc>
        <w:tc>
          <w:tcPr>
            <w:tcW w:w="58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9,070</w:t>
            </w:r>
          </w:p>
        </w:tc>
        <w:tc>
          <w:tcPr>
            <w:tcW w:w="540" w:type="dxa"/>
            <w:vAlign w:val="bottom"/>
            <w:tcBorders>
              <w:left w:val="single" w:sz="8" w:color="CCEEFF"/>
            </w:tcBorders>
            <w:gridSpan w:val="2"/>
            <w:shd w:val="clear" w:color="auto" w:fill="CCEEFF"/>
          </w:tcPr>
          <w:p>
            <w:pPr>
              <w:ind w:left="380"/>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2,612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gridSpan w:val="6"/>
            <w:vMerge w:val="restart"/>
          </w:tcPr>
          <w:p>
            <w:pPr>
              <w:jc w:val="right"/>
              <w:ind w:right="640"/>
              <w:spacing w:after="0"/>
              <w:rPr>
                <w:sz w:val="20"/>
                <w:szCs w:val="20"/>
                <w:color w:val="auto"/>
              </w:rPr>
            </w:pPr>
            <w:r>
              <w:rPr>
                <w:rFonts w:ascii="Arial" w:cs="Arial" w:eastAsia="Arial" w:hAnsi="Arial"/>
                <w:sz w:val="14"/>
                <w:szCs w:val="14"/>
                <w:color w:val="auto"/>
              </w:rPr>
              <w:t>Full Year 2023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4"/>
          </w:tcPr>
          <w:p>
            <w:pPr>
              <w:ind w:lef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3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6"/>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tcPr>
          <w:p>
            <w:pPr>
              <w:jc w:val="center"/>
              <w:ind w:right="380"/>
              <w:spacing w:after="0" w:line="147" w:lineRule="exact"/>
              <w:rPr>
                <w:sz w:val="20"/>
                <w:szCs w:val="20"/>
                <w:color w:val="auto"/>
              </w:rPr>
            </w:pPr>
            <w:r>
              <w:rPr>
                <w:rFonts w:ascii="Arial" w:cs="Arial" w:eastAsia="Arial" w:hAnsi="Arial"/>
                <w:sz w:val="14"/>
                <w:szCs w:val="14"/>
                <w:color w:val="auto"/>
              </w:rPr>
              <w:t>Income</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right="220"/>
              <w:spacing w:after="0" w:line="147" w:lineRule="exact"/>
              <w:rPr>
                <w:sz w:val="20"/>
                <w:szCs w:val="20"/>
                <w:color w:val="auto"/>
              </w:rPr>
            </w:pPr>
            <w:r>
              <w:rPr>
                <w:rFonts w:ascii="Arial" w:cs="Arial" w:eastAsia="Arial" w:hAnsi="Arial"/>
                <w:sz w:val="14"/>
                <w:szCs w:val="14"/>
                <w:color w:val="auto"/>
              </w:rPr>
              <w:t>Net Interest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jc w:val="center"/>
              <w:ind w:right="380"/>
              <w:spacing w:after="0" w:line="158" w:lineRule="exact"/>
              <w:rPr>
                <w:sz w:val="20"/>
                <w:szCs w:val="20"/>
                <w:color w:val="auto"/>
              </w:rPr>
            </w:pPr>
            <w:r>
              <w:rPr>
                <w:rFonts w:ascii="Arial" w:cs="Arial" w:eastAsia="Arial" w:hAnsi="Arial"/>
                <w:sz w:val="14"/>
                <w:szCs w:val="14"/>
                <w:color w:val="auto"/>
              </w:rPr>
              <w:t>Before</w:t>
            </w:r>
          </w:p>
        </w:tc>
        <w:tc>
          <w:tcPr>
            <w:tcW w:w="1260" w:type="dxa"/>
            <w:vAlign w:val="bottom"/>
            <w:gridSpan w:val="3"/>
          </w:tcPr>
          <w:p>
            <w:pPr>
              <w:spacing w:after="0" w:line="158" w:lineRule="exact"/>
              <w:rPr>
                <w:sz w:val="20"/>
                <w:szCs w:val="20"/>
                <w:color w:val="auto"/>
              </w:rPr>
            </w:pPr>
            <w:r>
              <w:rPr>
                <w:rFonts w:ascii="Arial" w:cs="Arial" w:eastAsia="Arial" w:hAnsi="Arial"/>
                <w:sz w:val="14"/>
                <w:szCs w:val="14"/>
                <w:color w:val="auto"/>
              </w:rPr>
              <w:t>Depreciation and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300"/>
              <w:spacing w:after="0" w:line="158" w:lineRule="exact"/>
              <w:rPr>
                <w:sz w:val="20"/>
                <w:szCs w:val="20"/>
                <w:color w:val="auto"/>
              </w:rPr>
            </w:pPr>
            <w:r>
              <w:rPr>
                <w:rFonts w:ascii="Arial" w:cs="Arial" w:eastAsia="Arial" w:hAnsi="Arial"/>
                <w:sz w:val="14"/>
                <w:szCs w:val="14"/>
                <w:color w:val="auto"/>
              </w:rPr>
              <w:t>Expense</w:t>
            </w:r>
          </w:p>
        </w:tc>
        <w:tc>
          <w:tcPr>
            <w:tcW w:w="160" w:type="dxa"/>
            <w:vAlign w:val="bottom"/>
          </w:tcPr>
          <w:p>
            <w:pPr>
              <w:spacing w:after="0"/>
              <w:rPr>
                <w:sz w:val="13"/>
                <w:szCs w:val="13"/>
                <w:color w:val="auto"/>
              </w:rPr>
            </w:pPr>
          </w:p>
        </w:tc>
        <w:tc>
          <w:tcPr>
            <w:tcW w:w="800" w:type="dxa"/>
            <w:vAlign w:val="bottom"/>
            <w:gridSpan w:val="3"/>
          </w:tcPr>
          <w:p>
            <w:pPr>
              <w:ind w:left="80"/>
              <w:spacing w:after="0" w:line="158" w:lineRule="exact"/>
              <w:rPr>
                <w:sz w:val="20"/>
                <w:szCs w:val="20"/>
                <w:color w:val="auto"/>
              </w:rPr>
            </w:pPr>
            <w:r>
              <w:rPr>
                <w:rFonts w:ascii="Arial" w:cs="Arial" w:eastAsia="Arial" w:hAnsi="Arial"/>
                <w:sz w:val="14"/>
                <w:szCs w:val="14"/>
                <w:color w:val="auto"/>
              </w:rPr>
              <w:t>Adjusted</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80"/>
              <w:spacing w:after="0" w:line="158" w:lineRule="exact"/>
              <w:rPr>
                <w:sz w:val="20"/>
                <w:szCs w:val="20"/>
                <w:color w:val="auto"/>
              </w:rPr>
            </w:pPr>
            <w:r>
              <w:rPr>
                <w:rFonts w:ascii="Arial" w:cs="Arial" w:eastAsia="Arial" w:hAnsi="Arial"/>
                <w:sz w:val="14"/>
                <w:szCs w:val="14"/>
                <w:color w:val="auto"/>
              </w:rPr>
              <w:t>Capital</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4"/>
                <w:szCs w:val="14"/>
                <w:color w:val="auto"/>
              </w:rPr>
              <w:t>Revenue</w:t>
            </w:r>
          </w:p>
        </w:tc>
        <w:tc>
          <w:tcPr>
            <w:tcW w:w="96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Taxes</w:t>
            </w:r>
          </w:p>
        </w:tc>
        <w:tc>
          <w:tcPr>
            <w:tcW w:w="1260" w:type="dxa"/>
            <w:vAlign w:val="bottom"/>
            <w:gridSpan w:val="3"/>
          </w:tcPr>
          <w:p>
            <w:pPr>
              <w:jc w:val="right"/>
              <w:ind w:right="240"/>
              <w:spacing w:after="0" w:line="175" w:lineRule="exact"/>
              <w:rPr>
                <w:sz w:val="20"/>
                <w:szCs w:val="20"/>
                <w:color w:val="auto"/>
              </w:rPr>
            </w:pPr>
            <w:r>
              <w:rPr>
                <w:rFonts w:ascii="Arial" w:cs="Arial" w:eastAsia="Arial" w:hAnsi="Arial"/>
                <w:sz w:val="14"/>
                <w:szCs w:val="14"/>
                <w:color w:val="auto"/>
              </w:rPr>
              <w:t xml:space="preserve">Amortization </w:t>
            </w:r>
            <w:r>
              <w:rPr>
                <w:rFonts w:ascii="Arial" w:cs="Arial" w:eastAsia="Arial" w:hAnsi="Arial"/>
                <w:sz w:val="20"/>
                <w:szCs w:val="20"/>
                <w:color w:val="auto"/>
                <w:vertAlign w:val="superscript"/>
              </w:rPr>
              <w:t>(3)</w:t>
            </w:r>
          </w:p>
        </w:tc>
        <w:tc>
          <w:tcPr>
            <w:tcW w:w="160" w:type="dxa"/>
            <w:vAlign w:val="bottom"/>
          </w:tcPr>
          <w:p>
            <w:pPr>
              <w:spacing w:after="0"/>
              <w:rPr>
                <w:sz w:val="15"/>
                <w:szCs w:val="15"/>
                <w:color w:val="auto"/>
              </w:rPr>
            </w:pPr>
          </w:p>
        </w:tc>
        <w:tc>
          <w:tcPr>
            <w:tcW w:w="960" w:type="dxa"/>
            <w:vAlign w:val="bottom"/>
            <w:gridSpan w:val="3"/>
          </w:tcPr>
          <w:p>
            <w:pPr>
              <w:jc w:val="center"/>
              <w:ind w:right="220"/>
              <w:spacing w:after="0" w:line="175" w:lineRule="exact"/>
              <w:rPr>
                <w:sz w:val="20"/>
                <w:szCs w:val="20"/>
                <w:color w:val="auto"/>
              </w:rPr>
            </w:pPr>
            <w:r>
              <w:rPr>
                <w:rFonts w:ascii="Arial" w:cs="Arial" w:eastAsia="Arial" w:hAnsi="Arial"/>
                <w:sz w:val="14"/>
                <w:szCs w:val="14"/>
                <w:color w:val="auto"/>
                <w:w w:val="98"/>
              </w:rPr>
              <w:t xml:space="preserve">(Income) </w:t>
            </w:r>
            <w:r>
              <w:rPr>
                <w:rFonts w:ascii="Arial" w:cs="Arial" w:eastAsia="Arial" w:hAnsi="Arial"/>
                <w:sz w:val="20"/>
                <w:szCs w:val="20"/>
                <w:color w:val="auto"/>
                <w:w w:val="98"/>
                <w:vertAlign w:val="superscript"/>
              </w:rPr>
              <w:t>(4)</w:t>
            </w:r>
          </w:p>
        </w:tc>
        <w:tc>
          <w:tcPr>
            <w:tcW w:w="160" w:type="dxa"/>
            <w:vAlign w:val="bottom"/>
          </w:tcPr>
          <w:p>
            <w:pPr>
              <w:spacing w:after="0"/>
              <w:rPr>
                <w:sz w:val="15"/>
                <w:szCs w:val="15"/>
                <w:color w:val="auto"/>
              </w:rPr>
            </w:pPr>
          </w:p>
        </w:tc>
        <w:tc>
          <w:tcPr>
            <w:tcW w:w="800" w:type="dxa"/>
            <w:vAlign w:val="bottom"/>
            <w:gridSpan w:val="3"/>
          </w:tcPr>
          <w:p>
            <w:pPr>
              <w:spacing w:after="0" w:line="175" w:lineRule="exact"/>
              <w:rPr>
                <w:sz w:val="20"/>
                <w:szCs w:val="20"/>
                <w:color w:val="auto"/>
              </w:rPr>
            </w:pPr>
            <w:r>
              <w:rPr>
                <w:rFonts w:ascii="Arial" w:cs="Arial" w:eastAsia="Arial" w:hAnsi="Arial"/>
                <w:sz w:val="14"/>
                <w:szCs w:val="14"/>
                <w:color w:val="auto"/>
              </w:rPr>
              <w:t xml:space="preserve">EBITDA </w:t>
            </w:r>
            <w:r>
              <w:rPr>
                <w:rFonts w:ascii="Arial" w:cs="Arial" w:eastAsia="Arial" w:hAnsi="Arial"/>
                <w:sz w:val="20"/>
                <w:szCs w:val="20"/>
                <w:color w:val="auto"/>
                <w:vertAlign w:val="superscript"/>
              </w:rPr>
              <w:t>(5)</w:t>
            </w:r>
          </w:p>
        </w:tc>
        <w:tc>
          <w:tcPr>
            <w:tcW w:w="280" w:type="dxa"/>
            <w:vAlign w:val="bottom"/>
          </w:tcPr>
          <w:p>
            <w:pPr>
              <w:spacing w:after="0"/>
              <w:rPr>
                <w:sz w:val="15"/>
                <w:szCs w:val="15"/>
                <w:color w:val="auto"/>
              </w:rPr>
            </w:pPr>
          </w:p>
        </w:tc>
        <w:tc>
          <w:tcPr>
            <w:tcW w:w="1000" w:type="dxa"/>
            <w:vAlign w:val="bottom"/>
            <w:gridSpan w:val="3"/>
          </w:tcPr>
          <w:p>
            <w:pPr>
              <w:spacing w:after="0" w:line="175" w:lineRule="exact"/>
              <w:rPr>
                <w:sz w:val="20"/>
                <w:szCs w:val="20"/>
                <w:color w:val="auto"/>
              </w:rPr>
            </w:pPr>
            <w:r>
              <w:rPr>
                <w:rFonts w:ascii="Arial" w:cs="Arial" w:eastAsia="Arial" w:hAnsi="Arial"/>
                <w:sz w:val="14"/>
                <w:szCs w:val="14"/>
                <w:color w:val="auto"/>
              </w:rPr>
              <w:t xml:space="preserve">Investments </w:t>
            </w:r>
            <w:r>
              <w:rPr>
                <w:rFonts w:ascii="Arial" w:cs="Arial" w:eastAsia="Arial" w:hAnsi="Arial"/>
                <w:sz w:val="20"/>
                <w:szCs w:val="20"/>
                <w:color w:val="auto"/>
                <w:vertAlign w:val="superscript"/>
              </w:rPr>
              <w:t>(6)</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3,871</w:t>
            </w: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$1,257</w:t>
            </w: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578</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6,561</w:t>
            </w:r>
          </w:p>
        </w:tc>
        <w:tc>
          <w:tcPr>
            <w:tcW w:w="9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1,263</w:t>
            </w:r>
          </w:p>
        </w:tc>
        <w:tc>
          <w:tcPr>
            <w:tcW w:w="36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387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1,646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8"/>
              </w:rPr>
              <w:t>13,478</w:t>
            </w:r>
          </w:p>
        </w:tc>
        <w:tc>
          <w:tcPr>
            <w:tcW w:w="9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2,932</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3,514</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9,831</w:t>
            </w:r>
          </w:p>
        </w:tc>
        <w:tc>
          <w:tcPr>
            <w:tcW w:w="9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1,245</w:t>
            </w:r>
          </w:p>
        </w:tc>
        <w:tc>
          <w:tcPr>
            <w:tcW w:w="36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1,569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(606)</w:t>
            </w: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(174)</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6,523</w:t>
            </w:r>
          </w:p>
        </w:tc>
        <w:tc>
          <w:tcPr>
            <w:tcW w:w="3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(729)</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3"/>
                <w:szCs w:val="23"/>
                <w:color w:val="auto"/>
                <w:vertAlign w:val="superscript"/>
              </w:rPr>
              <w:t>(1)</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87</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3"/>
                <w:szCs w:val="23"/>
                <w:color w:val="auto"/>
                <w:vertAlign w:val="superscript"/>
              </w:rPr>
              <w:t>(1)</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(489)</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3"/>
                <w:szCs w:val="23"/>
                <w:color w:val="auto"/>
                <w:vertAlign w:val="superscript"/>
              </w:rPr>
              <w:t>(2)</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(110)</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8"/>
              </w:rPr>
              <w:t>33,135</w:t>
            </w:r>
          </w:p>
        </w:tc>
        <w:tc>
          <w:tcPr>
            <w:tcW w:w="9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5,282</w:t>
            </w:r>
          </w:p>
        </w:tc>
        <w:tc>
          <w:tcPr>
            <w:tcW w:w="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2,312</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8,107</w:t>
            </w:r>
          </w:p>
        </w:tc>
        <w:tc>
          <w:tcPr>
            <w:tcW w:w="4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Excludes amounts which are included in the segments’ results.</w:t>
      </w:r>
    </w:p>
    <w:p>
      <w:pPr>
        <w:ind w:left="424" w:hanging="424"/>
        <w:spacing w:after="0" w:line="183" w:lineRule="auto"/>
        <w:tabs>
          <w:tab w:leader="none" w:pos="424"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APS and exploration data costs.</w:t>
      </w:r>
    </w:p>
    <w:p>
      <w:pPr>
        <w:ind w:left="424" w:hanging="424"/>
        <w:spacing w:after="0" w:line="183" w:lineRule="auto"/>
        <w:tabs>
          <w:tab w:leader="none" w:pos="424"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Excludes interest income and interest expense recorded at the corporate level.</w:t>
      </w:r>
    </w:p>
    <w:p>
      <w:pPr>
        <w:ind w:left="424" w:right="320" w:hanging="424"/>
        <w:spacing w:after="0" w:line="187" w:lineRule="auto"/>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Adjusted EBITDA represents income before taxes excluding depreciation and amortization, interest income, interest expense and charges &amp; credits.</w:t>
      </w:r>
    </w:p>
    <w:p>
      <w:pPr>
        <w:spacing w:after="0" w:line="1" w:lineRule="exact"/>
        <w:rPr>
          <w:rFonts w:ascii="Arial" w:cs="Arial" w:eastAsia="Arial" w:hAnsi="Arial"/>
          <w:sz w:val="27"/>
          <w:szCs w:val="27"/>
          <w:color w:val="auto"/>
          <w:vertAlign w:val="superscript"/>
        </w:rPr>
      </w:pPr>
    </w:p>
    <w:p>
      <w:pPr>
        <w:ind w:left="424" w:hanging="424"/>
        <w:spacing w:after="0" w:line="184" w:lineRule="auto"/>
        <w:tabs>
          <w:tab w:leader="none" w:pos="424" w:val="left"/>
        </w:tabs>
        <w:numPr>
          <w:ilvl w:val="0"/>
          <w:numId w:val="15"/>
        </w:numPr>
        <w:rPr>
          <w:rFonts w:ascii="Arial" w:cs="Arial" w:eastAsia="Arial" w:hAnsi="Arial"/>
          <w:sz w:val="25"/>
          <w:szCs w:val="25"/>
          <w:color w:val="auto"/>
          <w:vertAlign w:val="superscript"/>
        </w:rPr>
      </w:pPr>
      <w:r>
        <w:rPr>
          <w:rFonts w:ascii="Arial" w:cs="Arial" w:eastAsia="Arial" w:hAnsi="Arial"/>
          <w:sz w:val="17"/>
          <w:szCs w:val="17"/>
          <w:color w:val="auto"/>
        </w:rPr>
        <w:t>Capital investment includes capital expenditures, APS investments and exploration data costs capitalized.</w:t>
      </w:r>
    </w:p>
    <w:p>
      <w:pPr>
        <w:sectPr>
          <w:pgSz w:w="11900" w:h="16838" w:orient="portrait"/>
          <w:cols w:equalWidth="0" w:num="1">
            <w:col w:w="11024"/>
          </w:cols>
          <w:pgMar w:left="436" w:top="279" w:right="439" w:bottom="1440" w:gutter="0" w:footer="0" w:header="0"/>
        </w:sectPr>
      </w:pPr>
    </w:p>
    <w:bookmarkStart w:id="25" w:name="page26"/>
    <w:bookmarkEnd w:id="2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Geographical</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Full Year 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7"/>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5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5"/>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4"/>
          </w:tcPr>
          <w:p>
            <w:pPr>
              <w:jc w:val="center"/>
              <w:ind w:right="480"/>
              <w:spacing w:after="0" w:line="147" w:lineRule="exact"/>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5"/>
          </w:tcPr>
          <w:p>
            <w:pPr>
              <w:jc w:val="center"/>
              <w:ind w:right="300"/>
              <w:spacing w:after="0" w:line="147" w:lineRule="exact"/>
              <w:rPr>
                <w:sz w:val="20"/>
                <w:szCs w:val="20"/>
                <w:color w:val="auto"/>
              </w:rPr>
            </w:pPr>
            <w:r>
              <w:rPr>
                <w:rFonts w:ascii="Arial" w:cs="Arial" w:eastAsia="Arial" w:hAnsi="Arial"/>
                <w:sz w:val="14"/>
                <w:szCs w:val="14"/>
                <w:b w:val="1"/>
                <w:bCs w:val="1"/>
                <w:color w:val="auto"/>
              </w:rPr>
              <w:t>Net Interest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4"/>
          </w:tcPr>
          <w:p>
            <w:pPr>
              <w:jc w:val="center"/>
              <w:ind w:right="480"/>
              <w:spacing w:after="0" w:line="158" w:lineRule="exact"/>
              <w:rPr>
                <w:sz w:val="20"/>
                <w:szCs w:val="20"/>
                <w:color w:val="auto"/>
              </w:rPr>
            </w:pPr>
            <w:r>
              <w:rPr>
                <w:rFonts w:ascii="Arial" w:cs="Arial" w:eastAsia="Arial" w:hAnsi="Arial"/>
                <w:sz w:val="14"/>
                <w:szCs w:val="14"/>
                <w:b w:val="1"/>
                <w:bCs w:val="1"/>
                <w:color w:val="auto"/>
              </w:rPr>
              <w:t>Before</w:t>
            </w:r>
          </w:p>
        </w:tc>
        <w:tc>
          <w:tcPr>
            <w:tcW w:w="20" w:type="dxa"/>
            <w:vAlign w:val="bottom"/>
          </w:tcPr>
          <w:p>
            <w:pPr>
              <w:spacing w:after="0"/>
              <w:rPr>
                <w:sz w:val="13"/>
                <w:szCs w:val="13"/>
                <w:color w:val="auto"/>
              </w:rPr>
            </w:pPr>
          </w:p>
        </w:tc>
        <w:tc>
          <w:tcPr>
            <w:tcW w:w="158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Depreciation and</w:t>
            </w:r>
          </w:p>
        </w:tc>
        <w:tc>
          <w:tcPr>
            <w:tcW w:w="1080" w:type="dxa"/>
            <w:vAlign w:val="bottom"/>
            <w:gridSpan w:val="5"/>
          </w:tcPr>
          <w:p>
            <w:pPr>
              <w:jc w:val="center"/>
              <w:ind w:right="300"/>
              <w:spacing w:after="0" w:line="158" w:lineRule="exact"/>
              <w:rPr>
                <w:sz w:val="20"/>
                <w:szCs w:val="20"/>
                <w:color w:val="auto"/>
              </w:rPr>
            </w:pPr>
            <w:r>
              <w:rPr>
                <w:rFonts w:ascii="Arial" w:cs="Arial" w:eastAsia="Arial" w:hAnsi="Arial"/>
                <w:sz w:val="14"/>
                <w:szCs w:val="14"/>
                <w:b w:val="1"/>
                <w:bCs w:val="1"/>
                <w:color w:val="auto"/>
              </w:rPr>
              <w:t>Expense</w:t>
            </w:r>
          </w:p>
        </w:tc>
        <w:tc>
          <w:tcPr>
            <w:tcW w:w="180" w:type="dxa"/>
            <w:vAlign w:val="bottom"/>
          </w:tcPr>
          <w:p>
            <w:pPr>
              <w:spacing w:after="0"/>
              <w:rPr>
                <w:sz w:val="13"/>
                <w:szCs w:val="13"/>
                <w:color w:val="auto"/>
              </w:rPr>
            </w:pPr>
          </w:p>
        </w:tc>
        <w:tc>
          <w:tcPr>
            <w:tcW w:w="82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Revenue</w:t>
            </w:r>
          </w:p>
        </w:tc>
        <w:tc>
          <w:tcPr>
            <w:tcW w:w="360" w:type="dxa"/>
            <w:vAlign w:val="bottom"/>
          </w:tcPr>
          <w:p>
            <w:pPr>
              <w:spacing w:after="0"/>
              <w:rPr>
                <w:sz w:val="15"/>
                <w:szCs w:val="15"/>
                <w:color w:val="auto"/>
              </w:rPr>
            </w:pPr>
          </w:p>
        </w:tc>
        <w:tc>
          <w:tcPr>
            <w:tcW w:w="9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5"/>
              </w:rPr>
              <w:t>Taxes</w:t>
            </w:r>
          </w:p>
        </w:tc>
        <w:tc>
          <w:tcPr>
            <w:tcW w:w="20" w:type="dxa"/>
            <w:vAlign w:val="bottom"/>
          </w:tcPr>
          <w:p>
            <w:pPr>
              <w:spacing w:after="0"/>
              <w:rPr>
                <w:sz w:val="15"/>
                <w:szCs w:val="15"/>
                <w:color w:val="auto"/>
              </w:rPr>
            </w:pPr>
          </w:p>
        </w:tc>
        <w:tc>
          <w:tcPr>
            <w:tcW w:w="1580" w:type="dxa"/>
            <w:vAlign w:val="bottom"/>
            <w:gridSpan w:val="5"/>
          </w:tcPr>
          <w:p>
            <w:pPr>
              <w:ind w:left="60"/>
              <w:spacing w:after="0" w:line="175" w:lineRule="exact"/>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20"/>
                <w:szCs w:val="20"/>
                <w:b w:val="1"/>
                <w:bCs w:val="1"/>
                <w:color w:val="auto"/>
                <w:vertAlign w:val="superscript"/>
              </w:rPr>
              <w:t>(3)</w:t>
            </w:r>
          </w:p>
        </w:tc>
        <w:tc>
          <w:tcPr>
            <w:tcW w:w="1080" w:type="dxa"/>
            <w:vAlign w:val="bottom"/>
            <w:gridSpan w:val="5"/>
          </w:tcPr>
          <w:p>
            <w:pPr>
              <w:jc w:val="center"/>
              <w:ind w:right="300"/>
              <w:spacing w:after="0" w:line="175" w:lineRule="exact"/>
              <w:rPr>
                <w:sz w:val="20"/>
                <w:szCs w:val="20"/>
                <w:color w:val="auto"/>
              </w:rPr>
            </w:pPr>
            <w:r>
              <w:rPr>
                <w:rFonts w:ascii="Arial" w:cs="Arial" w:eastAsia="Arial" w:hAnsi="Arial"/>
                <w:sz w:val="14"/>
                <w:szCs w:val="14"/>
                <w:b w:val="1"/>
                <w:bCs w:val="1"/>
                <w:color w:val="auto"/>
                <w:w w:val="99"/>
              </w:rPr>
              <w:t xml:space="preserve">(Income) </w:t>
            </w:r>
            <w:r>
              <w:rPr>
                <w:rFonts w:ascii="Arial" w:cs="Arial" w:eastAsia="Arial" w:hAnsi="Arial"/>
                <w:sz w:val="20"/>
                <w:szCs w:val="20"/>
                <w:b w:val="1"/>
                <w:bCs w:val="1"/>
                <w:color w:val="auto"/>
                <w:w w:val="99"/>
                <w:vertAlign w:val="superscript"/>
              </w:rPr>
              <w:t>(4)</w:t>
            </w:r>
          </w:p>
        </w:tc>
        <w:tc>
          <w:tcPr>
            <w:tcW w:w="180" w:type="dxa"/>
            <w:vAlign w:val="bottom"/>
          </w:tcPr>
          <w:p>
            <w:pPr>
              <w:spacing w:after="0"/>
              <w:rPr>
                <w:sz w:val="15"/>
                <w:szCs w:val="15"/>
                <w:color w:val="auto"/>
              </w:rPr>
            </w:pPr>
          </w:p>
        </w:tc>
        <w:tc>
          <w:tcPr>
            <w:tcW w:w="820" w:type="dxa"/>
            <w:vAlign w:val="bottom"/>
            <w:gridSpan w:val="3"/>
          </w:tcPr>
          <w:p>
            <w:pPr>
              <w:spacing w:after="0" w:line="175" w:lineRule="exact"/>
              <w:rPr>
                <w:sz w:val="20"/>
                <w:szCs w:val="20"/>
                <w:color w:val="auto"/>
              </w:rPr>
            </w:pPr>
            <w:r>
              <w:rPr>
                <w:rFonts w:ascii="Arial" w:cs="Arial" w:eastAsia="Arial" w:hAnsi="Arial"/>
                <w:sz w:val="14"/>
                <w:szCs w:val="14"/>
                <w:b w:val="1"/>
                <w:bCs w:val="1"/>
                <w:color w:val="auto"/>
              </w:rPr>
              <w:t xml:space="preserve">EBITDA </w:t>
            </w:r>
            <w:r>
              <w:rPr>
                <w:rFonts w:ascii="Arial" w:cs="Arial" w:eastAsia="Arial" w:hAnsi="Arial"/>
                <w:sz w:val="20"/>
                <w:szCs w:val="20"/>
                <w:b w:val="1"/>
                <w:bCs w:val="1"/>
                <w:color w:val="auto"/>
                <w:vertAlign w:val="superscript"/>
              </w:rPr>
              <w:t>(5)</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International</w:t>
            </w:r>
          </w:p>
        </w:tc>
        <w:tc>
          <w:tcPr>
            <w:tcW w:w="6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$29,415</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lef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4"/>
              </w:rPr>
              <w:t>$6,291</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ind w:left="211"/>
              <w:spacing w:after="0" w:line="196" w:lineRule="exact"/>
              <w:rPr>
                <w:sz w:val="20"/>
                <w:szCs w:val="20"/>
                <w:color w:val="auto"/>
              </w:rPr>
            </w:pPr>
            <w:r>
              <w:rPr>
                <w:rFonts w:ascii="Arial" w:cs="Arial" w:eastAsia="Arial" w:hAnsi="Arial"/>
                <w:sz w:val="18"/>
                <w:szCs w:val="18"/>
                <w:b w:val="1"/>
                <w:bCs w:val="1"/>
                <w:color w:val="auto"/>
                <w:w w:val="97"/>
              </w:rPr>
              <w:t>1,648</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7,900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b w:val="1"/>
                <w:bCs w:val="1"/>
                <w:color w:val="auto"/>
              </w:rPr>
              <w:t>North America</w:t>
            </w:r>
          </w:p>
        </w:tc>
        <w:tc>
          <w:tcPr>
            <w:tcW w:w="74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rPr>
              <w:t>6,680</w:t>
            </w:r>
          </w:p>
        </w:tc>
        <w:tc>
          <w:tcPr>
            <w:tcW w:w="360" w:type="dxa"/>
            <w:vAlign w:val="bottom"/>
          </w:tcPr>
          <w:p>
            <w:pPr>
              <w:spacing w:after="0"/>
              <w:rPr>
                <w:sz w:val="17"/>
                <w:szCs w:val="17"/>
                <w:color w:val="auto"/>
              </w:rPr>
            </w:pPr>
          </w:p>
        </w:tc>
        <w:tc>
          <w:tcPr>
            <w:tcW w:w="900" w:type="dxa"/>
            <w:vAlign w:val="bottom"/>
            <w:gridSpan w:val="3"/>
          </w:tcPr>
          <w:p>
            <w:pPr>
              <w:jc w:val="right"/>
              <w:ind w:right="360"/>
              <w:spacing w:after="0" w:line="202" w:lineRule="exact"/>
              <w:rPr>
                <w:sz w:val="20"/>
                <w:szCs w:val="20"/>
                <w:color w:val="auto"/>
              </w:rPr>
            </w:pPr>
            <w:r>
              <w:rPr>
                <w:rFonts w:ascii="Arial" w:cs="Arial" w:eastAsia="Arial" w:hAnsi="Arial"/>
                <w:sz w:val="18"/>
                <w:szCs w:val="18"/>
                <w:b w:val="1"/>
                <w:bCs w:val="1"/>
                <w:color w:val="auto"/>
              </w:rPr>
              <w:t>1,134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445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1,592</w:t>
            </w: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Eliminations &amp; other</w:t>
            </w:r>
          </w:p>
        </w:tc>
        <w:tc>
          <w:tcPr>
            <w:tcW w:w="7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194</w:t>
            </w:r>
          </w:p>
        </w:tc>
        <w:tc>
          <w:tcPr>
            <w:tcW w:w="36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lef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(104)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248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7,321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center"/>
              <w:ind w:left="211"/>
              <w:spacing w:after="0"/>
              <w:rPr>
                <w:sz w:val="20"/>
                <w:szCs w:val="20"/>
                <w:color w:val="auto"/>
              </w:rPr>
            </w:pPr>
            <w:r>
              <w:rPr>
                <w:rFonts w:ascii="Arial" w:cs="Arial" w:eastAsia="Arial" w:hAnsi="Arial"/>
                <w:sz w:val="18"/>
                <w:szCs w:val="18"/>
                <w:b w:val="1"/>
                <w:bCs w:val="1"/>
                <w:color w:val="auto"/>
                <w:w w:val="97"/>
              </w:rPr>
              <w:t>2,341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Corporate &amp; other</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lef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(744)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178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(566)</w:t>
            </w: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6"/>
                <w:szCs w:val="16"/>
                <w:b w:val="1"/>
                <w:bCs w:val="1"/>
                <w:color w:val="auto"/>
              </w:rPr>
              <w:t xml:space="preserve">Interest income </w:t>
            </w:r>
            <w:r>
              <w:rPr>
                <w:rFonts w:ascii="Arial" w:cs="Arial" w:eastAsia="Arial" w:hAnsi="Arial"/>
                <w:sz w:val="23"/>
                <w:szCs w:val="23"/>
                <w:b w:val="1"/>
                <w:bCs w:val="1"/>
                <w:color w:val="auto"/>
                <w:vertAlign w:val="superscript"/>
              </w:rPr>
              <w:t>(1)</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3"/>
          </w:tcPr>
          <w:p>
            <w:pPr>
              <w:jc w:val="right"/>
              <w:ind w:right="360"/>
              <w:spacing w:after="0" w:line="202" w:lineRule="exact"/>
              <w:rPr>
                <w:sz w:val="20"/>
                <w:szCs w:val="20"/>
                <w:color w:val="auto"/>
              </w:rPr>
            </w:pPr>
            <w:r>
              <w:rPr>
                <w:rFonts w:ascii="Arial" w:cs="Arial" w:eastAsia="Arial" w:hAnsi="Arial"/>
                <w:sz w:val="18"/>
                <w:szCs w:val="18"/>
                <w:b w:val="1"/>
                <w:bCs w:val="1"/>
                <w:color w:val="auto"/>
              </w:rPr>
              <w:t>134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 xml:space="preserve">Interest expense </w:t>
            </w:r>
            <w:r>
              <w:rPr>
                <w:rFonts w:ascii="Arial" w:cs="Arial" w:eastAsia="Arial" w:hAnsi="Arial"/>
                <w:sz w:val="23"/>
                <w:szCs w:val="23"/>
                <w:b w:val="1"/>
                <w:bCs w:val="1"/>
                <w:color w:val="auto"/>
                <w:vertAlign w:val="superscript"/>
              </w:rPr>
              <w:t>(1)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lef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(498)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6"/>
                <w:szCs w:val="16"/>
                <w:b w:val="1"/>
                <w:bCs w:val="1"/>
                <w:color w:val="auto"/>
              </w:rPr>
              <w:t xml:space="preserve">Charges &amp; credits </w:t>
            </w:r>
            <w:r>
              <w:rPr>
                <w:rFonts w:ascii="Arial" w:cs="Arial" w:eastAsia="Arial" w:hAnsi="Arial"/>
                <w:sz w:val="23"/>
                <w:szCs w:val="23"/>
                <w:b w:val="1"/>
                <w:bCs w:val="1"/>
                <w:color w:val="auto"/>
                <w:vertAlign w:val="superscript"/>
              </w:rPr>
              <w:t>(2)</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3"/>
          </w:tcPr>
          <w:p>
            <w:pPr>
              <w:jc w:val="right"/>
              <w:ind w:right="300"/>
              <w:spacing w:after="0" w:line="202" w:lineRule="exact"/>
              <w:rPr>
                <w:sz w:val="20"/>
                <w:szCs w:val="20"/>
                <w:color w:val="auto"/>
              </w:rPr>
            </w:pPr>
            <w:r>
              <w:rPr>
                <w:rFonts w:ascii="Arial" w:cs="Arial" w:eastAsia="Arial" w:hAnsi="Arial"/>
                <w:sz w:val="18"/>
                <w:szCs w:val="18"/>
                <w:b w:val="1"/>
                <w:bCs w:val="1"/>
                <w:color w:val="auto"/>
              </w:rPr>
              <w:t>(541)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36,289</w:t>
            </w:r>
          </w:p>
        </w:tc>
        <w:tc>
          <w:tcPr>
            <w:tcW w:w="1260" w:type="dxa"/>
            <w:vAlign w:val="bottom"/>
            <w:gridSpan w:val="4"/>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5,672</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2,519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(26)</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9,070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5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rPr>
              <w:t>Full Year 2023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7"/>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3"/>
          </w:tcPr>
          <w:p>
            <w:pPr>
              <w:jc w:val="center"/>
              <w:ind w:right="80"/>
              <w:spacing w:after="0" w:line="147" w:lineRule="exact"/>
              <w:rPr>
                <w:sz w:val="20"/>
                <w:szCs w:val="20"/>
                <w:color w:val="auto"/>
              </w:rPr>
            </w:pPr>
            <w:r>
              <w:rPr>
                <w:rFonts w:ascii="Arial" w:cs="Arial" w:eastAsia="Arial" w:hAnsi="Arial"/>
                <w:sz w:val="14"/>
                <w:szCs w:val="14"/>
                <w:color w:val="auto"/>
              </w:rPr>
              <w:t>Income</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tcPr>
          <w:p>
            <w:pPr>
              <w:jc w:val="center"/>
              <w:ind w:right="220"/>
              <w:spacing w:after="0" w:line="147" w:lineRule="exact"/>
              <w:rPr>
                <w:sz w:val="20"/>
                <w:szCs w:val="20"/>
                <w:color w:val="auto"/>
              </w:rPr>
            </w:pPr>
            <w:r>
              <w:rPr>
                <w:rFonts w:ascii="Arial" w:cs="Arial" w:eastAsia="Arial" w:hAnsi="Arial"/>
                <w:sz w:val="14"/>
                <w:szCs w:val="14"/>
                <w:color w:val="auto"/>
              </w:rPr>
              <w:t>Net Interest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gridSpan w:val="3"/>
          </w:tcPr>
          <w:p>
            <w:pPr>
              <w:jc w:val="center"/>
              <w:ind w:right="100"/>
              <w:spacing w:after="0" w:line="158" w:lineRule="exact"/>
              <w:rPr>
                <w:sz w:val="20"/>
                <w:szCs w:val="20"/>
                <w:color w:val="auto"/>
              </w:rPr>
            </w:pPr>
            <w:r>
              <w:rPr>
                <w:rFonts w:ascii="Arial" w:cs="Arial" w:eastAsia="Arial" w:hAnsi="Arial"/>
                <w:sz w:val="14"/>
                <w:szCs w:val="14"/>
                <w:color w:val="auto"/>
              </w:rPr>
              <w:t>Before</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4"/>
          </w:tcPr>
          <w:p>
            <w:pPr>
              <w:spacing w:after="0" w:line="158" w:lineRule="exact"/>
              <w:rPr>
                <w:sz w:val="20"/>
                <w:szCs w:val="20"/>
                <w:color w:val="auto"/>
              </w:rPr>
            </w:pPr>
            <w:r>
              <w:rPr>
                <w:rFonts w:ascii="Arial" w:cs="Arial" w:eastAsia="Arial" w:hAnsi="Arial"/>
                <w:sz w:val="14"/>
                <w:szCs w:val="14"/>
                <w:color w:val="auto"/>
              </w:rPr>
              <w:t>Depreciation and</w:t>
            </w:r>
          </w:p>
        </w:tc>
        <w:tc>
          <w:tcPr>
            <w:tcW w:w="120" w:type="dxa"/>
            <w:vAlign w:val="bottom"/>
          </w:tcPr>
          <w:p>
            <w:pPr>
              <w:spacing w:after="0"/>
              <w:rPr>
                <w:sz w:val="13"/>
                <w:szCs w:val="13"/>
                <w:color w:val="auto"/>
              </w:rPr>
            </w:pPr>
          </w:p>
        </w:tc>
        <w:tc>
          <w:tcPr>
            <w:tcW w:w="960" w:type="dxa"/>
            <w:vAlign w:val="bottom"/>
            <w:gridSpan w:val="4"/>
          </w:tcPr>
          <w:p>
            <w:pPr>
              <w:jc w:val="center"/>
              <w:ind w:right="200"/>
              <w:spacing w:after="0" w:line="158" w:lineRule="exact"/>
              <w:rPr>
                <w:sz w:val="20"/>
                <w:szCs w:val="20"/>
                <w:color w:val="auto"/>
              </w:rPr>
            </w:pPr>
            <w:r>
              <w:rPr>
                <w:rFonts w:ascii="Arial" w:cs="Arial" w:eastAsia="Arial" w:hAnsi="Arial"/>
                <w:sz w:val="14"/>
                <w:szCs w:val="14"/>
                <w:color w:val="auto"/>
              </w:rPr>
              <w:t>Expense</w:t>
            </w:r>
          </w:p>
        </w:tc>
        <w:tc>
          <w:tcPr>
            <w:tcW w:w="180" w:type="dxa"/>
            <w:vAlign w:val="bottom"/>
          </w:tcPr>
          <w:p>
            <w:pPr>
              <w:spacing w:after="0"/>
              <w:rPr>
                <w:sz w:val="13"/>
                <w:szCs w:val="13"/>
                <w:color w:val="auto"/>
              </w:rPr>
            </w:pPr>
          </w:p>
        </w:tc>
        <w:tc>
          <w:tcPr>
            <w:tcW w:w="820" w:type="dxa"/>
            <w:vAlign w:val="bottom"/>
            <w:gridSpan w:val="3"/>
          </w:tcPr>
          <w:p>
            <w:pPr>
              <w:jc w:val="center"/>
              <w:ind w:right="140"/>
              <w:spacing w:after="0" w:line="158" w:lineRule="exact"/>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color w:val="auto"/>
              </w:rPr>
              <w:t>Revenue</w:t>
            </w:r>
          </w:p>
        </w:tc>
        <w:tc>
          <w:tcPr>
            <w:tcW w:w="340" w:type="dxa"/>
            <w:vAlign w:val="bottom"/>
          </w:tcPr>
          <w:p>
            <w:pPr>
              <w:spacing w:after="0"/>
              <w:rPr>
                <w:sz w:val="15"/>
                <w:szCs w:val="15"/>
                <w:color w:val="auto"/>
              </w:rPr>
            </w:pPr>
          </w:p>
        </w:tc>
        <w:tc>
          <w:tcPr>
            <w:tcW w:w="640" w:type="dxa"/>
            <w:vAlign w:val="bottom"/>
            <w:gridSpan w:val="3"/>
          </w:tcPr>
          <w:p>
            <w:pPr>
              <w:jc w:val="center"/>
              <w:ind w:right="100"/>
              <w:spacing w:after="0"/>
              <w:rPr>
                <w:sz w:val="20"/>
                <w:szCs w:val="20"/>
                <w:color w:val="auto"/>
              </w:rPr>
            </w:pPr>
            <w:r>
              <w:rPr>
                <w:rFonts w:ascii="Arial" w:cs="Arial" w:eastAsia="Arial" w:hAnsi="Arial"/>
                <w:sz w:val="14"/>
                <w:szCs w:val="14"/>
                <w:color w:val="auto"/>
                <w:w w:val="99"/>
              </w:rPr>
              <w:t>Taxes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4"/>
          </w:tcPr>
          <w:p>
            <w:pPr>
              <w:ind w:left="60"/>
              <w:spacing w:after="0" w:line="175" w:lineRule="exact"/>
              <w:rPr>
                <w:sz w:val="20"/>
                <w:szCs w:val="20"/>
                <w:color w:val="auto"/>
              </w:rPr>
            </w:pPr>
            <w:r>
              <w:rPr>
                <w:rFonts w:ascii="Arial" w:cs="Arial" w:eastAsia="Arial" w:hAnsi="Arial"/>
                <w:sz w:val="14"/>
                <w:szCs w:val="14"/>
                <w:color w:val="auto"/>
              </w:rPr>
              <w:t xml:space="preserve">Amortization </w:t>
            </w:r>
            <w:r>
              <w:rPr>
                <w:rFonts w:ascii="Arial" w:cs="Arial" w:eastAsia="Arial" w:hAnsi="Arial"/>
                <w:sz w:val="20"/>
                <w:szCs w:val="20"/>
                <w:color w:val="auto"/>
                <w:vertAlign w:val="superscript"/>
              </w:rPr>
              <w:t>(3)</w:t>
            </w:r>
          </w:p>
        </w:tc>
        <w:tc>
          <w:tcPr>
            <w:tcW w:w="120" w:type="dxa"/>
            <w:vAlign w:val="bottom"/>
          </w:tcPr>
          <w:p>
            <w:pPr>
              <w:spacing w:after="0"/>
              <w:rPr>
                <w:sz w:val="15"/>
                <w:szCs w:val="15"/>
                <w:color w:val="auto"/>
              </w:rPr>
            </w:pPr>
          </w:p>
        </w:tc>
        <w:tc>
          <w:tcPr>
            <w:tcW w:w="960" w:type="dxa"/>
            <w:vAlign w:val="bottom"/>
            <w:gridSpan w:val="4"/>
          </w:tcPr>
          <w:p>
            <w:pPr>
              <w:jc w:val="center"/>
              <w:ind w:right="220"/>
              <w:spacing w:after="0" w:line="175" w:lineRule="exact"/>
              <w:rPr>
                <w:sz w:val="20"/>
                <w:szCs w:val="20"/>
                <w:color w:val="auto"/>
              </w:rPr>
            </w:pPr>
            <w:r>
              <w:rPr>
                <w:rFonts w:ascii="Arial" w:cs="Arial" w:eastAsia="Arial" w:hAnsi="Arial"/>
                <w:sz w:val="14"/>
                <w:szCs w:val="14"/>
                <w:color w:val="auto"/>
                <w:w w:val="98"/>
              </w:rPr>
              <w:t xml:space="preserve">(Income) </w:t>
            </w:r>
            <w:r>
              <w:rPr>
                <w:rFonts w:ascii="Arial" w:cs="Arial" w:eastAsia="Arial" w:hAnsi="Arial"/>
                <w:sz w:val="20"/>
                <w:szCs w:val="20"/>
                <w:color w:val="auto"/>
                <w:w w:val="98"/>
                <w:vertAlign w:val="superscript"/>
              </w:rPr>
              <w:t>(4)</w:t>
            </w:r>
          </w:p>
        </w:tc>
        <w:tc>
          <w:tcPr>
            <w:tcW w:w="180" w:type="dxa"/>
            <w:vAlign w:val="bottom"/>
          </w:tcPr>
          <w:p>
            <w:pPr>
              <w:spacing w:after="0"/>
              <w:rPr>
                <w:sz w:val="15"/>
                <w:szCs w:val="15"/>
                <w:color w:val="auto"/>
              </w:rPr>
            </w:pPr>
          </w:p>
        </w:tc>
        <w:tc>
          <w:tcPr>
            <w:tcW w:w="820" w:type="dxa"/>
            <w:vAlign w:val="bottom"/>
            <w:gridSpan w:val="3"/>
          </w:tcPr>
          <w:p>
            <w:pPr>
              <w:spacing w:after="0" w:line="175" w:lineRule="exact"/>
              <w:rPr>
                <w:sz w:val="20"/>
                <w:szCs w:val="20"/>
                <w:color w:val="auto"/>
              </w:rPr>
            </w:pPr>
            <w:r>
              <w:rPr>
                <w:rFonts w:ascii="Arial" w:cs="Arial" w:eastAsia="Arial" w:hAnsi="Arial"/>
                <w:sz w:val="14"/>
                <w:szCs w:val="14"/>
                <w:color w:val="auto"/>
              </w:rPr>
              <w:t xml:space="preserve">EBITDA </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$26,188</w:t>
            </w:r>
          </w:p>
        </w:tc>
        <w:tc>
          <w:tcPr>
            <w:tcW w:w="340" w:type="dxa"/>
            <w:vAlign w:val="bottom"/>
            <w:tcBorders>
              <w:top w:val="single" w:sz="8" w:color="CCEEFF"/>
              <w:left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$5,486</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1,513</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6,988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6,727</w:t>
            </w:r>
          </w:p>
        </w:tc>
        <w:tc>
          <w:tcPr>
            <w:tcW w:w="98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1,157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389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w:t>
            </w:r>
          </w:p>
        </w:tc>
        <w:tc>
          <w:tcPr>
            <w:tcW w:w="980" w:type="dxa"/>
            <w:vAlign w:val="bottom"/>
            <w:tcBorders>
              <w:left w:val="single" w:sz="8" w:color="CCEEFF"/>
            </w:tcBorders>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6,523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80" w:type="dxa"/>
            <w:vAlign w:val="bottom"/>
            <w:tcBorders>
              <w:left w:val="single" w:sz="8" w:color="CCEEFF"/>
            </w:tcBorders>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(729)</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3"/>
                <w:szCs w:val="23"/>
                <w:color w:val="auto"/>
                <w:vertAlign w:val="superscript"/>
              </w:rPr>
              <w:t>(1)</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3"/>
                <w:szCs w:val="23"/>
                <w:color w:val="auto"/>
                <w:vertAlign w:val="superscript"/>
              </w:rPr>
              <w:t>(1)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80" w:type="dxa"/>
            <w:vAlign w:val="bottom"/>
            <w:tcBorders>
              <w:left w:val="single" w:sz="8" w:color="CCEEFF"/>
            </w:tcBorders>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(489)</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3"/>
                <w:szCs w:val="23"/>
                <w:color w:val="auto"/>
                <w:vertAlign w:val="superscript"/>
              </w:rPr>
              <w:t>(2)</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(110)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33,135</w:t>
            </w:r>
          </w:p>
        </w:tc>
        <w:tc>
          <w:tcPr>
            <w:tcW w:w="980" w:type="dxa"/>
            <w:vAlign w:val="bottom"/>
            <w:tcBorders>
              <w:left w:val="single" w:sz="8" w:color="CCEEFF"/>
            </w:tcBorders>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5,282</w:t>
            </w:r>
          </w:p>
        </w:tc>
        <w:tc>
          <w:tcPr>
            <w:tcW w:w="44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2,312</w:t>
            </w:r>
          </w:p>
        </w:tc>
        <w:tc>
          <w:tcPr>
            <w:tcW w:w="4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8,107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27"/>
          <w:szCs w:val="27"/>
          <w:color w:val="auto"/>
          <w:vertAlign w:val="superscript"/>
        </w:rPr>
        <w:t>((1)</w:t>
      </w:r>
      <w:r>
        <w:rPr>
          <w:sz w:val="20"/>
          <w:szCs w:val="20"/>
          <w:color w:val="auto"/>
        </w:rPr>
        <w:tab/>
      </w:r>
      <w:r>
        <w:rPr>
          <w:rFonts w:ascii="Arial" w:cs="Arial" w:eastAsia="Arial" w:hAnsi="Arial"/>
          <w:sz w:val="18"/>
          <w:szCs w:val="18"/>
          <w:color w:val="auto"/>
        </w:rPr>
        <w:t>Excludes amounts which are included in the segments’ results.</w:t>
      </w:r>
    </w:p>
    <w:p>
      <w:pPr>
        <w:ind w:left="424" w:hanging="424"/>
        <w:spacing w:after="0" w:line="183" w:lineRule="auto"/>
        <w:tabs>
          <w:tab w:leader="none" w:pos="424" w:val="left"/>
        </w:tabs>
        <w:numPr>
          <w:ilvl w:val="0"/>
          <w:numId w:val="16"/>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16"/>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APS and exploration data costs.</w:t>
      </w:r>
    </w:p>
    <w:p>
      <w:pPr>
        <w:ind w:left="424" w:hanging="424"/>
        <w:spacing w:after="0" w:line="183" w:lineRule="auto"/>
        <w:tabs>
          <w:tab w:leader="none" w:pos="424" w:val="left"/>
        </w:tabs>
        <w:numPr>
          <w:ilvl w:val="0"/>
          <w:numId w:val="16"/>
        </w:numPr>
        <w:rPr>
          <w:rFonts w:ascii="Arial" w:cs="Arial" w:eastAsia="Arial" w:hAnsi="Arial"/>
          <w:sz w:val="23"/>
          <w:szCs w:val="23"/>
          <w:color w:val="auto"/>
          <w:vertAlign w:val="superscript"/>
        </w:rPr>
      </w:pPr>
      <w:r>
        <w:rPr>
          <w:rFonts w:ascii="Arial" w:cs="Arial" w:eastAsia="Arial" w:hAnsi="Arial"/>
          <w:sz w:val="16"/>
          <w:szCs w:val="16"/>
          <w:color w:val="auto"/>
        </w:rPr>
        <w:t>Excludes interest income and interest expense recorded at the corporate level.</w:t>
      </w:r>
    </w:p>
    <w:p>
      <w:pPr>
        <w:ind w:left="424" w:right="320" w:hanging="424"/>
        <w:spacing w:after="0" w:line="196" w:lineRule="auto"/>
        <w:tabs>
          <w:tab w:leader="none" w:pos="424"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Adjusted EBITDA represents income before taxes excluding depreciation and amortization, interest income, interest expense and charges &amp; credits.</w:t>
      </w:r>
    </w:p>
    <w:p>
      <w:pPr>
        <w:sectPr>
          <w:pgSz w:w="11900" w:h="16838" w:orient="portrait"/>
          <w:cols w:equalWidth="0" w:num="1">
            <w:col w:w="11024"/>
          </w:cols>
          <w:pgMar w:left="436" w:top="269" w:right="439" w:bottom="1440" w:gutter="0" w:footer="0" w:header="0"/>
        </w:sectPr>
      </w:pPr>
    </w:p>
    <w:bookmarkStart w:id="26" w:name="page27"/>
    <w:bookmarkEnd w:id="2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Supplementary Information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Frequently Asked Questions</w:t>
      </w:r>
    </w:p>
    <w:p>
      <w:pPr>
        <w:spacing w:after="0" w:line="117"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2025?</w:t>
      </w:r>
    </w:p>
    <w:p>
      <w:pPr>
        <w:spacing w:after="0" w:line="103" w:lineRule="exact"/>
        <w:rPr>
          <w:rFonts w:ascii="Arial" w:cs="Arial" w:eastAsia="Arial" w:hAnsi="Arial"/>
          <w:sz w:val="18"/>
          <w:szCs w:val="18"/>
          <w:b w:val="1"/>
          <w:bCs w:val="1"/>
          <w:color w:val="auto"/>
        </w:rPr>
      </w:pPr>
    </w:p>
    <w:p>
      <w:pPr>
        <w:ind w:left="444" w:righ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Capital investment (consisting of capex, exploration data costs and APS investments) for the full-year 2025 is expected to be approximately $2.3 billion. This amount is excluding any impact from the anticipated closure of the announced acquisition of ChampionX. Capital investment for the full-year 2024 was $2.6 billion.</w:t>
      </w:r>
    </w:p>
    <w:p>
      <w:pPr>
        <w:spacing w:after="0" w:line="74"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fourth quarter of 2024?</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fourth quarter of 2024 was $2.39 billion and free cash flow was $1.63 billion.</w:t>
      </w:r>
    </w:p>
    <w:p>
      <w:pPr>
        <w:spacing w:after="0" w:line="117"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full year of 2024?</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full year of 2024 was $6.60 billion and free cash flow was $3.99 billion.</w:t>
      </w:r>
    </w:p>
    <w:p>
      <w:pPr>
        <w:spacing w:after="0" w:line="117"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&amp; other income” for the fourth quarter of 2024?</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“Interest &amp; other income” for the fourth quarter of 2024 was $115 million. This consisted of the following:</w:t>
      </w:r>
    </w:p>
    <w:p>
      <w:pPr>
        <w:spacing w:after="0" w:line="127"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color w:val="auto"/>
              </w:rPr>
              <w:t>(Stated in millions)</w:t>
            </w: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sale of investment</w:t>
            </w:r>
          </w:p>
        </w:tc>
        <w:tc>
          <w:tcPr>
            <w:tcW w:w="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w:t>
            </w:r>
          </w:p>
        </w:tc>
        <w:tc>
          <w:tcPr>
            <w:tcW w:w="40" w:type="dxa"/>
            <w:vAlign w:val="bottom"/>
          </w:tcPr>
          <w:p>
            <w:pPr>
              <w:spacing w:after="0"/>
              <w:rPr>
                <w:sz w:val="17"/>
                <w:szCs w:val="17"/>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of equity method investments</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7"/>
                <w:szCs w:val="17"/>
                <w:color w:val="auto"/>
              </w:rPr>
            </w:pPr>
          </w:p>
        </w:tc>
      </w:tr>
      <w:tr>
        <w:trPr>
          <w:trHeight w:val="209"/>
        </w:trPr>
        <w:tc>
          <w:tcPr>
            <w:tcW w:w="6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fourth quarter of 2024?</w:t>
      </w:r>
    </w:p>
    <w:p>
      <w:pPr>
        <w:spacing w:after="0" w:line="103" w:lineRule="exact"/>
        <w:rPr>
          <w:rFonts w:ascii="Arial" w:cs="Arial" w:eastAsia="Arial" w:hAnsi="Arial"/>
          <w:sz w:val="18"/>
          <w:szCs w:val="18"/>
          <w:b w:val="1"/>
          <w:bCs w:val="1"/>
          <w:color w:val="auto"/>
        </w:rPr>
      </w:pPr>
    </w:p>
    <w:p>
      <w:pPr>
        <w:ind w:left="444" w:right="5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income of $46 million for the fourth quarter of 2024 decreased $6 million sequentially. Interest expense of $131 million decreased $5 million sequentially.</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SLB’s consolidated income before taxes and Pretax segment operating income?</w:t>
      </w:r>
    </w:p>
    <w:p>
      <w:pPr>
        <w:spacing w:after="0" w:line="103" w:lineRule="exact"/>
        <w:rPr>
          <w:rFonts w:ascii="Arial" w:cs="Arial" w:eastAsia="Arial" w:hAnsi="Arial"/>
          <w:sz w:val="18"/>
          <w:szCs w:val="18"/>
          <w:b w:val="1"/>
          <w:bCs w:val="1"/>
          <w:color w:val="auto"/>
        </w:rPr>
      </w:pPr>
    </w:p>
    <w:p>
      <w:pPr>
        <w:ind w:left="444" w:right="2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 operating items.</w:t>
      </w:r>
    </w:p>
    <w:p>
      <w:pPr>
        <w:spacing w:after="0" w:line="74" w:lineRule="exact"/>
        <w:rPr>
          <w:rFonts w:ascii="Arial" w:cs="Arial" w:eastAsia="Arial" w:hAnsi="Arial"/>
          <w:sz w:val="18"/>
          <w:szCs w:val="18"/>
          <w:b w:val="1"/>
          <w:bCs w:val="1"/>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fourth quarter of 2024?</w:t>
      </w:r>
    </w:p>
    <w:p>
      <w:pPr>
        <w:spacing w:after="0" w:line="103" w:lineRule="exact"/>
        <w:rPr>
          <w:rFonts w:ascii="Arial" w:cs="Arial" w:eastAsia="Arial" w:hAnsi="Arial"/>
          <w:sz w:val="18"/>
          <w:szCs w:val="18"/>
          <w:b w:val="1"/>
          <w:bCs w:val="1"/>
          <w:color w:val="auto"/>
        </w:rPr>
      </w:pPr>
    </w:p>
    <w:p>
      <w:pPr>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ETR for the fourth quarter of 2024, calculated in accordance with GAAP, was 19.4% as compared to 19.2% for the third quarter of 2024. Excluding charges and credits, the ETR for the fourth quarter of 2024 was 18.7% as compared to 19.1% for the third quarter of 2024.</w:t>
      </w:r>
    </w:p>
    <w:p>
      <w:pPr>
        <w:spacing w:after="0" w:line="74" w:lineRule="exact"/>
        <w:rPr>
          <w:rFonts w:ascii="Arial" w:cs="Arial" w:eastAsia="Arial" w:hAnsi="Arial"/>
          <w:sz w:val="18"/>
          <w:szCs w:val="18"/>
          <w:b w:val="1"/>
          <w:bCs w:val="1"/>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full year of 2024?</w:t>
      </w:r>
    </w:p>
    <w:p>
      <w:pPr>
        <w:spacing w:after="0" w:line="103" w:lineRule="exact"/>
        <w:rPr>
          <w:rFonts w:ascii="Arial" w:cs="Arial" w:eastAsia="Arial" w:hAnsi="Arial"/>
          <w:sz w:val="18"/>
          <w:szCs w:val="18"/>
          <w:b w:val="1"/>
          <w:bCs w:val="1"/>
          <w:color w:val="auto"/>
        </w:rPr>
      </w:pPr>
    </w:p>
    <w:p>
      <w:pPr>
        <w:ind w:left="444" w:right="2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ETR for the full year of 2024, calculated in accordance with GAAP, was 19.3% as compared to 19.1% for the full year of 2023. Excluding charges and credits, the ETR for the full year of 2024 was 19.0% as compared to 18.7% for the full year of 2023.</w:t>
      </w:r>
    </w:p>
    <w:p>
      <w:pPr>
        <w:spacing w:after="0" w:line="59" w:lineRule="exact"/>
        <w:rPr>
          <w:rFonts w:ascii="Arial" w:cs="Arial" w:eastAsia="Arial" w:hAnsi="Arial"/>
          <w:sz w:val="18"/>
          <w:szCs w:val="18"/>
          <w:b w:val="1"/>
          <w:bCs w:val="1"/>
          <w:color w:val="auto"/>
        </w:rPr>
      </w:pPr>
    </w:p>
    <w:p>
      <w:pPr>
        <w:ind w:left="424" w:right="260" w:hanging="424"/>
        <w:spacing w:after="0" w:line="281" w:lineRule="auto"/>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December 31, 2024, and how did this change from the end of the previous quarter?</w:t>
      </w:r>
    </w:p>
    <w:p>
      <w:pPr>
        <w:spacing w:after="0" w:line="28" w:lineRule="exact"/>
        <w:rPr>
          <w:rFonts w:ascii="Arial" w:cs="Arial" w:eastAsia="Arial" w:hAnsi="Arial"/>
          <w:sz w:val="18"/>
          <w:szCs w:val="18"/>
          <w:b w:val="1"/>
          <w:bCs w:val="1"/>
          <w:color w:val="auto"/>
        </w:rPr>
      </w:pPr>
    </w:p>
    <w:p>
      <w:pPr>
        <w:ind w:left="444" w:right="1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There were 1.401 billion shares of common stock outstanding as of December 31, 2024, and 1.412 billion shares outstanding as of September 30, 2024.</w:t>
      </w:r>
    </w:p>
    <w:p>
      <w:pPr>
        <w:spacing w:after="0" w:line="190"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(Stated in millions)</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September 30, 2024</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17"/>
                <w:szCs w:val="17"/>
                <w:color w:val="auto"/>
              </w:rPr>
            </w:pPr>
          </w:p>
        </w:tc>
      </w:tr>
      <w:tr>
        <w:trPr>
          <w:trHeight w:val="202"/>
        </w:trPr>
        <w:tc>
          <w:tcPr>
            <w:tcW w:w="6180" w:type="dxa"/>
            <w:vAlign w:val="bottom"/>
          </w:tcPr>
          <w:p>
            <w:pPr>
              <w:spacing w:after="0" w:line="202" w:lineRule="exact"/>
              <w:rPr>
                <w:sz w:val="20"/>
                <w:szCs w:val="20"/>
                <w:color w:val="auto"/>
              </w:rPr>
            </w:pPr>
            <w:r>
              <w:rPr>
                <w:rFonts w:ascii="Arial" w:cs="Arial" w:eastAsia="Arial" w:hAnsi="Arial"/>
                <w:sz w:val="18"/>
                <w:szCs w:val="18"/>
                <w:color w:val="auto"/>
              </w:rPr>
              <w:t>Shares issued under employee stock purchase plan</w:t>
            </w:r>
          </w:p>
        </w:tc>
        <w:tc>
          <w:tcPr>
            <w:tcW w:w="13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to optionees, less shares exchanged</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Vesting of restricted stock</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repurchase program</w:t>
            </w:r>
          </w:p>
        </w:tc>
        <w:tc>
          <w:tcPr>
            <w:tcW w:w="13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Shares outstanding at December31,2024</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004"/>
          </w:cols>
          <w:pgMar w:left="436" w:top="269" w:right="459" w:bottom="1440" w:gutter="0" w:footer="0" w:header="0"/>
        </w:sectPr>
      </w:pPr>
    </w:p>
    <w:bookmarkStart w:id="27" w:name="page28"/>
    <w:bookmarkEnd w:id="27"/>
    <w:p>
      <w:pPr>
        <w:jc w:val="both"/>
        <w:ind w:left="424" w:hanging="424"/>
        <w:spacing w:after="0" w:line="257" w:lineRule="auto"/>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was the weighted average number of shares outstanding during the fourth quarter of 2024 and third quarter of 2024? How does this reconcile to the average number of shares outstanding, assuming dilution, used in the calculation of diluted earnings per share?</w:t>
      </w:r>
    </w:p>
    <w:p>
      <w:pPr>
        <w:spacing w:after="0" w:line="50" w:lineRule="exact"/>
        <w:rPr>
          <w:rFonts w:ascii="Arial" w:cs="Arial" w:eastAsia="Arial" w:hAnsi="Arial"/>
          <w:sz w:val="18"/>
          <w:szCs w:val="18"/>
          <w:b w:val="1"/>
          <w:bCs w:val="1"/>
          <w:color w:val="auto"/>
        </w:rPr>
      </w:pPr>
    </w:p>
    <w:p>
      <w:pPr>
        <w:jc w:val="both"/>
        <w:ind w:left="444"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1.406 billion during the fourth quarter of 2024 and 1.417 billion during the third quarter of 2024. The following is a reconciliation of the weighted average shares outstanding to the average number of shares outstanding, assuming dilution, used in the calculation of diluted earnings per share.</w:t>
      </w:r>
    </w:p>
    <w:p>
      <w:pPr>
        <w:spacing w:after="0" w:line="206"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4"/>
                <w:szCs w:val="14"/>
                <w:color w:val="auto"/>
              </w:rPr>
              <w:t>(Stated in millions)</w:t>
            </w:r>
          </w:p>
        </w:tc>
      </w:tr>
      <w:tr>
        <w:trPr>
          <w:trHeight w:val="162"/>
        </w:trPr>
        <w:tc>
          <w:tcPr>
            <w:tcW w:w="530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Fourth Quarter</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color w:val="auto"/>
              </w:rPr>
              <w:t>Third Quarter</w:t>
            </w:r>
          </w:p>
        </w:tc>
      </w:tr>
      <w:tr>
        <w:trPr>
          <w:trHeight w:val="171"/>
        </w:trPr>
        <w:tc>
          <w:tcPr>
            <w:tcW w:w="53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2024</w:t>
            </w:r>
          </w:p>
        </w:tc>
        <w:tc>
          <w:tcPr>
            <w:tcW w:w="40" w:type="dxa"/>
            <w:vAlign w:val="bottom"/>
            <w:tcBorders>
              <w:bottom w:val="single" w:sz="8" w:color="CCEEFF"/>
            </w:tcBorders>
          </w:tcPr>
          <w:p>
            <w:pPr>
              <w:spacing w:after="0"/>
              <w:rPr>
                <w:sz w:val="14"/>
                <w:szCs w:val="14"/>
                <w:color w:val="auto"/>
              </w:rPr>
            </w:pPr>
          </w:p>
        </w:tc>
      </w:tr>
      <w:tr>
        <w:trPr>
          <w:trHeight w:val="196"/>
        </w:trPr>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1,406</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1,417</w:t>
            </w:r>
          </w:p>
        </w:tc>
        <w:tc>
          <w:tcPr>
            <w:tcW w:w="40" w:type="dxa"/>
            <w:vAlign w:val="bottom"/>
            <w:shd w:val="clear" w:color="auto" w:fill="CCEEFF"/>
          </w:tcPr>
          <w:p>
            <w:pPr>
              <w:spacing w:after="0"/>
              <w:rPr>
                <w:sz w:val="17"/>
                <w:szCs w:val="17"/>
                <w:color w:val="auto"/>
              </w:rPr>
            </w:pPr>
          </w:p>
        </w:tc>
      </w:tr>
      <w:tr>
        <w:trPr>
          <w:trHeight w:val="202"/>
        </w:trPr>
        <w:tc>
          <w:tcPr>
            <w:tcW w:w="5300" w:type="dxa"/>
            <w:vAlign w:val="bottom"/>
          </w:tcPr>
          <w:p>
            <w:pPr>
              <w:spacing w:after="0" w:line="202" w:lineRule="exact"/>
              <w:rPr>
                <w:sz w:val="20"/>
                <w:szCs w:val="20"/>
                <w:color w:val="auto"/>
              </w:rPr>
            </w:pPr>
            <w:r>
              <w:rPr>
                <w:rFonts w:ascii="Arial" w:cs="Arial" w:eastAsia="Arial" w:hAnsi="Arial"/>
                <w:sz w:val="18"/>
                <w:szCs w:val="18"/>
                <w:color w:val="auto"/>
              </w:rPr>
              <w:t>Unvested restricted stock</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13</w:t>
            </w:r>
          </w:p>
        </w:tc>
        <w:tc>
          <w:tcPr>
            <w:tcW w:w="76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w:t>
            </w: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exercise of stock options</w:t>
            </w: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w:t>
            </w:r>
          </w:p>
        </w:tc>
        <w:tc>
          <w:tcPr>
            <w:tcW w:w="7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1,420</w:t>
            </w:r>
          </w:p>
        </w:tc>
        <w:tc>
          <w:tcPr>
            <w:tcW w:w="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4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60" w:hanging="424"/>
        <w:spacing w:after="0" w:line="281" w:lineRule="auto"/>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SLB’s adjusted EBITDA in the fourth quarter of 2024, the third quarter of 2024, the fourth quarter of 2023, the full year of 2024, and the full year of 2023? What was SLB’s adjusted EBITDA margin for those periods?</w:t>
      </w:r>
    </w:p>
    <w:p>
      <w:pPr>
        <w:spacing w:after="0" w:line="28" w:lineRule="exact"/>
        <w:rPr>
          <w:rFonts w:ascii="Arial" w:cs="Arial" w:eastAsia="Arial" w:hAnsi="Arial"/>
          <w:sz w:val="18"/>
          <w:szCs w:val="18"/>
          <w:b w:val="1"/>
          <w:bCs w:val="1"/>
          <w:color w:val="auto"/>
        </w:rPr>
      </w:pPr>
    </w:p>
    <w:p>
      <w:pPr>
        <w:ind w:left="444"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SLB’s adjusted EBITDA was $2.382 billion in the fourth quarter of 2024, $2.343 billion in the third quarter of 2024, and $2.277 billion in the fourth quarter of 2023.</w:t>
      </w:r>
    </w:p>
    <w:p>
      <w:pPr>
        <w:spacing w:after="0" w:line="45" w:lineRule="exact"/>
        <w:rPr>
          <w:rFonts w:ascii="Arial" w:cs="Arial" w:eastAsia="Arial" w:hAnsi="Arial"/>
          <w:sz w:val="18"/>
          <w:szCs w:val="18"/>
          <w:b w:val="1"/>
          <w:bCs w:val="1"/>
          <w:color w:val="auto"/>
        </w:rPr>
      </w:pPr>
    </w:p>
    <w:p>
      <w:pPr>
        <w:ind w:left="444" w:right="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SLB’s adjusted EBITDA margin was 25.7% in the fourth quarter of 2024, 25.6% in the third quarter of 2024, and 25.3% in the fourth quarter of 2023.</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40" w:type="dxa"/>
            <w:vAlign w:val="bottom"/>
            <w:gridSpan w:val="4"/>
          </w:tcPr>
          <w:p>
            <w:pPr>
              <w:ind w:left="360"/>
              <w:spacing w:after="0"/>
              <w:rPr>
                <w:sz w:val="20"/>
                <w:szCs w:val="20"/>
                <w:color w:val="auto"/>
              </w:rPr>
            </w:pPr>
            <w:r>
              <w:rPr>
                <w:rFonts w:ascii="Arial" w:cs="Arial" w:eastAsia="Arial" w:hAnsi="Arial"/>
                <w:sz w:val="14"/>
                <w:szCs w:val="14"/>
                <w:b w:val="1"/>
                <w:bCs w:val="1"/>
                <w:color w:val="auto"/>
              </w:rPr>
              <w:t>Fourth Quarter</w:t>
            </w:r>
          </w:p>
        </w:tc>
        <w:tc>
          <w:tcPr>
            <w:tcW w:w="1520" w:type="dxa"/>
            <w:vAlign w:val="bottom"/>
            <w:gridSpan w:val="4"/>
          </w:tcPr>
          <w:p>
            <w:pPr>
              <w:ind w:left="320"/>
              <w:spacing w:after="0"/>
              <w:rPr>
                <w:sz w:val="20"/>
                <w:szCs w:val="20"/>
                <w:color w:val="auto"/>
              </w:rPr>
            </w:pPr>
            <w:r>
              <w:rPr>
                <w:rFonts w:ascii="Arial" w:cs="Arial" w:eastAsia="Arial" w:hAnsi="Arial"/>
                <w:sz w:val="14"/>
                <w:szCs w:val="14"/>
                <w:color w:val="auto"/>
              </w:rPr>
              <w:t>Third Quarter</w:t>
            </w:r>
          </w:p>
        </w:tc>
        <w:tc>
          <w:tcPr>
            <w:tcW w:w="1600" w:type="dxa"/>
            <w:vAlign w:val="bottom"/>
            <w:gridSpan w:val="4"/>
          </w:tcPr>
          <w:p>
            <w:pPr>
              <w:jc w:val="right"/>
              <w:ind w:right="220"/>
              <w:spacing w:after="0"/>
              <w:rPr>
                <w:sz w:val="20"/>
                <w:szCs w:val="20"/>
                <w:color w:val="auto"/>
              </w:rPr>
            </w:pPr>
            <w:r>
              <w:rPr>
                <w:rFonts w:ascii="Arial" w:cs="Arial" w:eastAsia="Arial" w:hAnsi="Arial"/>
                <w:sz w:val="14"/>
                <w:szCs w:val="14"/>
                <w:color w:val="auto"/>
              </w:rPr>
              <w:t>Fourth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1,095</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1,186</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1,113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3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269</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289</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0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1,387</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1,507</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262</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648</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640</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131</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(46)</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(52)</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5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2,382</w:t>
            </w:r>
          </w:p>
        </w:tc>
        <w:tc>
          <w:tcPr>
            <w:tcW w:w="4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2,343</w:t>
            </w: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9,284</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9,159</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8,990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25.7%</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25.6%</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44"/>
          </w:cols>
          <w:pgMar w:left="436" w:top="269" w:right="51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SLB’s adjusted EBITDA was $9.070 billion for the full year of 2024, and $8.107 billion for the full year of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SLB’s adjusted EBITDA margin was 25.0% for the full year of 2024, and 24.5% for the full year of 2023.</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color w:val="auto"/>
              </w:rPr>
              <w:t>2023</w:t>
            </w:r>
          </w:p>
        </w:tc>
        <w:tc>
          <w:tcPr>
            <w:tcW w:w="5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4,461</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4,203</w:t>
            </w: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118</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10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1,093</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1,007</w:t>
            </w: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1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5,672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5,282</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541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2,519</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2,312</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512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503</w:t>
            </w: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(174)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(100)</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9,070</w:t>
            </w:r>
          </w:p>
        </w:tc>
        <w:tc>
          <w:tcPr>
            <w:tcW w:w="3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8,107</w:t>
            </w:r>
          </w:p>
        </w:tc>
        <w:tc>
          <w:tcPr>
            <w:tcW w:w="5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8"/>
              </w:rPr>
              <w:t>36,289</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w w:val="98"/>
              </w:rPr>
              <w:t>33,135</w:t>
            </w:r>
          </w:p>
        </w:tc>
        <w:tc>
          <w:tcPr>
            <w:tcW w:w="540" w:type="dxa"/>
            <w:vAlign w:val="bottom"/>
          </w:tcPr>
          <w:p>
            <w:pPr>
              <w:spacing w:after="0"/>
              <w:rPr>
                <w:sz w:val="17"/>
                <w:szCs w:val="17"/>
                <w:color w:val="auto"/>
              </w:rPr>
            </w:pPr>
          </w:p>
        </w:tc>
        <w:tc>
          <w:tcPr>
            <w:tcW w:w="8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25.0%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24.5%</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 bps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Adjusted EBITDA represents income before taxes, excluding charges &amp; credits, depreciation and amortization, interest expense, and interest income. Management believes that adjusted EBITDA is an important profitability measure for SLB and that it provides useful perspective on SLB’s underlying business results and operating trends, and a means to evaluate SLB’s operations period over period.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ectPr>
          <w:pgSz w:w="11900" w:h="16838" w:orient="portrait"/>
          <w:cols w:equalWidth="0" w:num="1">
            <w:col w:w="10540"/>
          </w:cols>
          <w:pgMar w:left="880" w:top="269" w:right="479" w:bottom="1440" w:gutter="0" w:footer="0" w:header="0"/>
        </w:sectPr>
      </w:pPr>
    </w:p>
    <w:bookmarkStart w:id="29" w:name="page30"/>
    <w:bookmarkEnd w:id="29"/>
    <w:p>
      <w:pPr>
        <w:ind w:left="424" w:right="80" w:hanging="424"/>
        <w:spacing w:after="0" w:line="281" w:lineRule="auto"/>
        <w:tabs>
          <w:tab w:leader="none" w:pos="42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were the components of depreciation and amortization expense for the fourth quarter of 2024, the third quarter of 2024, and the fourth quarter of 2023, the full year of 2024, and the full year of 2023?</w:t>
      </w:r>
    </w:p>
    <w:p>
      <w:pPr>
        <w:spacing w:after="0" w:line="28" w:lineRule="exact"/>
        <w:rPr>
          <w:rFonts w:ascii="Arial" w:cs="Arial" w:eastAsia="Arial" w:hAnsi="Arial"/>
          <w:sz w:val="18"/>
          <w:szCs w:val="18"/>
          <w:b w:val="1"/>
          <w:bCs w:val="1"/>
          <w:color w:val="auto"/>
        </w:rPr>
      </w:pPr>
    </w:p>
    <w:p>
      <w:pPr>
        <w:ind w:left="444"/>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fourth quarter of 2024, the third quarter of 2024, and the fourth quarter of 2023 were as follows:</w:t>
      </w:r>
    </w:p>
    <w:p>
      <w:pPr>
        <w:sectPr>
          <w:pgSz w:w="11900" w:h="16838" w:orient="portrait"/>
          <w:cols w:equalWidth="0" w:num="1">
            <w:col w:w="10684"/>
          </w:cols>
          <w:pgMar w:left="436" w:top="269"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4"/>
        <w:spacing w:after="0"/>
        <w:rPr>
          <w:sz w:val="20"/>
          <w:szCs w:val="20"/>
          <w:color w:val="auto"/>
        </w:rPr>
      </w:pPr>
      <w:r>
        <w:rPr>
          <w:rFonts w:ascii="Arial" w:cs="Arial" w:eastAsia="Arial" w:hAnsi="Arial"/>
          <w:sz w:val="18"/>
          <w:szCs w:val="18"/>
          <w:color w:val="auto"/>
        </w:rPr>
        <w:t>Depreciation of fixed assets</w:t>
      </w:r>
    </w:p>
    <w:p>
      <w:pPr>
        <w:spacing w:after="0" w:line="2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intangible assets</w:t>
      </w:r>
    </w:p>
    <w:p>
      <w:pPr>
        <w:ind w:left="884"/>
        <w:spacing w:after="0" w:line="234" w:lineRule="auto"/>
        <w:rPr>
          <w:sz w:val="20"/>
          <w:szCs w:val="20"/>
          <w:color w:val="auto"/>
        </w:rPr>
      </w:pPr>
      <w:r>
        <w:rPr>
          <w:rFonts w:ascii="Arial" w:cs="Arial" w:eastAsia="Arial" w:hAnsi="Arial"/>
          <w:sz w:val="18"/>
          <w:szCs w:val="18"/>
          <w:color w:val="auto"/>
        </w:rPr>
        <w:t>Amortization of APS investments</w:t>
      </w:r>
    </w:p>
    <w:p>
      <w:pPr>
        <w:spacing w:after="0" w:line="1" w:lineRule="exact"/>
        <w:rPr>
          <w:sz w:val="20"/>
          <w:szCs w:val="20"/>
          <w:color w:val="auto"/>
        </w:rPr>
      </w:pPr>
    </w:p>
    <w:p>
      <w:pPr>
        <w:ind w:left="884"/>
        <w:spacing w:after="0"/>
        <w:rPr>
          <w:sz w:val="20"/>
          <w:szCs w:val="20"/>
          <w:color w:val="auto"/>
        </w:rPr>
      </w:pPr>
      <w:r>
        <w:rPr>
          <w:rFonts w:ascii="Arial" w:cs="Arial" w:eastAsia="Arial" w:hAnsi="Arial"/>
          <w:sz w:val="17"/>
          <w:szCs w:val="17"/>
          <w:color w:val="auto"/>
        </w:rPr>
        <w:t>Amortization of exploration data costs capitalized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(Stated in millions)</w:t>
            </w:r>
          </w:p>
        </w:tc>
      </w:tr>
      <w:tr>
        <w:trPr>
          <w:trHeight w:val="162"/>
        </w:trPr>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c>
          <w:tcPr>
            <w:tcW w:w="1580" w:type="dxa"/>
            <w:vAlign w:val="bottom"/>
            <w:gridSpan w:val="3"/>
          </w:tcPr>
          <w:p>
            <w:pPr>
              <w:ind w:left="720"/>
              <w:spacing w:after="0"/>
              <w:rPr>
                <w:sz w:val="20"/>
                <w:szCs w:val="20"/>
                <w:color w:val="auto"/>
              </w:rPr>
            </w:pPr>
            <w:r>
              <w:rPr>
                <w:rFonts w:ascii="Arial" w:cs="Arial" w:eastAsia="Arial" w:hAnsi="Arial"/>
                <w:sz w:val="14"/>
                <w:szCs w:val="14"/>
                <w:color w:val="auto"/>
              </w:rPr>
              <w:t>Third Quarter</w:t>
            </w:r>
          </w:p>
        </w:tc>
        <w:tc>
          <w:tcPr>
            <w:tcW w:w="1680" w:type="dxa"/>
            <w:vAlign w:val="bottom"/>
            <w:gridSpan w:val="3"/>
          </w:tcPr>
          <w:p>
            <w:pPr>
              <w:ind w:left="720"/>
              <w:spacing w:after="0"/>
              <w:rPr>
                <w:sz w:val="20"/>
                <w:szCs w:val="20"/>
                <w:color w:val="auto"/>
              </w:rPr>
            </w:pPr>
            <w:r>
              <w:rPr>
                <w:rFonts w:ascii="Arial" w:cs="Arial" w:eastAsia="Arial" w:hAnsi="Arial"/>
                <w:sz w:val="14"/>
                <w:szCs w:val="14"/>
                <w:color w:val="auto"/>
              </w:rPr>
              <w:t>Fourth Quarter</w:t>
            </w:r>
          </w:p>
        </w:tc>
      </w:tr>
      <w:tr>
        <w:trPr>
          <w:trHeight w:val="171"/>
        </w:trPr>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2024</w:t>
            </w: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2024</w:t>
            </w: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2023</w:t>
            </w:r>
          </w:p>
        </w:tc>
      </w:tr>
      <w:tr>
        <w:trPr>
          <w:trHeight w:val="177"/>
        </w:trPr>
        <w:tc>
          <w:tcPr>
            <w:tcW w:w="20" w:type="dxa"/>
            <w:vAlign w:val="bottom"/>
          </w:tcPr>
          <w:p>
            <w:pPr>
              <w:spacing w:after="0"/>
              <w:rPr>
                <w:sz w:val="15"/>
                <w:szCs w:val="15"/>
                <w:color w:val="auto"/>
              </w:rPr>
            </w:pPr>
          </w:p>
        </w:tc>
        <w:tc>
          <w:tcPr>
            <w:tcW w:w="200" w:type="dxa"/>
            <w:vAlign w:val="bottom"/>
          </w:tcPr>
          <w:p>
            <w:pPr>
              <w:spacing w:after="0" w:line="177"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396</w:t>
            </w:r>
          </w:p>
        </w:tc>
        <w:tc>
          <w:tcPr>
            <w:tcW w:w="720" w:type="dxa"/>
            <w:vAlign w:val="bottom"/>
          </w:tcPr>
          <w:p>
            <w:pPr>
              <w:spacing w:after="0"/>
              <w:rPr>
                <w:sz w:val="15"/>
                <w:szCs w:val="15"/>
                <w:color w:val="auto"/>
              </w:rPr>
            </w:pPr>
          </w:p>
        </w:tc>
        <w:tc>
          <w:tcPr>
            <w:tcW w:w="18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77" w:lineRule="exact"/>
              <w:rPr>
                <w:sz w:val="20"/>
                <w:szCs w:val="20"/>
                <w:color w:val="auto"/>
              </w:rPr>
            </w:pPr>
            <w:r>
              <w:rPr>
                <w:rFonts w:ascii="Arial" w:cs="Arial" w:eastAsia="Arial" w:hAnsi="Arial"/>
                <w:sz w:val="18"/>
                <w:szCs w:val="18"/>
                <w:color w:val="auto"/>
              </w:rPr>
              <w:t>394</w:t>
            </w:r>
          </w:p>
        </w:tc>
        <w:tc>
          <w:tcPr>
            <w:tcW w:w="740" w:type="dxa"/>
            <w:vAlign w:val="bottom"/>
          </w:tcPr>
          <w:p>
            <w:pPr>
              <w:spacing w:after="0"/>
              <w:rPr>
                <w:sz w:val="15"/>
                <w:szCs w:val="15"/>
                <w:color w:val="auto"/>
              </w:rPr>
            </w:pPr>
          </w:p>
        </w:tc>
        <w:tc>
          <w:tcPr>
            <w:tcW w:w="20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380</w:t>
            </w: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84</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126</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r>
      <w:tr>
        <w:trPr>
          <w:trHeight w:val="221"/>
        </w:trPr>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09"/>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w:t>
            </w:r>
          </w:p>
        </w:tc>
        <w:tc>
          <w:tcPr>
            <w:tcW w:w="7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7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-694055</wp:posOffset>
            </wp:positionV>
            <wp:extent cx="587184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-427990</wp:posOffset>
            </wp:positionV>
            <wp:extent cx="587184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1845" cy="128905"/>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-153670</wp:posOffset>
            </wp:positionV>
            <wp:extent cx="587184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184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4" w:space="720"/>
            <w:col w:w="4900"/>
          </w:cols>
          <w:pgMar w:left="436" w:top="269" w:right="779" w:bottom="1440" w:gutter="0" w:footer="0" w:header="0"/>
          <w:type w:val="continuous"/>
        </w:sectPr>
      </w:pPr>
    </w:p>
    <w:p>
      <w:pPr>
        <w:spacing w:after="0" w:line="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components of depreciation and amortization expense for the full years of 2024 and 2023 were as follows:</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76"/>
        </w:trPr>
        <w:tc>
          <w:tcPr>
            <w:tcW w:w="6800" w:type="dxa"/>
            <w:vAlign w:val="bottom"/>
          </w:tcPr>
          <w:p>
            <w:pPr>
              <w:spacing w:after="0"/>
              <w:rPr>
                <w:sz w:val="15"/>
                <w:szCs w:val="15"/>
                <w:color w:val="auto"/>
              </w:rPr>
            </w:pPr>
          </w:p>
        </w:tc>
        <w:tc>
          <w:tcPr>
            <w:tcW w:w="1560" w:type="dxa"/>
            <w:vAlign w:val="bottom"/>
            <w:gridSpan w:val="4"/>
          </w:tcPr>
          <w:p>
            <w:pPr>
              <w:ind w:left="340"/>
              <w:spacing w:after="0"/>
              <w:rPr>
                <w:sz w:val="20"/>
                <w:szCs w:val="20"/>
                <w:color w:val="auto"/>
              </w:rPr>
            </w:pPr>
            <w:r>
              <w:rPr>
                <w:rFonts w:ascii="Arial" w:cs="Arial" w:eastAsia="Arial" w:hAnsi="Arial"/>
                <w:sz w:val="14"/>
                <w:szCs w:val="14"/>
                <w:color w:val="auto"/>
              </w:rPr>
              <w:t>(Stated in millions)</w:t>
            </w:r>
          </w:p>
        </w:tc>
      </w:tr>
      <w:tr>
        <w:trPr>
          <w:trHeight w:val="171"/>
        </w:trPr>
        <w:tc>
          <w:tcPr>
            <w:tcW w:w="68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2023</w:t>
            </w:r>
          </w:p>
        </w:tc>
        <w:tc>
          <w:tcPr>
            <w:tcW w:w="40" w:type="dxa"/>
            <w:vAlign w:val="bottom"/>
            <w:tcBorders>
              <w:bottom w:val="single" w:sz="8" w:color="CCEEFF"/>
            </w:tcBorders>
          </w:tcPr>
          <w:p>
            <w:pPr>
              <w:spacing w:after="0"/>
              <w:rPr>
                <w:sz w:val="14"/>
                <w:szCs w:val="14"/>
                <w:color w:val="auto"/>
              </w:rPr>
            </w:pP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of fixed assets</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$1,551</w:t>
            </w: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$1,445</w:t>
            </w:r>
          </w:p>
        </w:tc>
        <w:tc>
          <w:tcPr>
            <w:tcW w:w="40" w:type="dxa"/>
            <w:vAlign w:val="bottom"/>
            <w:shd w:val="clear" w:color="auto" w:fill="CCEEFF"/>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94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334</w:t>
            </w: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314</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APS investments</w:t>
            </w:r>
          </w:p>
        </w:tc>
        <w:tc>
          <w:tcPr>
            <w:tcW w:w="9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481</w:t>
            </w: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410</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Amortization of exploration data costs capitalized</w:t>
            </w:r>
          </w:p>
        </w:tc>
        <w:tc>
          <w:tcPr>
            <w:tcW w:w="94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153</w:t>
            </w: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143</w:t>
            </w:r>
          </w:p>
        </w:tc>
      </w:tr>
      <w:tr>
        <w:trPr>
          <w:trHeight w:val="27"/>
        </w:trPr>
        <w:tc>
          <w:tcPr>
            <w:tcW w:w="68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68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2,519</w:t>
            </w: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2,312</w:t>
            </w:r>
          </w:p>
        </w:tc>
      </w:tr>
      <w:tr>
        <w:trPr>
          <w:trHeight w:val="20"/>
        </w:trPr>
        <w:tc>
          <w:tcPr>
            <w:tcW w:w="6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684"/>
          </w:cols>
          <w:pgMar w:left="436" w:top="269" w:right="779" w:bottom="1440" w:gutter="0" w:footer="0" w:header="0"/>
          <w:type w:val="continuous"/>
        </w:sectPr>
      </w:pPr>
    </w:p>
    <w:bookmarkStart w:id="30" w:name="page31"/>
    <w:bookmarkEnd w:id="30"/>
    <w:p>
      <w:pPr>
        <w:ind w:left="424" w:right="440" w:hanging="424"/>
        <w:spacing w:after="0" w:line="311" w:lineRule="auto"/>
        <w:tabs>
          <w:tab w:leader="none" w:pos="424"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Divisions comprise SLB’s Core business and what were their revenue and Pretax operating income for the fourth quarter of 2024, the third quarter of 2024, the fourth quarter of 2023, the full year of 2024, and the full year of 2023?</w:t>
      </w:r>
    </w:p>
    <w:p>
      <w:pPr>
        <w:spacing w:after="0" w:line="6" w:lineRule="exact"/>
        <w:rPr>
          <w:rFonts w:ascii="Arial" w:cs="Arial" w:eastAsia="Arial" w:hAnsi="Arial"/>
          <w:sz w:val="17"/>
          <w:szCs w:val="17"/>
          <w:b w:val="1"/>
          <w:bCs w:val="1"/>
          <w:color w:val="auto"/>
        </w:rPr>
      </w:pPr>
    </w:p>
    <w:p>
      <w:pPr>
        <w:ind w:left="444" w:right="280"/>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SLB’s Core business comprises the Reservoir Performance, Well Construction, and Production Systems Divisions. SLB’s Core business revenue and Pretax operating income for the fourth quarter of 2024, third quarter of 2024, and the fourth quarter of 2023 are calculated as follows:</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7"/>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Dec. 31,</w:t>
            </w:r>
          </w:p>
        </w:tc>
        <w:tc>
          <w:tcPr>
            <w:tcW w:w="8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Sept. 30,</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Dec. 31,</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color w:val="auto"/>
                <w:w w:val="96"/>
              </w:rPr>
              <w:t>2024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color w:val="auto"/>
                <w:w w:val="96"/>
              </w:rPr>
              <w:t>2023</w:t>
            </w:r>
          </w:p>
        </w:tc>
        <w:tc>
          <w:tcPr>
            <w:tcW w:w="4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1,810</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1,823</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1,735</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3,267</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3,312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3,426</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7"/>
              </w:rPr>
              <w:t>3,197</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3,103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2,944</w:t>
            </w:r>
          </w:p>
        </w:tc>
        <w:tc>
          <w:tcPr>
            <w:tcW w:w="4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8,274</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8,238</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8,105</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81"/>
              </w:rPr>
              <w:t>— </w:t>
            </w:r>
          </w:p>
        </w:tc>
        <w:tc>
          <w:tcPr>
            <w:tcW w:w="1080" w:type="dxa"/>
            <w:vAlign w:val="bottom"/>
            <w:gridSpan w:val="2"/>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370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367</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371</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681</w:t>
            </w:r>
          </w:p>
        </w:tc>
        <w:tc>
          <w:tcPr>
            <w:tcW w:w="12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770</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506</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442</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1,557</w:t>
            </w: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1,583</w:t>
            </w:r>
          </w:p>
        </w:tc>
        <w:tc>
          <w:tcPr>
            <w:tcW w:w="4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- 3%</w:t>
            </w:r>
          </w:p>
        </w:tc>
        <w:tc>
          <w:tcPr>
            <w:tcW w:w="2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rPr>
              <w:t>- 2%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20.5%</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21.4%</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20.8%</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22.5%</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15.0%</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18.8%</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19.5%</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- 60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- 71 bps</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44" w:right="580"/>
        <w:spacing w:after="0" w:line="271" w:lineRule="auto"/>
        <w:rPr>
          <w:sz w:val="20"/>
          <w:szCs w:val="20"/>
          <w:color w:val="auto"/>
        </w:rPr>
      </w:pPr>
      <w:r>
        <w:rPr>
          <w:rFonts w:ascii="Arial" w:cs="Arial" w:eastAsia="Arial" w:hAnsi="Arial"/>
          <w:sz w:val="18"/>
          <w:szCs w:val="18"/>
          <w:color w:val="auto"/>
        </w:rPr>
        <w:t>SLB’s Core business revenue and Pretax operating income for the full year of 2024 and the full year of 2023 are calculated as follows:</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rPr>
              <w:t>Twelve Months Ended</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Dec. 31,</w:t>
            </w:r>
          </w:p>
        </w:tc>
        <w:tc>
          <w:tcPr>
            <w:tcW w:w="540" w:type="dxa"/>
            <w:vAlign w:val="bottom"/>
          </w:tcPr>
          <w:p>
            <w:pPr>
              <w:spacing w:after="0"/>
              <w:rPr>
                <w:sz w:val="12"/>
                <w:szCs w:val="12"/>
                <w:color w:val="auto"/>
              </w:rPr>
            </w:pPr>
          </w:p>
        </w:tc>
        <w:tc>
          <w:tcPr>
            <w:tcW w:w="66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Dec. 31,</w:t>
            </w: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2024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color w:val="auto"/>
              </w:rPr>
              <w:t>2023</w:t>
            </w:r>
          </w:p>
        </w:tc>
        <w:tc>
          <w:tcPr>
            <w:tcW w:w="5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60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7,177</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6,561</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8"/>
              </w:rPr>
              <w:t>13,357</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13,478</w:t>
            </w: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2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8"/>
              </w:rPr>
              <w:t>12,143</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9,831</w:t>
            </w:r>
          </w:p>
        </w:tc>
        <w:tc>
          <w:tcPr>
            <w:tcW w:w="5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8"/>
              </w:rPr>
              <w:t>32,677</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29,871</w:t>
            </w:r>
          </w:p>
        </w:tc>
        <w:tc>
          <w:tcPr>
            <w:tcW w:w="13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1,452</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1,263</w:t>
            </w: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Wel</w:t>
            </w:r>
            <w:r>
              <w:rPr>
                <w:rFonts w:ascii="Arial" w:cs="Arial" w:eastAsia="Arial" w:hAnsi="Arial"/>
                <w:sz w:val="18"/>
                <w:szCs w:val="18"/>
                <w:b w:val="1"/>
                <w:bCs w:val="1"/>
                <w:color w:val="auto"/>
              </w:rPr>
              <w:t>l</w:t>
            </w:r>
            <w:r>
              <w:rPr>
                <w:rFonts w:ascii="Arial" w:cs="Arial" w:eastAsia="Arial" w:hAnsi="Arial"/>
                <w:sz w:val="18"/>
                <w:szCs w:val="18"/>
                <w:color w:val="auto"/>
              </w:rPr>
              <w:t xml:space="preserve"> Construction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2,826</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2,932</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1,898</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1,245</w:t>
            </w:r>
          </w:p>
        </w:tc>
        <w:tc>
          <w:tcPr>
            <w:tcW w:w="5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6,176</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5,440</w:t>
            </w:r>
          </w:p>
        </w:tc>
        <w:tc>
          <w:tcPr>
            <w:tcW w:w="5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tbl>
      <w:tblPr>
        <w:tblLayout w:type="fixed"/>
        <w:tblInd w:w="884" w:type="dxa"/>
        <w:tblCellMar>
          <w:top w:w="0" w:type="dxa"/>
          <w:left w:w="0" w:type="dxa"/>
          <w:bottom w:w="0" w:type="dxa"/>
          <w:right w:w="0" w:type="dxa"/>
        </w:tblCellMar>
      </w:tblPr>
      <w:tr>
        <w:trPr>
          <w:trHeight w:val="207"/>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Pretax Operating Margin</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20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20.2%</w:t>
            </w: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19.2%</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w:t>
            </w:r>
            <w:r>
              <w:rPr>
                <w:rFonts w:ascii="Arial" w:cs="Arial" w:eastAsia="Arial" w:hAnsi="Arial"/>
                <w:sz w:val="18"/>
                <w:szCs w:val="18"/>
                <w:b w:val="1"/>
                <w:bCs w:val="1"/>
                <w:color w:val="auto"/>
              </w:rPr>
              <w:t>l</w:t>
            </w:r>
            <w:r>
              <w:rPr>
                <w:rFonts w:ascii="Arial" w:cs="Arial" w:eastAsia="Arial" w:hAnsi="Arial"/>
                <w:sz w:val="18"/>
                <w:szCs w:val="18"/>
                <w:color w:val="auto"/>
              </w:rPr>
              <w:t xml:space="preserve"> Construction</w:t>
            </w:r>
          </w:p>
        </w:tc>
        <w:tc>
          <w:tcPr>
            <w:tcW w:w="12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21.2%</w:t>
            </w: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21.8%</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20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15.6%</w:t>
            </w: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12.7%</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7"/>
        </w:trPr>
        <w:tc>
          <w:tcPr>
            <w:tcW w:w="6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60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18.9%</w:t>
            </w: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18.2%</w:t>
            </w:r>
          </w:p>
        </w:tc>
        <w:tc>
          <w:tcPr>
            <w:tcW w:w="8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rPr>
              <w:t>69 bps</w:t>
            </w:r>
          </w:p>
        </w:tc>
      </w:tr>
      <w:tr>
        <w:trPr>
          <w:trHeight w:val="20"/>
        </w:trPr>
        <w:tc>
          <w:tcPr>
            <w:tcW w:w="6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ectPr>
          <w:pgSz w:w="11900" w:h="16838" w:orient="portrait"/>
          <w:cols w:equalWidth="0" w:num="1">
            <w:col w:w="11024"/>
          </w:cols>
          <w:pgMar w:left="436" w:top="269"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SLB</w:t>
      </w:r>
    </w:p>
    <w:p>
      <w:pPr>
        <w:spacing w:after="0" w:line="10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SLB will hold a conference call to discuss the earnings press release and business outlook on Friday, January 17, 2025. The call is scheduled to begin at 9:30 a.m. U.S. Eastern time. To access the call, which is open to the public, please contact the conference call operator at +1 (833) 470-1428 within North America, or +1 (404) 975-4839 outside of North America, approximately 10 minutes prior to the call’s scheduled start time, and provide the access code 491926. At the conclusion of the conference call, an audio replay will be available until January 24, 2025, by dialling +1 (866) 813-9403 within North America, or +1 (929) 458-6194 outside of North America, and providing the access code 808014. The conference call will be webcasted simultaneously at https://events.q4inc.com/attendee/800374382 on a listen-only basis. A replay of the webcast will also be available at the same website until January 24, 2025.</w:t>
      </w:r>
    </w:p>
    <w:p>
      <w:pPr>
        <w:sectPr>
          <w:pgSz w:w="11900" w:h="16838" w:orient="portrait"/>
          <w:cols w:equalWidth="0" w:num="1">
            <w:col w:w="11000"/>
          </w:cols>
          <w:pgMar w:left="440" w:top="269" w:right="45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James R. McDonald – SVP, Investor Relations &amp; Industry Affairs, SLB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Director of Investor Relations, SLB</w:t>
      </w:r>
    </w:p>
    <w:p>
      <w:pPr>
        <w:spacing w:after="0" w:line="234" w:lineRule="auto"/>
        <w:rPr>
          <w:sz w:val="20"/>
          <w:szCs w:val="20"/>
          <w:color w:val="auto"/>
        </w:rPr>
      </w:pPr>
      <w:r>
        <w:rPr>
          <w:rFonts w:ascii="Arial" w:cs="Arial" w:eastAsia="Arial" w:hAnsi="Arial"/>
          <w:sz w:val="18"/>
          <w:szCs w:val="18"/>
          <w:color w:val="auto"/>
        </w:rPr>
        <w:t>Tel: +1 (713) 375-3535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investor-relations@slb.com</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 Byerly – SVP of Communications, SLB</w:t>
      </w:r>
    </w:p>
    <w:p>
      <w:pPr>
        <w:spacing w:after="0"/>
        <w:rPr>
          <w:sz w:val="20"/>
          <w:szCs w:val="20"/>
          <w:color w:val="auto"/>
        </w:rPr>
      </w:pPr>
      <w:r>
        <w:rPr>
          <w:rFonts w:ascii="Arial" w:cs="Arial" w:eastAsia="Arial" w:hAnsi="Arial"/>
          <w:sz w:val="17"/>
          <w:szCs w:val="17"/>
          <w:color w:val="auto"/>
        </w:rPr>
        <w:t>Moira Duff – Director of External Communications, SLB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+1 (713) 375-3407</w:t>
      </w:r>
    </w:p>
    <w:p>
      <w:pPr>
        <w:spacing w:after="0"/>
        <w:rPr>
          <w:sz w:val="20"/>
          <w:szCs w:val="20"/>
          <w:color w:val="auto"/>
        </w:rPr>
      </w:pPr>
      <w:r>
        <w:rPr>
          <w:rFonts w:ascii="Arial" w:cs="Arial" w:eastAsia="Arial" w:hAnsi="Arial"/>
          <w:sz w:val="18"/>
          <w:szCs w:val="18"/>
          <w:color w:val="auto"/>
        </w:rPr>
        <w:t>Email: media@slb.com</w:t>
      </w:r>
    </w:p>
    <w:p>
      <w:pPr>
        <w:sectPr>
          <w:pgSz w:w="11900" w:h="16838" w:orient="portrait"/>
          <w:cols w:equalWidth="0" w:num="2">
            <w:col w:w="5540" w:space="200"/>
            <w:col w:w="5260"/>
          </w:cols>
          <w:pgMar w:left="440" w:top="269" w:right="4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fourth-quarter and full-year 2024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(the “SEC”).</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press release also includes forward-looking statements relating to the proposed transaction between SLB and ChampionX, including statements regarding the benefits of the transaction and the anticipated timing of the transaction. Factors and risks that may impact future results and performance include, but are not limited to, and in each case as a possible result of the proposed transaction on each of SLB and ChampionX: the ultimate outcome of the proposed transaction between SLB and ChampionX;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the ability to secure government regulatory approvals on the terms expected, at all or in a timely manner; litigation and regulatory proceedings, including any proceedings that may be instituted against SLB or ChampionX related to the proposed transaction, as well as the risk factors discussed in SLB’s and ChampionX’s most recent Forms 10-K, 10-Q, and 8-K filed with or furnished to the SEC.</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w:t>
      </w:r>
    </w:p>
    <w:p>
      <w:pPr>
        <w:sectPr>
          <w:pgSz w:w="11900" w:h="16838" w:orient="portrait"/>
          <w:cols w:equalWidth="0" w:num="1">
            <w:col w:w="11000"/>
          </w:cols>
          <w:pgMar w:left="440" w:top="26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about the Transaction with ChampionX and Where to Find It</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connection with the proposed transaction with ChampionX, SLB filed with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(https://www.sec.gov/Archives/edgar/data/87347/000119312524139403/d818663d424b3.htm),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and other documents (if and when available) containing important information about SLB, ChampionX and the proposed transaction,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sectPr>
      <w:pgSz w:w="11900" w:h="16838" w:orient="portrait"/>
      <w:cols w:equalWidth="0" w:num="1">
        <w:col w:w="11000"/>
      </w:cols>
      <w:pgMar w:left="440"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4"/>
    </w:lvl>
  </w:abstractNum>
  <w:abstractNum w:abstractNumId="3">
    <w:nsid w:val="3352255A"/>
    <w:multiLevelType w:val="hybridMultilevel"/>
    <w:lvl w:ilvl="0">
      <w:lvlJc w:val="left"/>
      <w:lvlText w:val="%1"/>
      <w:numFmt w:val="decimal"/>
      <w:start w:val="99"/>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5"/>
    </w:lvl>
  </w:abstractNum>
  <w:abstractNum w:abstractNumId="18">
    <w:nsid w:val="436C6125"/>
    <w:multiLevelType w:val="hybridMultilevel"/>
    <w:lvl w:ilvl="0">
      <w:lvlJc w:val="left"/>
      <w:lvlText w:val="%1)"/>
      <w:numFmt w:val="decimal"/>
      <w:start w:val="10"/>
    </w:lvl>
  </w:abstractNum>
  <w:abstractNum w:abstractNumId="19">
    <w:nsid w:val="628C895D"/>
    <w:multiLevelType w:val="hybridMultilevel"/>
    <w:lvl w:ilvl="0">
      <w:lvlJc w:val="left"/>
      <w:lvlText w:val="%1)"/>
      <w:numFmt w:val="decimal"/>
      <w:start w:val="11"/>
    </w:lvl>
  </w:abstractNum>
  <w:abstractNum w:abstractNumId="20">
    <w:nsid w:val="333AB105"/>
    <w:multiLevelType w:val="hybridMultilevel"/>
    <w:lvl w:ilvl="0">
      <w:lvlJc w:val="left"/>
      <w:lvlText w:val="%1)"/>
      <w:numFmt w:val="decimal"/>
      <w:start w:val="12"/>
    </w:lvl>
  </w:abstractNum>
  <w:abstractNum w:abstractNumId="21">
    <w:nsid w:val="721DA317"/>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2025-01-17T06:11:44Z</dcterms:created>
  <dcterms:modified xsi:type="dcterms:W3CDTF">2025-01-17T06:11:44Z</dcterms:modified>
</cp:coreProperties>
</file>