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1-4601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(SCHLUMBERGER LIMITED)</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7"/>
              </w:rPr>
              <w:t>CURAÇAO</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52-0684746</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6"/>
              </w:rPr>
              <w:t>42 RUE SAINT-DOMINIQUE</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75007</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4"/>
              </w:rPr>
              <w:t>PARIS, FRANCE</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5599 SAN FELIPE, 17</w:t>
            </w:r>
            <w:r>
              <w:rPr>
                <w:rFonts w:ascii="Arial" w:cs="Arial" w:eastAsia="Arial" w:hAnsi="Arial"/>
                <w:sz w:val="15"/>
                <w:szCs w:val="15"/>
                <w:color w:val="auto"/>
                <w:w w:val="93"/>
              </w:rPr>
              <w:t>th</w:t>
            </w:r>
            <w:r>
              <w:rPr>
                <w:rFonts w:ascii="Arial" w:cs="Arial" w:eastAsia="Arial" w:hAnsi="Arial"/>
                <w:sz w:val="18"/>
                <w:szCs w:val="18"/>
                <w:color w:val="auto"/>
                <w:w w:val="93"/>
              </w:rPr>
              <w:t xml:space="preserve"> FLOOR</w:t>
            </w:r>
          </w:p>
        </w:tc>
        <w:tc>
          <w:tcPr>
            <w:tcW w:w="600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77056</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5"/>
              </w:rPr>
              <w:t>HOUSTON, TEXAS, U.S.A.</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8"/>
        </w:trPr>
        <w:tc>
          <w:tcPr>
            <w:tcW w:w="5420" w:type="dxa"/>
            <w:vAlign w:val="bottom"/>
          </w:tcPr>
          <w:p>
            <w:pPr>
              <w:jc w:val="center"/>
              <w:spacing w:after="0"/>
              <w:rPr>
                <w:sz w:val="20"/>
                <w:szCs w:val="20"/>
                <w:color w:val="auto"/>
              </w:rPr>
            </w:pPr>
            <w:r>
              <w:rPr>
                <w:rFonts w:ascii="Arial" w:cs="Arial" w:eastAsia="Arial" w:hAnsi="Arial"/>
                <w:sz w:val="18"/>
                <w:szCs w:val="18"/>
                <w:color w:val="auto"/>
                <w:w w:val="93"/>
              </w:rPr>
              <w:t>PARKSTRAAT 83</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6"/>
              </w:rPr>
              <w:t>THE HAGUE,</w:t>
            </w:r>
          </w:p>
        </w:tc>
        <w:tc>
          <w:tcPr>
            <w:tcW w:w="58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THE NETHERLANDS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2514 JG</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1"/>
              </w:rPr>
              <w:t>(Addresses of principal executive offices)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1"/>
              </w:rPr>
              <w:t>(Zip Codes)</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(713) 375-3400</w:t>
      </w:r>
    </w:p>
    <w:p>
      <w:pPr>
        <w:spacing w:after="0" w:line="11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15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49" w:lineRule="exact"/>
        <w:rPr>
          <w:sz w:val="20"/>
          <w:szCs w:val="20"/>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5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0"/>
          <w:szCs w:val="20"/>
          <w:color w:val="auto"/>
        </w:rPr>
      </w:pPr>
    </w:p>
    <w:p>
      <w:pPr>
        <w:ind w:left="380"/>
        <w:spacing w:after="0" w:line="207" w:lineRule="exact"/>
        <w:tabs>
          <w:tab w:leader="none" w:pos="3540" w:val="left"/>
          <w:tab w:leader="none" w:pos="632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ind w:left="498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Outstanding at September 30, 2011</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4"/>
              </w:rPr>
              <w:t>COMMON STOCK, $0.01 PAR VALUE PER SHARE</w:t>
            </w:r>
          </w:p>
        </w:tc>
        <w:tc>
          <w:tcPr>
            <w:tcW w:w="580" w:type="dxa"/>
            <w:vAlign w:val="bottom"/>
          </w:tcPr>
          <w:p>
            <w:pPr>
              <w:spacing w:after="0"/>
              <w:rPr>
                <w:sz w:val="19"/>
                <w:szCs w:val="19"/>
                <w:color w:val="auto"/>
              </w:rPr>
            </w:pPr>
          </w:p>
        </w:tc>
        <w:tc>
          <w:tcPr>
            <w:tcW w:w="5420" w:type="dxa"/>
            <w:vAlign w:val="bottom"/>
          </w:tcPr>
          <w:p>
            <w:pPr>
              <w:jc w:val="right"/>
              <w:ind w:right="2110"/>
              <w:spacing w:after="0"/>
              <w:rPr>
                <w:sz w:val="20"/>
                <w:szCs w:val="20"/>
                <w:color w:val="auto"/>
              </w:rPr>
            </w:pPr>
            <w:r>
              <w:rPr>
                <w:rFonts w:ascii="Arial" w:cs="Arial" w:eastAsia="Arial" w:hAnsi="Arial"/>
                <w:sz w:val="18"/>
                <w:szCs w:val="18"/>
                <w:color w:val="auto"/>
              </w:rPr>
              <w:t>1,342,125,999</w:t>
            </w:r>
          </w:p>
        </w:tc>
      </w:tr>
      <w:tr>
        <w:trPr>
          <w:trHeight w:val="188"/>
        </w:trPr>
        <w:tc>
          <w:tcPr>
            <w:tcW w:w="5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8"/>
        </w:trPr>
        <w:tc>
          <w:tcPr>
            <w:tcW w:w="5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618"/>
        </w:trPr>
        <w:tc>
          <w:tcPr>
            <w:tcW w:w="54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32"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Third Quarter 2011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9"/>
            <w:vMerge w:val="restart"/>
          </w:tcPr>
          <w:p>
            <w:pPr>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Financial Information</w:t>
              </w:r>
            </w:hyperlink>
          </w:p>
        </w:tc>
        <w:tc>
          <w:tcPr>
            <w:tcW w:w="8280" w:type="dxa"/>
            <w:vAlign w:val="bottom"/>
            <w:gridSpan w:val="5"/>
            <w:vMerge w:val="restart"/>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360" w:type="dxa"/>
            <w:vAlign w:val="bottom"/>
            <w:tcBorders>
              <w:bottom w:val="single" w:sz="8" w:color="0000EE"/>
            </w:tcBorders>
            <w:gridSpan w:val="9"/>
            <w:vMerge w:val="continue"/>
          </w:tcPr>
          <w:p>
            <w:pPr>
              <w:spacing w:after="0"/>
              <w:rPr>
                <w:sz w:val="14"/>
                <w:szCs w:val="14"/>
                <w:color w:val="auto"/>
              </w:rPr>
            </w:pPr>
          </w:p>
        </w:tc>
        <w:tc>
          <w:tcPr>
            <w:tcW w:w="8280" w:type="dxa"/>
            <w:vAlign w:val="bottom"/>
            <w:gridSpan w:val="5"/>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4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4"/>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6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Item 4. Controls and Procedures</w:t>
              </w:r>
            </w:hyperlink>
          </w:p>
        </w:tc>
        <w:tc>
          <w:tcPr>
            <w:tcW w:w="830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 Other Information</w:t>
              </w:r>
            </w:hyperlink>
          </w:p>
        </w:tc>
        <w:tc>
          <w:tcPr>
            <w:tcW w:w="848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Item 1. Legal Proceedings</w:t>
              </w:r>
            </w:hyperlink>
          </w:p>
        </w:tc>
        <w:tc>
          <w:tcPr>
            <w:tcW w:w="874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Item 1A. Risk Factors</w:t>
              </w:r>
            </w:hyperlink>
          </w:p>
        </w:tc>
        <w:tc>
          <w:tcPr>
            <w:tcW w:w="9040" w:type="dxa"/>
            <w:vAlign w:val="bottom"/>
            <w:gridSpan w:val="11"/>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2.</w:t>
              </w:r>
            </w:hyperlink>
          </w:p>
        </w:tc>
        <w:tc>
          <w:tcPr>
            <w:tcW w:w="4380" w:type="dxa"/>
            <w:vAlign w:val="bottom"/>
            <w:tcBorders>
              <w:bottom w:val="single" w:sz="8" w:color="0000EE"/>
            </w:tcBorders>
            <w:gridSpan w:val="11"/>
          </w:tcPr>
          <w:p>
            <w:pPr>
              <w:ind w:left="2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Unregistered Sales of Equity Securities and Use of Proceeds</w:t>
              </w:r>
            </w:hyperlink>
          </w:p>
        </w:tc>
        <w:tc>
          <w:tcPr>
            <w:tcW w:w="57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3.</w:t>
              </w:r>
            </w:hyperlink>
          </w:p>
        </w:tc>
        <w:tc>
          <w:tcPr>
            <w:tcW w:w="10100" w:type="dxa"/>
            <w:vAlign w:val="bottom"/>
            <w:gridSpan w:val="13"/>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5.</w:t>
              </w:r>
            </w:hyperlink>
          </w:p>
        </w:tc>
        <w:tc>
          <w:tcPr>
            <w:tcW w:w="134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6"/>
          </w:tcPr>
          <w:p>
            <w:pPr>
              <w:spacing w:after="0"/>
              <w:rPr>
                <w:sz w:val="17"/>
                <w:szCs w:val="17"/>
                <w:color w:val="auto"/>
              </w:rPr>
            </w:pPr>
          </w:p>
        </w:tc>
        <w:tc>
          <w:tcPr>
            <w:tcW w:w="77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Item 6.</w:t>
              </w:r>
            </w:hyperlink>
          </w:p>
        </w:tc>
        <w:tc>
          <w:tcPr>
            <w:tcW w:w="10100" w:type="dxa"/>
            <w:vAlign w:val="bottom"/>
            <w:gridSpan w:val="13"/>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Certifications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i w:val="1"/>
                <w:iCs w:val="1"/>
                <w:color w:val="auto"/>
                <w:w w:val="94"/>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Third Quarter</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6"/>
          </w:tcPr>
          <w:p>
            <w:pPr>
              <w:jc w:val="center"/>
              <w:ind w:right="240"/>
              <w:spacing w:after="0" w:line="145" w:lineRule="exact"/>
              <w:rPr>
                <w:sz w:val="20"/>
                <w:szCs w:val="20"/>
                <w:color w:val="auto"/>
              </w:rPr>
            </w:pPr>
            <w:r>
              <w:rPr>
                <w:rFonts w:ascii="Arial" w:cs="Arial" w:eastAsia="Arial" w:hAnsi="Arial"/>
                <w:sz w:val="14"/>
                <w:szCs w:val="14"/>
                <w:i w:val="1"/>
                <w:iCs w:val="1"/>
                <w:color w:val="auto"/>
                <w:w w:val="91"/>
              </w:rPr>
              <w:t>except per share amounts)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4"/>
                <w:szCs w:val="14"/>
                <w:b w:val="1"/>
                <w:bCs w:val="1"/>
                <w:color w:val="auto"/>
                <w:w w:val="95"/>
              </w:rPr>
              <w:t>Nine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Oilfield Services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9,546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6,646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26,658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683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10,229</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28,566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&amp; other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Gain on investment in M-I SWACO</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Oilfield Services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7,440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4"/>
              </w:rPr>
              <w:t>20,945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600"/>
              <w:spacing w:after="0"/>
              <w:rPr>
                <w:sz w:val="20"/>
                <w:szCs w:val="20"/>
                <w:color w:val="auto"/>
              </w:rPr>
            </w:pPr>
            <w:r>
              <w:rPr>
                <w:rFonts w:ascii="Arial" w:cs="Arial" w:eastAsia="Arial" w:hAnsi="Arial"/>
                <w:sz w:val="18"/>
                <w:szCs w:val="18"/>
                <w:color w:val="auto"/>
              </w:rPr>
              <w:t>Distribution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652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1,831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&amp; engineering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General &amp; administrative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Merger &amp; integration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Restructuring &amp; other</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on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1,307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3,594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 attributable to noncontrolling interests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1,734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3,364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0.97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0.96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discontinued operations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shares outstanding:</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1,249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1,352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Assuming dilution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1,357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1,365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980" w:type="dxa"/>
            <w:vAlign w:val="bottom"/>
            <w:gridSpan w:val="4"/>
            <w:vMerge w:val="restart"/>
          </w:tcPr>
          <w:p>
            <w:pPr>
              <w:ind w:left="1500"/>
              <w:spacing w:after="0"/>
              <w:rPr>
                <w:sz w:val="20"/>
                <w:szCs w:val="20"/>
                <w:color w:val="auto"/>
              </w:rPr>
            </w:pPr>
            <w:r>
              <w:rPr>
                <w:rFonts w:ascii="Arial" w:cs="Arial" w:eastAsia="Arial" w:hAnsi="Arial"/>
                <w:sz w:val="14"/>
                <w:szCs w:val="14"/>
                <w:b w:val="1"/>
                <w:bCs w:val="1"/>
                <w:color w:val="auto"/>
              </w:rPr>
              <w:t>Sept. 30, 2011</w:t>
            </w:r>
          </w:p>
        </w:tc>
        <w:tc>
          <w:tcPr>
            <w:tcW w:w="120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9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w:t>
            </w: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1,732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4,332</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less allowance for doubtful accounts (2011 - $182; 2010 - $185)</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9,493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4,469</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148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1,086</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21,260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255</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1,222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12,583</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444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14,118</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4,927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772</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55,581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Accounts payable and accrued liabilities</w:t>
            </w:r>
          </w:p>
        </w:tc>
        <w:tc>
          <w:tcPr>
            <w:tcW w:w="1700" w:type="dxa"/>
            <w:vAlign w:val="bottom"/>
            <w:gridSpan w:val="2"/>
          </w:tcPr>
          <w:p>
            <w:pPr>
              <w:ind w:left="150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7,023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liability for taxes on income</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Long-term debt — current portion</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2,395</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348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334</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11,307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8,740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1,662</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1,215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23,958</w:t>
            </w:r>
          </w:p>
        </w:tc>
        <w:tc>
          <w:tcPr>
            <w:tcW w:w="6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11,606</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(5,088)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27,780</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(2,798)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Schlumberger stockholders’ equity</w:t>
            </w:r>
          </w:p>
        </w:tc>
        <w:tc>
          <w:tcPr>
            <w:tcW w:w="1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31,500</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123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31,623</w:t>
            </w:r>
          </w:p>
        </w:tc>
        <w:tc>
          <w:tcPr>
            <w:tcW w:w="6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50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55,581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color w:val="auto"/>
                <w:w w:val="94"/>
              </w:rPr>
              <w:t>Nine Months Ended Sept.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3,594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Less: Income from discontinued operations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Gain on investment in M-I SWACO</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Non-cash charges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Earnings of companies carried at equity, less dividends received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benefits expense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Pension and other postretirement benefits funding</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5"/>
                <w:szCs w:val="15"/>
                <w:color w:val="auto"/>
              </w:rPr>
              <w:t>(2)</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Increase in receivables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inventories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Increase in other current assets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accounts payable and accrued liabilities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(Decrease) increase in estimated liability for taxes on income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other liabilities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Other — net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Cash flows from investing activities:</w:t>
            </w:r>
          </w:p>
        </w:tc>
        <w:tc>
          <w:tcPr>
            <w:tcW w:w="1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Multiclient seismic data capitalized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Business acquisitions, net of cash acquired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Cash acquired in merger with Smith International, Inc.</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of Geoservices, net of cash acquired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(Purchase) sale of investments, net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7520" w:type="dxa"/>
            <w:vAlign w:val="bottom"/>
            <w:gridSpan w:val="4"/>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(3,752)</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employee stock purchase plan</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repurchase program</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(2,362)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6,825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long-term debt</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320" w:type="dxa"/>
            <w:vAlign w:val="bottom"/>
            <w:gridSpan w:val="2"/>
          </w:tcPr>
          <w:p>
            <w:pPr>
              <w:ind w:left="20"/>
              <w:spacing w:after="0"/>
              <w:rPr>
                <w:sz w:val="20"/>
                <w:szCs w:val="20"/>
                <w:color w:val="auto"/>
              </w:rPr>
            </w:pPr>
            <w:r>
              <w:rPr>
                <w:rFonts w:ascii="Arial" w:cs="Arial" w:eastAsia="Arial" w:hAnsi="Arial"/>
                <w:sz w:val="18"/>
                <w:szCs w:val="18"/>
                <w:color w:val="auto"/>
              </w:rPr>
              <w:t>Net decrease in short-term borrowings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752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discontinued operations — investing activities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60" w:type="dxa"/>
            <w:vAlign w:val="bottom"/>
            <w:gridSpan w:val="3"/>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520" w:type="dxa"/>
            <w:vAlign w:val="bottom"/>
            <w:gridSpan w:val="4"/>
          </w:tcPr>
          <w:p>
            <w:pPr>
              <w:spacing w:after="0"/>
              <w:rPr>
                <w:sz w:val="20"/>
                <w:szCs w:val="20"/>
                <w:color w:val="auto"/>
              </w:rPr>
            </w:pPr>
            <w:r>
              <w:rPr>
                <w:rFonts w:ascii="Arial" w:cs="Arial" w:eastAsia="Arial" w:hAnsi="Arial"/>
                <w:sz w:val="18"/>
                <w:szCs w:val="18"/>
                <w:color w:val="auto"/>
              </w:rPr>
              <w:t>Net (decrease) increase in cash before translation effect</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effect on cash</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3"/>
          </w:tcPr>
          <w:p>
            <w:pPr>
              <w:spacing w:after="0"/>
              <w:rPr>
                <w:sz w:val="20"/>
                <w:szCs w:val="20"/>
                <w:color w:val="auto"/>
              </w:rPr>
            </w:pPr>
            <w:r>
              <w:rPr>
                <w:rFonts w:ascii="Arial" w:cs="Arial" w:eastAsia="Arial" w:hAnsi="Arial"/>
                <w:sz w:val="18"/>
                <w:szCs w:val="18"/>
                <w:color w:val="auto"/>
              </w:rPr>
              <w:t>Cash, beginning of period</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1,764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0" w:type="dxa"/>
            <w:vAlign w:val="bottom"/>
            <w:gridSpan w:val="2"/>
          </w:tcPr>
          <w:p>
            <w:pPr>
              <w:spacing w:after="0"/>
              <w:rPr>
                <w:sz w:val="20"/>
                <w:szCs w:val="20"/>
                <w:color w:val="auto"/>
              </w:rPr>
            </w:pPr>
            <w:r>
              <w:rPr>
                <w:rFonts w:ascii="Arial" w:cs="Arial" w:eastAsia="Arial" w:hAnsi="Arial"/>
                <w:sz w:val="15"/>
                <w:szCs w:val="15"/>
                <w:color w:val="auto"/>
                <w:w w:val="97"/>
              </w:rPr>
              <w:t>(1)</w:t>
            </w:r>
          </w:p>
        </w:tc>
        <w:tc>
          <w:tcPr>
            <w:tcW w:w="7320" w:type="dxa"/>
            <w:vAlign w:val="bottom"/>
            <w:gridSpan w:val="2"/>
          </w:tcPr>
          <w:p>
            <w:pPr>
              <w:ind w:left="260"/>
              <w:spacing w:after="0"/>
              <w:rPr>
                <w:sz w:val="20"/>
                <w:szCs w:val="20"/>
                <w:color w:val="auto"/>
              </w:rPr>
            </w:pPr>
            <w:r>
              <w:rPr>
                <w:rFonts w:ascii="Arial" w:cs="Arial" w:eastAsia="Arial" w:hAnsi="Arial"/>
                <w:sz w:val="18"/>
                <w:szCs w:val="18"/>
                <w:color w:val="auto"/>
              </w:rPr>
              <w:t>Includes multiclient seismic data costs.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0" w:type="dxa"/>
            <w:vAlign w:val="bottom"/>
            <w:gridSpan w:val="2"/>
          </w:tcPr>
          <w:p>
            <w:pPr>
              <w:spacing w:after="0"/>
              <w:rPr>
                <w:sz w:val="20"/>
                <w:szCs w:val="20"/>
                <w:color w:val="auto"/>
              </w:rPr>
            </w:pPr>
            <w:r>
              <w:rPr>
                <w:rFonts w:ascii="Arial" w:cs="Arial" w:eastAsia="Arial" w:hAnsi="Arial"/>
                <w:sz w:val="15"/>
                <w:szCs w:val="15"/>
                <w:color w:val="auto"/>
                <w:w w:val="97"/>
              </w:rPr>
              <w:t>(2)</w:t>
            </w:r>
          </w:p>
        </w:tc>
        <w:tc>
          <w:tcPr>
            <w:tcW w:w="7320" w:type="dxa"/>
            <w:vAlign w:val="bottom"/>
            <w:gridSpan w:val="2"/>
          </w:tcPr>
          <w:p>
            <w:pPr>
              <w:ind w:left="260"/>
              <w:spacing w:after="0"/>
              <w:rPr>
                <w:sz w:val="20"/>
                <w:szCs w:val="20"/>
                <w:color w:val="auto"/>
              </w:rPr>
            </w:pPr>
            <w:r>
              <w:rPr>
                <w:rFonts w:ascii="Arial" w:cs="Arial" w:eastAsia="Arial" w:hAnsi="Arial"/>
                <w:sz w:val="18"/>
                <w:szCs w:val="18"/>
                <w:color w:val="auto"/>
              </w:rPr>
              <w:t>Net of the effect of business acquisitions and divestitures.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5"/>
          </w:tcPr>
          <w:p>
            <w:pPr>
              <w:jc w:val="center"/>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vMerge w:val="restart"/>
          </w:tcPr>
          <w:p>
            <w:pPr>
              <w:ind w:left="440"/>
              <w:spacing w:after="0"/>
              <w:rPr>
                <w:sz w:val="20"/>
                <w:szCs w:val="20"/>
                <w:color w:val="auto"/>
              </w:rPr>
            </w:pPr>
            <w:r>
              <w:rPr>
                <w:rFonts w:ascii="Arial" w:cs="Arial" w:eastAsia="Arial" w:hAnsi="Arial"/>
                <w:sz w:val="14"/>
                <w:szCs w:val="14"/>
                <w:color w:val="auto"/>
                <w:w w:val="94"/>
              </w:rPr>
              <w:t>Common Stock</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2011 - September 30, 2011</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ind w:left="80"/>
              <w:spacing w:after="0" w:line="154" w:lineRule="exact"/>
              <w:rPr>
                <w:sz w:val="20"/>
                <w:szCs w:val="20"/>
                <w:color w:val="auto"/>
              </w:rPr>
            </w:pPr>
            <w:r>
              <w:rPr>
                <w:rFonts w:ascii="Arial" w:cs="Arial" w:eastAsia="Arial" w:hAnsi="Arial"/>
                <w:sz w:val="14"/>
                <w:szCs w:val="14"/>
                <w:color w:val="auto"/>
              </w:rPr>
              <w:t>Retained</w:t>
            </w:r>
          </w:p>
        </w:tc>
        <w:tc>
          <w:tcPr>
            <w:tcW w:w="1320" w:type="dxa"/>
            <w:vAlign w:val="bottom"/>
            <w:gridSpan w:val="4"/>
          </w:tcPr>
          <w:p>
            <w:pPr>
              <w:jc w:val="center"/>
              <w:ind w:right="420"/>
              <w:spacing w:after="0" w:line="154"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3"/>
                <w:szCs w:val="13"/>
                <w:color w:val="auto"/>
              </w:rPr>
            </w:pPr>
          </w:p>
        </w:tc>
        <w:tc>
          <w:tcPr>
            <w:tcW w:w="1020" w:type="dxa"/>
            <w:vAlign w:val="bottom"/>
            <w:gridSpan w:val="4"/>
          </w:tcPr>
          <w:p>
            <w:pPr>
              <w:spacing w:after="0" w:line="154"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2"/>
              </w:rPr>
              <w:t>Issued</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In Treasury</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ind w:left="80"/>
              <w:spacing w:after="0" w:line="142"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6"/>
              </w:rPr>
              <w:t>Interests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11,920</w:t>
            </w:r>
          </w:p>
        </w:tc>
        <w:tc>
          <w:tcPr>
            <w:tcW w:w="7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(3,136)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25,210</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(2,768)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Deferred employee benefits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Shares sold to optionees, less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exchanged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(2,362)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Acquisition of noncontrolling interest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 $0.75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3520" w:type="dxa"/>
            <w:vAlign w:val="bottom"/>
            <w:gridSpan w:val="3"/>
          </w:tcPr>
          <w:p>
            <w:pPr>
              <w:spacing w:after="0"/>
              <w:rPr>
                <w:sz w:val="20"/>
                <w:szCs w:val="20"/>
                <w:color w:val="auto"/>
              </w:rPr>
            </w:pPr>
            <w:r>
              <w:rPr>
                <w:rFonts w:ascii="Arial" w:cs="Arial" w:eastAsia="Arial" w:hAnsi="Arial"/>
                <w:sz w:val="18"/>
                <w:szCs w:val="18"/>
                <w:color w:val="auto"/>
              </w:rPr>
              <w:t>Balance, September 30, 2011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11,606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(5,088</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27,780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(2,798)</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$ 31,623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gridSpan w:val="4"/>
            <w:vMerge w:val="restart"/>
          </w:tcPr>
          <w:p>
            <w:pPr>
              <w:jc w:val="center"/>
              <w:ind w:right="4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5"/>
          </w:tcPr>
          <w:p>
            <w:pPr>
              <w:jc w:val="center"/>
              <w:ind w:right="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vMerge w:val="restart"/>
          </w:tcPr>
          <w:p>
            <w:pPr>
              <w:ind w:left="440"/>
              <w:spacing w:after="0"/>
              <w:rPr>
                <w:sz w:val="20"/>
                <w:szCs w:val="20"/>
                <w:color w:val="auto"/>
              </w:rPr>
            </w:pPr>
            <w:r>
              <w:rPr>
                <w:rFonts w:ascii="Arial" w:cs="Arial" w:eastAsia="Arial" w:hAnsi="Arial"/>
                <w:sz w:val="14"/>
                <w:szCs w:val="14"/>
                <w:color w:val="auto"/>
                <w:w w:val="94"/>
              </w:rPr>
              <w:t>Common Stock</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January 1, 2010 - September 30, 2010</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ind w:left="80"/>
              <w:spacing w:after="0" w:line="154" w:lineRule="exact"/>
              <w:rPr>
                <w:sz w:val="20"/>
                <w:szCs w:val="20"/>
                <w:color w:val="auto"/>
              </w:rPr>
            </w:pPr>
            <w:r>
              <w:rPr>
                <w:rFonts w:ascii="Arial" w:cs="Arial" w:eastAsia="Arial" w:hAnsi="Arial"/>
                <w:sz w:val="14"/>
                <w:szCs w:val="14"/>
                <w:color w:val="auto"/>
              </w:rPr>
              <w:t>Retained</w:t>
            </w:r>
          </w:p>
        </w:tc>
        <w:tc>
          <w:tcPr>
            <w:tcW w:w="1320" w:type="dxa"/>
            <w:vAlign w:val="bottom"/>
            <w:gridSpan w:val="4"/>
          </w:tcPr>
          <w:p>
            <w:pPr>
              <w:jc w:val="center"/>
              <w:ind w:right="420"/>
              <w:spacing w:after="0" w:line="154" w:lineRule="exact"/>
              <w:rPr>
                <w:sz w:val="20"/>
                <w:szCs w:val="20"/>
                <w:color w:val="auto"/>
              </w:rPr>
            </w:pPr>
            <w:r>
              <w:rPr>
                <w:rFonts w:ascii="Arial" w:cs="Arial" w:eastAsia="Arial" w:hAnsi="Arial"/>
                <w:sz w:val="14"/>
                <w:szCs w:val="14"/>
                <w:color w:val="auto"/>
                <w:w w:val="91"/>
              </w:rPr>
              <w:t>Comprehensive</w:t>
            </w:r>
          </w:p>
        </w:tc>
        <w:tc>
          <w:tcPr>
            <w:tcW w:w="220" w:type="dxa"/>
            <w:vAlign w:val="bottom"/>
          </w:tcPr>
          <w:p>
            <w:pPr>
              <w:spacing w:after="0"/>
              <w:rPr>
                <w:sz w:val="13"/>
                <w:szCs w:val="13"/>
                <w:color w:val="auto"/>
              </w:rPr>
            </w:pPr>
          </w:p>
        </w:tc>
        <w:tc>
          <w:tcPr>
            <w:tcW w:w="1020" w:type="dxa"/>
            <w:vAlign w:val="bottom"/>
            <w:gridSpan w:val="4"/>
          </w:tcPr>
          <w:p>
            <w:pPr>
              <w:spacing w:after="0" w:line="154"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2"/>
              </w:rPr>
              <w:t>Issued</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w w:val="93"/>
              </w:rPr>
              <w:t>In Treasury</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4"/>
          </w:tcPr>
          <w:p>
            <w:pPr>
              <w:ind w:left="80"/>
              <w:spacing w:after="0" w:line="142"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2"/>
                <w:szCs w:val="12"/>
                <w:color w:val="auto"/>
              </w:rPr>
            </w:pPr>
          </w:p>
        </w:tc>
        <w:tc>
          <w:tcPr>
            <w:tcW w:w="1200" w:type="dxa"/>
            <w:vAlign w:val="bottom"/>
            <w:gridSpan w:val="3"/>
          </w:tcPr>
          <w:p>
            <w:pPr>
              <w:jc w:val="center"/>
              <w:ind w:right="560"/>
              <w:spacing w:after="0" w:line="142" w:lineRule="exact"/>
              <w:rPr>
                <w:sz w:val="20"/>
                <w:szCs w:val="20"/>
                <w:color w:val="auto"/>
              </w:rPr>
            </w:pPr>
            <w:r>
              <w:rPr>
                <w:rFonts w:ascii="Arial" w:cs="Arial" w:eastAsia="Arial" w:hAnsi="Arial"/>
                <w:sz w:val="14"/>
                <w:szCs w:val="14"/>
                <w:color w:val="auto"/>
                <w:w w:val="94"/>
              </w:rPr>
              <w:t>Loss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340"/>
              <w:spacing w:after="0" w:line="142" w:lineRule="exact"/>
              <w:rPr>
                <w:sz w:val="20"/>
                <w:szCs w:val="20"/>
                <w:color w:val="auto"/>
              </w:rPr>
            </w:pPr>
            <w:r>
              <w:rPr>
                <w:rFonts w:ascii="Arial" w:cs="Arial" w:eastAsia="Arial" w:hAnsi="Arial"/>
                <w:sz w:val="14"/>
                <w:szCs w:val="14"/>
                <w:color w:val="auto"/>
                <w:w w:val="96"/>
              </w:rPr>
              <w:t>Interests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4,777</w:t>
            </w:r>
          </w:p>
        </w:tc>
        <w:tc>
          <w:tcPr>
            <w:tcW w:w="7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(5,002)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22,019</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(2,674)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Currency translation adjustments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fair value of derivatives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Deferred employee benefits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Shares sold to optionees, less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tcPr>
          <w:p>
            <w:pPr>
              <w:ind w:left="200"/>
              <w:spacing w:after="0"/>
              <w:rPr>
                <w:sz w:val="20"/>
                <w:szCs w:val="20"/>
                <w:color w:val="auto"/>
              </w:rPr>
            </w:pPr>
            <w:r>
              <w:rPr>
                <w:rFonts w:ascii="Arial" w:cs="Arial" w:eastAsia="Arial" w:hAnsi="Arial"/>
                <w:sz w:val="18"/>
                <w:szCs w:val="18"/>
                <w:color w:val="auto"/>
              </w:rPr>
              <w:t>exchanged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Shares issued under employee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plan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Shares issued on conversion of debentures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Smith International, Inc.</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Acquisition of noncontrolling interests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($0.63 per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Tax benefits on 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520" w:type="dxa"/>
            <w:vAlign w:val="bottom"/>
            <w:gridSpan w:val="3"/>
          </w:tcPr>
          <w:p>
            <w:pPr>
              <w:spacing w:after="0"/>
              <w:rPr>
                <w:sz w:val="20"/>
                <w:szCs w:val="20"/>
                <w:color w:val="auto"/>
              </w:rPr>
            </w:pPr>
            <w:r>
              <w:rPr>
                <w:rFonts w:ascii="Arial" w:cs="Arial" w:eastAsia="Arial" w:hAnsi="Arial"/>
                <w:sz w:val="18"/>
                <w:szCs w:val="18"/>
                <w:color w:val="auto"/>
              </w:rPr>
              <w:t>Balance, September 30, 2010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(2,803</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24,454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(2,627)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0"/>
          </w:tcPr>
          <w:p>
            <w:pPr>
              <w:ind w:left="20"/>
              <w:spacing w:after="0"/>
              <w:rPr>
                <w:sz w:val="20"/>
                <w:szCs w:val="20"/>
                <w:color w:val="auto"/>
              </w:rPr>
            </w:pPr>
            <w:r>
              <w:rPr>
                <w:rFonts w:ascii="Arial" w:cs="Arial" w:eastAsia="Arial" w:hAnsi="Arial"/>
                <w:sz w:val="18"/>
                <w:szCs w:val="18"/>
                <w:b w:val="1"/>
                <w:bCs w:val="1"/>
                <w:color w:val="auto"/>
              </w:rPr>
              <w:t>SHARES OF COMMON STOCK</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87"/>
              </w:rPr>
              <w:t>Issued</w:t>
            </w:r>
          </w:p>
        </w:tc>
        <w:tc>
          <w:tcPr>
            <w:tcW w:w="660" w:type="dxa"/>
            <w:vAlign w:val="bottom"/>
            <w:gridSpan w:val="2"/>
          </w:tcPr>
          <w:p>
            <w:pPr>
              <w:spacing w:after="0"/>
              <w:rPr>
                <w:sz w:val="14"/>
                <w:szCs w:val="14"/>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3"/>
              </w:rPr>
              <w:t>In Treasury</w:t>
            </w:r>
          </w:p>
        </w:tc>
        <w:tc>
          <w:tcPr>
            <w:tcW w:w="5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w w:val="88"/>
              </w:rPr>
              <w:t>Shares sold to optionees, less shares exchanged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Shares issued under employee stock purchase plan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4763"/>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nine-month period ended September 30, 2011 are not necessarily indicative of the results that may be expected for the full year ending December 31, 2011. The December 31, 2010 balance sheet information has been derived from the Schlumberger 2010 financial statements. For further information, refer to the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and notes thereto, included in the Schlumberger Annual Report on Form 10-K for the year ended December 31, 2010,</w:t>
      </w:r>
      <w:r>
        <w:rPr>
          <w:rFonts w:ascii="Arial" w:cs="Arial" w:eastAsia="Arial" w:hAnsi="Arial"/>
          <w:sz w:val="17"/>
          <w:szCs w:val="17"/>
          <w:i w:val="1"/>
          <w:iCs w:val="1"/>
          <w:color w:val="auto"/>
        </w:rPr>
        <w:t xml:space="preserve"> </w:t>
      </w:r>
      <w:r>
        <w:rPr>
          <w:rFonts w:ascii="Arial" w:cs="Arial" w:eastAsia="Arial" w:hAnsi="Arial"/>
          <w:sz w:val="17"/>
          <w:szCs w:val="17"/>
          <w:color w:val="auto"/>
        </w:rPr>
        <w:t>filed with the Securities and Exchange Commission on February 4,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the prior year have been reclassified to conform to the current year presentation.</w:t>
      </w:r>
    </w:p>
    <w:p>
      <w:pPr>
        <w:spacing w:after="0" w:line="113"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nine months of 2011 and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2011:</w:t>
      </w:r>
    </w:p>
    <w:p>
      <w:pPr>
        <w:spacing w:after="0" w:line="117" w:lineRule="exact"/>
        <w:rPr>
          <w:sz w:val="20"/>
          <w:szCs w:val="20"/>
          <w:color w:val="auto"/>
        </w:rPr>
      </w:pPr>
    </w:p>
    <w:p>
      <w:pPr>
        <w:jc w:val="both"/>
        <w:ind w:left="660" w:right="140" w:hanging="314"/>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 xml:space="preserve">Schlumberger recorded $27 million of pretax merger and integration-related charges ($23 million after-tax) in connection with the acquisitions of Smith International, Inc. (“Smith”) and Geoservices. This amount is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2011:</w:t>
      </w:r>
    </w:p>
    <w:p>
      <w:pPr>
        <w:spacing w:after="0" w:line="117" w:lineRule="exact"/>
        <w:rPr>
          <w:sz w:val="20"/>
          <w:szCs w:val="20"/>
          <w:color w:val="auto"/>
        </w:rPr>
      </w:pPr>
    </w:p>
    <w:p>
      <w:pPr>
        <w:ind w:left="660" w:hanging="314"/>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Schlumberger made a $50 million grant to the Schlumberger Foundation to support the Foundation’s Faculty for the Future program. This program supports talented women scientists from the developing world by helping them pursue advanced graduate studies in scientific disciplines at leading universities worldwide. This $50 million charge ($40 million after-tax) is classified in </w:t>
      </w:r>
      <w:r>
        <w:rPr>
          <w:rFonts w:ascii="Arial" w:cs="Arial" w:eastAsia="Arial" w:hAnsi="Arial"/>
          <w:sz w:val="18"/>
          <w:szCs w:val="18"/>
          <w:i w:val="1"/>
          <w:iCs w:val="1"/>
          <w:color w:val="auto"/>
        </w:rPr>
        <w:t>General &amp; administrative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w:t>
      </w:r>
    </w:p>
    <w:p>
      <w:pPr>
        <w:spacing w:after="0" w:line="92" w:lineRule="exact"/>
        <w:rPr>
          <w:rFonts w:ascii="Arial" w:cs="Arial" w:eastAsia="Arial" w:hAnsi="Arial"/>
          <w:sz w:val="18"/>
          <w:szCs w:val="18"/>
          <w:b w:val="1"/>
          <w:bCs w:val="1"/>
          <w:color w:val="auto"/>
        </w:rPr>
      </w:pPr>
    </w:p>
    <w:p>
      <w:pPr>
        <w:ind w:left="660" w:right="14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Schlumberger recorded $32 million of pretax merger and integration-related charges ($24 million after-tax) in connection with the acquisitions of Smith and Geoservices.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2011:</w:t>
      </w:r>
    </w:p>
    <w:p>
      <w:pPr>
        <w:spacing w:after="0" w:line="117" w:lineRule="exact"/>
        <w:rPr>
          <w:sz w:val="20"/>
          <w:szCs w:val="20"/>
          <w:color w:val="auto"/>
        </w:rPr>
      </w:pPr>
    </w:p>
    <w:p>
      <w:pPr>
        <w:ind w:left="660" w:right="14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xml:space="preserve">Schlumberger recorded $34 million of pretax merger and integration-related charges ($28 million after-tax) in connection with the acquisitions of Smith and Geoservices. This amount is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recorded during the first nine months of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194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Pretax</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Tax</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Net</w:t>
            </w:r>
          </w:p>
        </w:tc>
        <w:tc>
          <w:tcPr>
            <w:tcW w:w="660" w:type="dxa"/>
            <w:vAlign w:val="bottom"/>
          </w:tcPr>
          <w:p>
            <w:pPr>
              <w:spacing w:after="0"/>
              <w:rPr>
                <w:sz w:val="14"/>
                <w:szCs w:val="14"/>
                <w:color w:val="auto"/>
              </w:rPr>
            </w:pPr>
          </w:p>
        </w:tc>
        <w:tc>
          <w:tcPr>
            <w:tcW w:w="1940" w:type="dxa"/>
            <w:vAlign w:val="bottom"/>
            <w:tcBorders>
              <w:bottom w:val="single" w:sz="8" w:color="auto"/>
            </w:tcBorders>
          </w:tcPr>
          <w:p>
            <w:pPr>
              <w:ind w:left="280"/>
              <w:spacing w:after="0"/>
              <w:rPr>
                <w:sz w:val="20"/>
                <w:szCs w:val="20"/>
                <w:color w:val="auto"/>
              </w:rPr>
            </w:pPr>
            <w:r>
              <w:rPr>
                <w:rFonts w:ascii="Arial" w:cs="Arial" w:eastAsia="Arial" w:hAnsi="Arial"/>
                <w:sz w:val="14"/>
                <w:szCs w:val="14"/>
                <w:i w:val="1"/>
                <w:iCs w:val="1"/>
                <w:color w:val="auto"/>
              </w:rPr>
              <w:t xml:space="preserve">of Income </w:t>
            </w: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Merger and integration-related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1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66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i w:val="1"/>
                <w:iCs w:val="1"/>
                <w:color w:val="auto"/>
                <w:w w:val="97"/>
              </w:rPr>
              <w:t>General &amp; administrative</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Third quarter of 2010: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2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As a result of the decision to rationalize support costs across the organization as well as to restructure the North America land operations to provide greater operating efficiency, Schlumberger recorded a pretax charge of $90 million ($77 million after-tax).</w:t>
      </w:r>
    </w:p>
    <w:p>
      <w:pPr>
        <w:spacing w:after="0" w:line="75"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Following the successful introduction of UniQ, a new generation single-sensor land acquisition system, Schlumberger recorded a $78 million pretax charge ($71 million after-tax), related to the impairment of WesternGeco’s first generation Q-Land system assets.</w:t>
      </w:r>
    </w:p>
    <w:p>
      <w:pPr>
        <w:spacing w:after="0" w:line="75" w:lineRule="exact"/>
        <w:rPr>
          <w:rFonts w:ascii="Arial" w:cs="Arial" w:eastAsia="Arial" w:hAnsi="Arial"/>
          <w:sz w:val="18"/>
          <w:szCs w:val="18"/>
          <w:b w:val="1"/>
          <w:bCs w:val="1"/>
          <w:color w:val="auto"/>
        </w:rPr>
      </w:pPr>
    </w:p>
    <w:p>
      <w:pPr>
        <w:ind w:left="660" w:right="1040" w:hanging="314"/>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 pretax and after-tax charge of $63 million primarily relating to the early termination of a vessel lease associated with WesternGeco’s electromagnetic service offering as well as related assets, including a $30 million impairment related to an equity-method investment.</w:t>
      </w:r>
    </w:p>
    <w:p>
      <w:pPr>
        <w:spacing w:after="0" w:line="29" w:lineRule="exact"/>
        <w:rPr>
          <w:rFonts w:ascii="Arial" w:cs="Arial" w:eastAsia="Arial" w:hAnsi="Arial"/>
          <w:sz w:val="16"/>
          <w:szCs w:val="16"/>
          <w:b w:val="1"/>
          <w:bCs w:val="1"/>
          <w:color w:val="auto"/>
        </w:rPr>
      </w:pPr>
    </w:p>
    <w:p>
      <w:pPr>
        <w:ind w:left="660" w:hanging="314"/>
        <w:spacing w:after="0"/>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 xml:space="preserve">In connection with Schlumberger’s merger with Smith (see Note 4 — </w:t>
      </w:r>
      <w:r>
        <w:rPr>
          <w:rFonts w:ascii="Arial" w:cs="Arial" w:eastAsia="Arial" w:hAnsi="Arial"/>
          <w:sz w:val="17"/>
          <w:szCs w:val="17"/>
          <w:i w:val="1"/>
          <w:iCs w:val="1"/>
          <w:color w:val="auto"/>
        </w:rPr>
        <w:t>Acquisitions</w:t>
      </w:r>
      <w:r>
        <w:rPr>
          <w:rFonts w:ascii="Arial" w:cs="Arial" w:eastAsia="Arial" w:hAnsi="Arial"/>
          <w:sz w:val="17"/>
          <w:szCs w:val="17"/>
          <w:color w:val="auto"/>
        </w:rPr>
        <w:t>), Schlumberger recorded the following pretax charges:</w:t>
      </w:r>
    </w:p>
    <w:p>
      <w:pPr>
        <w:spacing w:after="0" w:line="34" w:lineRule="exact"/>
        <w:rPr>
          <w:rFonts w:ascii="Arial" w:cs="Arial" w:eastAsia="Arial" w:hAnsi="Arial"/>
          <w:sz w:val="17"/>
          <w:szCs w:val="17"/>
          <w:b w:val="1"/>
          <w:bCs w:val="1"/>
          <w:color w:val="auto"/>
        </w:rPr>
      </w:pPr>
    </w:p>
    <w:p>
      <w:pPr>
        <w:jc w:val="both"/>
        <w:ind w:left="660" w:right="12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$56 million ($55 million after-tax) of merger-related transaction costs including advisory and legal fees, $41 million ($35 million after-tax) relating to employee benefits for change in control payments and retention bonuses, and $38 million ($24 million after-tax) for the amortization of purchase accounting adjustments associated with the write-up of acquired inventory to its estimated fair value.</w:t>
      </w:r>
    </w:p>
    <w:p>
      <w:pPr>
        <w:spacing w:after="0" w:line="95" w:lineRule="exact"/>
        <w:rPr>
          <w:rFonts w:ascii="Arial" w:cs="Arial" w:eastAsia="Arial" w:hAnsi="Arial"/>
          <w:sz w:val="17"/>
          <w:szCs w:val="17"/>
          <w:b w:val="1"/>
          <w:bCs w:val="1"/>
          <w:color w:val="auto"/>
        </w:rPr>
      </w:pPr>
    </w:p>
    <w:p>
      <w:pPr>
        <w:ind w:left="660" w:right="44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$40 million pretax ($36 million after-tax) for the early termination of rig contracts and workforce reductions in Mexico due to the slowdown of project activity.</w:t>
      </w:r>
    </w:p>
    <w:p>
      <w:pPr>
        <w:spacing w:after="0" w:line="75" w:lineRule="exact"/>
        <w:rPr>
          <w:rFonts w:ascii="Arial" w:cs="Arial" w:eastAsia="Arial" w:hAnsi="Arial"/>
          <w:sz w:val="18"/>
          <w:szCs w:val="18"/>
          <w:b w:val="1"/>
          <w:bCs w:val="1"/>
          <w:color w:val="auto"/>
        </w:rPr>
      </w:pPr>
    </w:p>
    <w:p>
      <w:pPr>
        <w:ind w:left="660" w:right="78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Schlumberger repurchased $352 million of its $650 million 6.50% Notes due 2012 and, as a result, incurred a pretax charge of $28 million ($18 million after-tax).</w:t>
      </w:r>
    </w:p>
    <w:p>
      <w:pPr>
        <w:spacing w:after="0" w:line="75"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Schlumberger recorded a pretax gain of $1.27 billion ($1.24 billion after-tax) as a result of remeasuring its previously held 40% equity interest in the M-I SWACO joint venture.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third quarter of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c>
          <w:tcPr>
            <w:tcW w:w="280" w:type="dxa"/>
            <w:vAlign w:val="bottom"/>
          </w:tcPr>
          <w:p>
            <w:pPr>
              <w:spacing w:after="0"/>
              <w:rPr>
                <w:sz w:val="15"/>
                <w:szCs w:val="15"/>
                <w:color w:val="auto"/>
              </w:rPr>
            </w:pPr>
          </w:p>
        </w:tc>
        <w:tc>
          <w:tcPr>
            <w:tcW w:w="2560" w:type="dxa"/>
            <w:vAlign w:val="bottom"/>
            <w:vMerge w:val="restart"/>
          </w:tcPr>
          <w:p>
            <w:pPr>
              <w:ind w:left="60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780"/>
              <w:spacing w:after="0"/>
              <w:rPr>
                <w:sz w:val="20"/>
                <w:szCs w:val="20"/>
                <w:color w:val="auto"/>
              </w:rPr>
            </w:pPr>
            <w:r>
              <w:rPr>
                <w:rFonts w:ascii="Arial" w:cs="Arial" w:eastAsia="Arial" w:hAnsi="Arial"/>
                <w:sz w:val="14"/>
                <w:szCs w:val="14"/>
                <w:color w:val="auto"/>
                <w:w w:val="93"/>
              </w:rPr>
              <w:t>Pretax</w:t>
            </w:r>
          </w:p>
        </w:tc>
        <w:tc>
          <w:tcPr>
            <w:tcW w:w="16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Tax</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280" w:type="dxa"/>
            <w:vAlign w:val="bottom"/>
          </w:tcPr>
          <w:p>
            <w:pPr>
              <w:spacing w:after="0"/>
              <w:rPr>
                <w:sz w:val="14"/>
                <w:szCs w:val="14"/>
                <w:color w:val="auto"/>
              </w:rPr>
            </w:pPr>
          </w:p>
        </w:tc>
        <w:tc>
          <w:tcPr>
            <w:tcW w:w="2560" w:type="dxa"/>
            <w:vAlign w:val="bottom"/>
          </w:tcPr>
          <w:p>
            <w:pPr>
              <w:ind w:left="580"/>
              <w:spacing w:after="0"/>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Severance and other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Impairment relating to WesternGeco’s first generation Q-</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Land acquisition system</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Other WesternGeco-related charges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 and 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Merger-related employee benefits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fair value adjustments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Mexico restructuring</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bonds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400"/>
              <w:spacing w:after="0"/>
              <w:rPr>
                <w:sz w:val="20"/>
                <w:szCs w:val="20"/>
                <w:color w:val="auto"/>
              </w:rPr>
            </w:pPr>
            <w:r>
              <w:rPr>
                <w:rFonts w:ascii="Arial" w:cs="Arial" w:eastAsia="Arial" w:hAnsi="Arial"/>
                <w:sz w:val="18"/>
                <w:szCs w:val="18"/>
                <w:i w:val="1"/>
                <w:iCs w:val="1"/>
                <w:color w:val="auto"/>
              </w:rPr>
              <w:t>Total restructuring and merger-related charges</w:t>
            </w: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w w:val="90"/>
              </w:rPr>
              <w:t>Gain on Investment in M-I SWACO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2010:</w:t>
      </w:r>
    </w:p>
    <w:p>
      <w:pPr>
        <w:spacing w:after="0" w:line="117" w:lineRule="exact"/>
        <w:rPr>
          <w:sz w:val="20"/>
          <w:szCs w:val="20"/>
          <w:color w:val="auto"/>
        </w:rPr>
      </w:pPr>
    </w:p>
    <w:p>
      <w:pPr>
        <w:ind w:left="660" w:right="30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Schlumberger incurred $35 million of pretax and after-tax merger-related costs in connection with the Smith and Geoservices transactions. These costs primarily consisted of legal and other advisory fees.</w:t>
      </w:r>
    </w:p>
    <w:p>
      <w:pPr>
        <w:spacing w:after="0" w:line="75" w:lineRule="exact"/>
        <w:rPr>
          <w:rFonts w:ascii="Arial" w:cs="Arial" w:eastAsia="Arial" w:hAnsi="Arial"/>
          <w:sz w:val="18"/>
          <w:szCs w:val="18"/>
          <w:b w:val="1"/>
          <w:bCs w:val="1"/>
          <w:color w:val="auto"/>
        </w:rPr>
      </w:pPr>
    </w:p>
    <w:p>
      <w:pPr>
        <w:ind w:left="660" w:right="200" w:hanging="314"/>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During March 2010, the Patient Protection and Affordable Care Act (“PPACA”) was signed into law in the United States. Among other things, the PPACA eliminated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nine months of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4"/>
          </w:tcPr>
          <w:p>
            <w:pPr>
              <w:jc w:val="right"/>
              <w:ind w:right="340"/>
              <w:spacing w:after="0"/>
              <w:rPr>
                <w:sz w:val="20"/>
                <w:szCs w:val="20"/>
                <w:color w:val="auto"/>
              </w:rPr>
            </w:pPr>
            <w:r>
              <w:rPr>
                <w:rFonts w:ascii="Arial" w:cs="Arial" w:eastAsia="Arial" w:hAnsi="Arial"/>
                <w:sz w:val="14"/>
                <w:szCs w:val="14"/>
                <w:i w:val="1"/>
                <w:iCs w:val="1"/>
                <w:color w:val="auto"/>
              </w:rPr>
              <w:t>(Stated in millions)</w:t>
            </w:r>
          </w:p>
        </w:tc>
        <w:tc>
          <w:tcPr>
            <w:tcW w:w="280" w:type="dxa"/>
            <w:vAlign w:val="bottom"/>
          </w:tcPr>
          <w:p>
            <w:pPr>
              <w:spacing w:after="0"/>
              <w:rPr>
                <w:sz w:val="15"/>
                <w:szCs w:val="15"/>
                <w:color w:val="auto"/>
              </w:rPr>
            </w:pPr>
          </w:p>
        </w:tc>
        <w:tc>
          <w:tcPr>
            <w:tcW w:w="2560" w:type="dxa"/>
            <w:vAlign w:val="bottom"/>
            <w:vMerge w:val="restart"/>
          </w:tcPr>
          <w:p>
            <w:pPr>
              <w:ind w:left="60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4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780"/>
              <w:spacing w:after="0"/>
              <w:rPr>
                <w:sz w:val="20"/>
                <w:szCs w:val="20"/>
                <w:color w:val="auto"/>
              </w:rPr>
            </w:pPr>
            <w:r>
              <w:rPr>
                <w:rFonts w:ascii="Arial" w:cs="Arial" w:eastAsia="Arial" w:hAnsi="Arial"/>
                <w:sz w:val="14"/>
                <w:szCs w:val="14"/>
                <w:color w:val="auto"/>
                <w:w w:val="93"/>
              </w:rPr>
              <w:t>Pretax</w:t>
            </w:r>
          </w:p>
        </w:tc>
        <w:tc>
          <w:tcPr>
            <w:tcW w:w="160" w:type="dxa"/>
            <w:vAlign w:val="bottom"/>
          </w:tcPr>
          <w:p>
            <w:pPr>
              <w:spacing w:after="0"/>
              <w:rPr>
                <w:sz w:val="14"/>
                <w:szCs w:val="14"/>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color w:val="auto"/>
              </w:rPr>
              <w:t>Tax</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4"/>
                <w:szCs w:val="14"/>
                <w:color w:val="auto"/>
              </w:rPr>
              <w:t>Net</w:t>
            </w:r>
          </w:p>
        </w:tc>
        <w:tc>
          <w:tcPr>
            <w:tcW w:w="280" w:type="dxa"/>
            <w:vAlign w:val="bottom"/>
          </w:tcPr>
          <w:p>
            <w:pPr>
              <w:spacing w:after="0"/>
              <w:rPr>
                <w:sz w:val="14"/>
                <w:szCs w:val="14"/>
                <w:color w:val="auto"/>
              </w:rPr>
            </w:pPr>
          </w:p>
        </w:tc>
        <w:tc>
          <w:tcPr>
            <w:tcW w:w="2560" w:type="dxa"/>
            <w:vAlign w:val="bottom"/>
          </w:tcPr>
          <w:p>
            <w:pPr>
              <w:ind w:left="580"/>
              <w:spacing w:after="0"/>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Severance and other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Impairment relating to WesternGeco’s first generation Q-</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acquisition system</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Other WesternGeco-related charges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63</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fees and 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Merger-related employee benefits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fair value adjustments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8"/>
                <w:szCs w:val="18"/>
                <w:color w:val="auto"/>
              </w:rPr>
              <w:t>Mexico restructuring</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bonds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30"/>
        </w:trPr>
        <w:tc>
          <w:tcPr>
            <w:tcW w:w="4960" w:type="dxa"/>
            <w:vAlign w:val="bottom"/>
          </w:tcPr>
          <w:p>
            <w:pPr>
              <w:ind w:left="420"/>
              <w:spacing w:after="0"/>
              <w:rPr>
                <w:sz w:val="20"/>
                <w:szCs w:val="20"/>
                <w:color w:val="auto"/>
              </w:rPr>
            </w:pPr>
            <w:r>
              <w:rPr>
                <w:rFonts w:ascii="Arial" w:cs="Arial" w:eastAsia="Arial" w:hAnsi="Arial"/>
                <w:sz w:val="18"/>
                <w:szCs w:val="18"/>
                <w:i w:val="1"/>
                <w:iCs w:val="1"/>
                <w:color w:val="auto"/>
              </w:rPr>
              <w:t>Total restructuring and merger-related charges</w:t>
            </w: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Impact of elimination of tax deduction related to Medicare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 D subsidy</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i w:val="1"/>
                <w:iCs w:val="1"/>
                <w:color w:val="auto"/>
              </w:rPr>
              <w:t>Gain on investment in M-I SWACO</w:t>
            </w: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(1,270)</w:t>
            </w: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(1,238)</w:t>
            </w:r>
          </w:p>
        </w:tc>
        <w:tc>
          <w:tcPr>
            <w:tcW w:w="34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i w:val="1"/>
                <w:iCs w:val="1"/>
                <w:color w:val="auto"/>
                <w:w w:val="90"/>
              </w:rPr>
              <w:t>Gain on Investment in M-I SWACO</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w:t>
            </w:r>
          </w:p>
        </w:tc>
        <w:tc>
          <w:tcPr>
            <w:tcW w:w="2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a reconciliation from basic earnings per share from continuing operations of Schlumberger to diluted earnings per share from continuing operations of Schlumberger: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w w:val="96"/>
              </w:rPr>
              <w:t>(Stated in millions, except per share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Schlumberger</w:t>
            </w:r>
          </w:p>
        </w:tc>
        <w:tc>
          <w:tcPr>
            <w:tcW w:w="13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8"/>
              </w:rPr>
              <w:t>Earnings per</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3"/>
          </w:tcPr>
          <w:p>
            <w:pPr>
              <w:spacing w:after="0" w:line="119" w:lineRule="exact"/>
              <w:rPr>
                <w:sz w:val="20"/>
                <w:szCs w:val="20"/>
                <w:color w:val="auto"/>
              </w:rPr>
            </w:pPr>
            <w:r>
              <w:rPr>
                <w:rFonts w:ascii="Arial" w:cs="Arial" w:eastAsia="Arial" w:hAnsi="Arial"/>
                <w:sz w:val="13"/>
                <w:szCs w:val="13"/>
                <w:color w:val="auto"/>
              </w:rPr>
              <w:t>Schlumberger</w:t>
            </w: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color w:val="auto"/>
              </w:rPr>
              <w:t>Earnings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Income from</w:t>
            </w: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Share from</w:t>
            </w: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Income from</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3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Shares</w:t>
            </w:r>
          </w:p>
        </w:tc>
        <w:tc>
          <w:tcPr>
            <w:tcW w:w="20" w:type="dxa"/>
            <w:vAlign w:val="bottom"/>
          </w:tcPr>
          <w:p>
            <w:pPr>
              <w:spacing w:after="0"/>
              <w:rPr>
                <w:sz w:val="12"/>
                <w:szCs w:val="12"/>
                <w:color w:val="auto"/>
              </w:rPr>
            </w:pPr>
          </w:p>
        </w:tc>
        <w:tc>
          <w:tcPr>
            <w:tcW w:w="1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Continuing</w:t>
            </w:r>
          </w:p>
        </w:tc>
        <w:tc>
          <w:tcPr>
            <w:tcW w:w="1720" w:type="dxa"/>
            <w:vAlign w:val="bottom"/>
            <w:gridSpan w:val="3"/>
          </w:tcPr>
          <w:p>
            <w:pPr>
              <w:jc w:val="center"/>
              <w:ind w:left="116"/>
              <w:spacing w:after="0" w:line="149" w:lineRule="exact"/>
              <w:rPr>
                <w:sz w:val="20"/>
                <w:szCs w:val="20"/>
                <w:color w:val="auto"/>
              </w:rPr>
            </w:pPr>
            <w:r>
              <w:rPr>
                <w:rFonts w:ascii="Arial" w:cs="Arial" w:eastAsia="Arial" w:hAnsi="Arial"/>
                <w:sz w:val="14"/>
                <w:szCs w:val="14"/>
                <w:color w:val="auto"/>
                <w:w w:val="87"/>
              </w:rPr>
              <w:t>Average Shares</w:t>
            </w:r>
          </w:p>
        </w:tc>
        <w:tc>
          <w:tcPr>
            <w:tcW w:w="3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1"/>
              </w:rPr>
              <w:t>Operations</w:t>
            </w: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Operations</w:t>
            </w:r>
          </w:p>
        </w:tc>
        <w:tc>
          <w:tcPr>
            <w:tcW w:w="5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Outstanding</w:t>
            </w:r>
          </w:p>
        </w:tc>
        <w:tc>
          <w:tcPr>
            <w:tcW w:w="3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Third Quarter</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ind w:left="4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1,301</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0.97</w:t>
            </w:r>
          </w:p>
        </w:tc>
        <w:tc>
          <w:tcPr>
            <w:tcW w:w="300" w:type="dxa"/>
            <w:vAlign w:val="bottom"/>
          </w:tcPr>
          <w:p>
            <w:pPr>
              <w:spacing w:after="0"/>
              <w:rPr>
                <w:sz w:val="18"/>
                <w:szCs w:val="18"/>
                <w:color w:val="auto"/>
              </w:rPr>
            </w:pP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18"/>
                <w:szCs w:val="18"/>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1,249</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w:t>
            </w: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1,357</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0.96</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1,258</w:t>
            </w:r>
          </w:p>
        </w:tc>
        <w:tc>
          <w:tcPr>
            <w:tcW w:w="5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Schlumberger</w:t>
            </w:r>
          </w:p>
        </w:tc>
        <w:tc>
          <w:tcPr>
            <w:tcW w:w="13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24"/>
                <w:szCs w:val="2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Earnings per</w:t>
            </w:r>
          </w:p>
        </w:tc>
        <w:tc>
          <w:tcPr>
            <w:tcW w:w="30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Schlumberger</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4"/>
                <w:szCs w:val="14"/>
                <w:color w:val="auto"/>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Income from</w:t>
            </w:r>
          </w:p>
        </w:tc>
        <w:tc>
          <w:tcPr>
            <w:tcW w:w="13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Share from</w:t>
            </w: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Income from</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Continuing</w:t>
            </w:r>
          </w:p>
        </w:tc>
        <w:tc>
          <w:tcPr>
            <w:tcW w:w="1720" w:type="dxa"/>
            <w:vAlign w:val="bottom"/>
            <w:gridSpan w:val="3"/>
          </w:tcPr>
          <w:p>
            <w:pPr>
              <w:jc w:val="center"/>
              <w:ind w:left="116"/>
              <w:spacing w:after="0" w:line="149" w:lineRule="exact"/>
              <w:rPr>
                <w:sz w:val="20"/>
                <w:szCs w:val="20"/>
                <w:color w:val="auto"/>
              </w:rPr>
            </w:pPr>
            <w:r>
              <w:rPr>
                <w:rFonts w:ascii="Arial" w:cs="Arial" w:eastAsia="Arial" w:hAnsi="Arial"/>
                <w:sz w:val="14"/>
                <w:szCs w:val="14"/>
                <w:color w:val="auto"/>
                <w:w w:val="87"/>
              </w:rPr>
              <w:t>Average Shares</w:t>
            </w:r>
          </w:p>
        </w:tc>
        <w:tc>
          <w:tcPr>
            <w:tcW w:w="300" w:type="dxa"/>
            <w:vAlign w:val="bottom"/>
          </w:tcPr>
          <w:p>
            <w:pPr>
              <w:spacing w:after="0"/>
              <w:rPr>
                <w:sz w:val="12"/>
                <w:szCs w:val="12"/>
                <w:color w:val="auto"/>
              </w:rPr>
            </w:pP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Operations</w:t>
            </w: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4"/>
                <w:szCs w:val="1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Operations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Operations</w:t>
            </w:r>
          </w:p>
        </w:tc>
        <w:tc>
          <w:tcPr>
            <w:tcW w:w="5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Outstanding</w:t>
            </w:r>
          </w:p>
        </w:tc>
        <w:tc>
          <w:tcPr>
            <w:tcW w:w="30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color w:val="auto"/>
              </w:rPr>
              <w:t>Operations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ind w:left="42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3,364</w:t>
            </w:r>
          </w:p>
        </w:tc>
        <w:tc>
          <w:tcPr>
            <w:tcW w:w="6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1,352</w:t>
            </w: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2.49</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3,224</w:t>
            </w:r>
          </w:p>
        </w:tc>
        <w:tc>
          <w:tcPr>
            <w:tcW w:w="120" w:type="dxa"/>
            <w:vAlign w:val="bottom"/>
          </w:tcPr>
          <w:p>
            <w:pPr>
              <w:spacing w:after="0"/>
              <w:rPr>
                <w:sz w:val="18"/>
                <w:szCs w:val="18"/>
                <w:color w:val="auto"/>
              </w:rPr>
            </w:pP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1,212</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3,364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1,365</w:t>
            </w:r>
          </w:p>
        </w:tc>
        <w:tc>
          <w:tcPr>
            <w:tcW w:w="58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2.46</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320" w:type="dxa"/>
            <w:vAlign w:val="bottom"/>
          </w:tcPr>
          <w:p>
            <w:pPr>
              <w:spacing w:after="0"/>
              <w:rPr>
                <w:sz w:val="19"/>
                <w:szCs w:val="19"/>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9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1"/>
        </w:trPr>
        <w:tc>
          <w:tcPr>
            <w:tcW w:w="9360" w:type="dxa"/>
            <w:vAlign w:val="bottom"/>
          </w:tcPr>
          <w:p>
            <w:pPr>
              <w:spacing w:after="0" w:line="191" w:lineRule="exact"/>
              <w:rPr>
                <w:sz w:val="20"/>
                <w:szCs w:val="20"/>
                <w:color w:val="auto"/>
              </w:rPr>
            </w:pPr>
            <w:r>
              <w:rPr>
                <w:rFonts w:ascii="Arial" w:cs="Arial" w:eastAsia="Arial" w:hAnsi="Arial"/>
                <w:sz w:val="18"/>
                <w:szCs w:val="18"/>
                <w:color w:val="auto"/>
              </w:rPr>
              <w:t>Third Quarter</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79"/>
              </w:rPr>
              <w:t>14</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4"/>
        </w:trPr>
        <w:tc>
          <w:tcPr>
            <w:tcW w:w="9860" w:type="dxa"/>
            <w:vAlign w:val="bottom"/>
            <w:gridSpan w:val="2"/>
          </w:tcPr>
          <w:p>
            <w:pPr>
              <w:spacing w:after="0"/>
              <w:rPr>
                <w:sz w:val="20"/>
                <w:szCs w:val="20"/>
                <w:color w:val="auto"/>
              </w:rPr>
            </w:pPr>
            <w:r>
              <w:rPr>
                <w:rFonts w:ascii="Arial" w:cs="Arial" w:eastAsia="Arial" w:hAnsi="Arial"/>
                <w:sz w:val="18"/>
                <w:szCs w:val="18"/>
                <w:color w:val="auto"/>
              </w:rPr>
              <w:t>Nine Months</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August 27, 2010, Schlumberger acquired all of the outstanding shares of Smith, a leading supplier of premium products and services to the oil industry.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Schlumberger issued approximately 176 million shares of its common stock which were valued at $9.8 billion at the time of closing, to effect this transaction.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Smith reported revenue of approximately $6.8 billion during the first nine months of 2010.</w:t>
      </w:r>
    </w:p>
    <w:p>
      <w:pPr>
        <w:spacing w:after="0" w:line="10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$915 million in cash.</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During the first nine months of 2011, Schlumberger made certain acquisitions and investments, none of which were significant on an individual basis, for cash payments, net of cash acquired, of $148 million.</w:t>
      </w:r>
    </w:p>
    <w:p>
      <w:pPr>
        <w:spacing w:after="0" w:line="58"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Sept. 30,</w:t>
            </w: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39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1,971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Work in process</w:t>
            </w: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2,143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340" w:type="dxa"/>
            <w:vAlign w:val="bottom"/>
            <w:vMerge w:val="restart"/>
          </w:tcPr>
          <w:p>
            <w:pPr>
              <w:jc w:val="right"/>
              <w:ind w:right="333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4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Sept. 30,</w:t>
            </w:r>
          </w:p>
        </w:tc>
        <w:tc>
          <w:tcPr>
            <w:tcW w:w="1340" w:type="dxa"/>
            <w:vAlign w:val="bottom"/>
            <w:gridSpan w:val="4"/>
          </w:tcPr>
          <w:p>
            <w:pPr>
              <w:ind w:left="24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45"/>
        </w:trPr>
        <w:tc>
          <w:tcPr>
            <w:tcW w:w="6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28,960</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$ 27,212</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16,377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12,583</w:t>
            </w:r>
          </w:p>
        </w:tc>
        <w:tc>
          <w:tcPr>
            <w:tcW w:w="13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$ 12,071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2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8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24"/>
                <w:szCs w:val="24"/>
                <w:color w:val="auto"/>
              </w:rPr>
            </w:pP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6820" w:type="dxa"/>
            <w:vAlign w:val="bottom"/>
            <w:vMerge w:val="restart"/>
          </w:tcPr>
          <w:p>
            <w:pPr>
              <w:spacing w:after="0"/>
              <w:rPr>
                <w:sz w:val="20"/>
                <w:szCs w:val="20"/>
                <w:color w:val="auto"/>
              </w:rPr>
            </w:pPr>
            <w:r>
              <w:rPr>
                <w:rFonts w:ascii="Arial" w:cs="Arial" w:eastAsia="Arial" w:hAnsi="Arial"/>
                <w:sz w:val="18"/>
                <w:szCs w:val="18"/>
                <w:color w:val="auto"/>
              </w:rPr>
              <w:t>Third Quarter</w:t>
            </w:r>
          </w:p>
        </w:tc>
        <w:tc>
          <w:tcPr>
            <w:tcW w:w="2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20" w:type="dxa"/>
            <w:vAlign w:val="bottom"/>
            <w:vMerge w:val="continue"/>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689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1"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r>
              <w:rPr>
                <w:rFonts w:ascii="Arial" w:cs="Arial" w:eastAsia="Arial" w:hAnsi="Arial"/>
                <w:sz w:val="18"/>
                <w:szCs w:val="18"/>
                <w:color w:val="auto"/>
              </w:rPr>
              <w:t>Nine Months</w:t>
            </w:r>
          </w:p>
        </w:tc>
        <w:tc>
          <w:tcPr>
            <w:tcW w:w="262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nine months ended September 30, 2011 was as follows:</w:t>
      </w:r>
    </w:p>
    <w:p>
      <w:pPr>
        <w:sectPr>
          <w:pgSz w:w="11900" w:h="16838" w:orient="portrait"/>
          <w:cols w:equalWidth="0" w:num="1">
            <w:col w:w="11420"/>
          </w:cols>
          <w:pgMar w:left="240" w:top="419" w:right="239" w:bottom="1440"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Balance at September 30, 2011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
        <w:spacing w:after="0"/>
        <w:rPr>
          <w:sz w:val="20"/>
          <w:szCs w:val="20"/>
          <w:color w:val="auto"/>
        </w:rPr>
      </w:pPr>
      <w:r>
        <w:rPr>
          <w:rFonts w:ascii="Arial" w:cs="Arial" w:eastAsia="Arial" w:hAnsi="Arial"/>
          <w:sz w:val="14"/>
          <w:szCs w:val="14"/>
          <w:i w:val="1"/>
          <w:iCs w:val="1"/>
          <w:color w:val="auto"/>
        </w:rPr>
        <w:t>(Stated in millions)</w:t>
      </w:r>
    </w:p>
    <w:p>
      <w:pPr>
        <w:spacing w:after="0" w:line="8" w:lineRule="exact"/>
        <w:rPr>
          <w:sz w:val="20"/>
          <w:szCs w:val="20"/>
          <w:color w:val="auto"/>
        </w:rPr>
      </w:pPr>
    </w:p>
    <w:p>
      <w:pPr>
        <w:ind w:left="822" w:hanging="822"/>
        <w:spacing w:after="0"/>
        <w:tabs>
          <w:tab w:leader="none" w:pos="8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394</w:t>
      </w:r>
    </w:p>
    <w:p>
      <w:pPr>
        <w:spacing w:after="0" w:line="7" w:lineRule="exact"/>
        <w:rPr>
          <w:rFonts w:ascii="Arial" w:cs="Arial" w:eastAsia="Arial" w:hAnsi="Arial"/>
          <w:sz w:val="18"/>
          <w:szCs w:val="18"/>
          <w:color w:val="auto"/>
        </w:rPr>
      </w:pPr>
    </w:p>
    <w:p>
      <w:pPr>
        <w:ind w:left="822"/>
        <w:spacing w:after="0"/>
        <w:rPr>
          <w:rFonts w:ascii="Arial" w:cs="Arial" w:eastAsia="Arial" w:hAnsi="Arial"/>
          <w:sz w:val="18"/>
          <w:szCs w:val="18"/>
          <w:color w:val="auto"/>
        </w:rPr>
      </w:pPr>
      <w:r>
        <w:rPr>
          <w:rFonts w:ascii="Arial" w:cs="Arial" w:eastAsia="Arial" w:hAnsi="Arial"/>
          <w:sz w:val="18"/>
          <w:szCs w:val="18"/>
          <w:color w:val="auto"/>
        </w:rPr>
        <w:t>206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94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 w:lineRule="exact"/>
        <w:rPr>
          <w:sz w:val="20"/>
          <w:szCs w:val="20"/>
          <w:color w:val="auto"/>
        </w:rPr>
      </w:pPr>
    </w:p>
    <w:p>
      <w:pPr>
        <w:ind w:left="822" w:hanging="822"/>
        <w:spacing w:after="0"/>
        <w:tabs>
          <w:tab w:leader="none" w:pos="8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444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46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694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98" w:space="720"/>
            <w:col w:w="1202"/>
          </w:cols>
          <w:pgMar w:left="240" w:top="419" w:right="239" w:bottom="1440" w:gutter="0" w:footer="0" w:header="0"/>
          <w:type w:val="continuous"/>
        </w:sectPr>
      </w:pPr>
    </w:p>
    <w:p>
      <w:pPr>
        <w:spacing w:after="0" w:line="7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In connection with the change in reportable segments as discussed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Schlumberger reallocated the goodwill that existed as of December 31, 2010 to the new reporting units on a relative fair value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reporting unit for the nine months ended September 30,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vMerge w:val="restart"/>
          </w:tcPr>
          <w:p>
            <w:pPr>
              <w:jc w:val="right"/>
              <w:ind w:right="560"/>
              <w:spacing w:after="0"/>
              <w:rPr>
                <w:sz w:val="20"/>
                <w:szCs w:val="20"/>
                <w:color w:val="auto"/>
              </w:rPr>
            </w:pPr>
            <w:r>
              <w:rPr>
                <w:rFonts w:ascii="Arial" w:cs="Arial" w:eastAsia="Arial" w:hAnsi="Arial"/>
                <w:sz w:val="14"/>
                <w:szCs w:val="14"/>
                <w:color w:val="auto"/>
              </w:rPr>
              <w:t>Reservoir</w:t>
            </w:r>
          </w:p>
        </w:tc>
        <w:tc>
          <w:tcPr>
            <w:tcW w:w="300" w:type="dxa"/>
            <w:vAlign w:val="bottom"/>
          </w:tcPr>
          <w:p>
            <w:pPr>
              <w:spacing w:after="0"/>
              <w:rPr>
                <w:sz w:val="15"/>
                <w:szCs w:val="15"/>
                <w:color w:val="auto"/>
              </w:rPr>
            </w:pPr>
          </w:p>
        </w:tc>
        <w:tc>
          <w:tcPr>
            <w:tcW w:w="1320" w:type="dxa"/>
            <w:vAlign w:val="bottom"/>
            <w:gridSpan w:val="3"/>
            <w:vMerge w:val="restart"/>
          </w:tcPr>
          <w:p>
            <w:pPr>
              <w:jc w:val="center"/>
              <w:ind w:right="660"/>
              <w:spacing w:after="0"/>
              <w:rPr>
                <w:sz w:val="20"/>
                <w:szCs w:val="20"/>
                <w:color w:val="auto"/>
              </w:rPr>
            </w:pPr>
            <w:r>
              <w:rPr>
                <w:rFonts w:ascii="Arial" w:cs="Arial" w:eastAsia="Arial" w:hAnsi="Arial"/>
                <w:sz w:val="14"/>
                <w:szCs w:val="14"/>
                <w:color w:val="auto"/>
                <w:w w:val="90"/>
              </w:rPr>
              <w:t>Reservoir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15"/>
        </w:trPr>
        <w:tc>
          <w:tcPr>
            <w:tcW w:w="5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w w:val="92"/>
              </w:rPr>
              <w:t>Characterization</w:t>
            </w:r>
          </w:p>
        </w:tc>
        <w:tc>
          <w:tcPr>
            <w:tcW w:w="36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92"/>
              </w:rPr>
              <w:t>Production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Drilling</w:t>
            </w:r>
          </w:p>
        </w:tc>
        <w:tc>
          <w:tcPr>
            <w:tcW w:w="6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Distribution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8,150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13,952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Adjustments relating to Smith acquisition</w:t>
            </w:r>
          </w:p>
        </w:tc>
        <w:tc>
          <w:tcPr>
            <w:tcW w:w="14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acquisitions</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Divestiture of business</w:t>
            </w: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changes in exchange rates</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Balance at September 30, 2011</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Intangible assets principally comprise technology/technical know-how, tradenames and customer relationships. The gross book value, accumulated amortization and net book value of intangible assets were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Sept. 30, 2011</w:t>
      </w:r>
    </w:p>
    <w:p>
      <w:pPr>
        <w:spacing w:after="0" w:line="10" w:lineRule="exact"/>
        <w:rPr>
          <w:sz w:val="20"/>
          <w:szCs w:val="20"/>
          <w:color w:val="auto"/>
        </w:rPr>
      </w:pPr>
    </w:p>
    <w:tbl>
      <w:tblPr>
        <w:tblLayout w:type="fixed"/>
        <w:tblInd w:w="3700" w:type="dxa"/>
        <w:tblCellMar>
          <w:top w:w="0" w:type="dxa"/>
          <w:left w:w="0" w:type="dxa"/>
          <w:bottom w:w="0" w:type="dxa"/>
          <w:right w:w="0" w:type="dxa"/>
        </w:tblCellMar>
      </w:tblPr>
      <w:tr>
        <w:trPr>
          <w:trHeight w:val="119"/>
        </w:trPr>
        <w:tc>
          <w:tcPr>
            <w:tcW w:w="1020" w:type="dxa"/>
            <w:vAlign w:val="bottom"/>
            <w:tcBorders>
              <w:top w:val="single" w:sz="8" w:color="auto"/>
            </w:tcBorders>
          </w:tcPr>
          <w:p>
            <w:pPr>
              <w:jc w:val="center"/>
              <w:ind w:right="271"/>
              <w:spacing w:after="0" w:line="119" w:lineRule="exact"/>
              <w:rPr>
                <w:sz w:val="20"/>
                <w:szCs w:val="20"/>
                <w:color w:val="auto"/>
              </w:rPr>
            </w:pPr>
            <w:r>
              <w:rPr>
                <w:rFonts w:ascii="Arial" w:cs="Arial" w:eastAsia="Arial" w:hAnsi="Arial"/>
                <w:sz w:val="13"/>
                <w:szCs w:val="13"/>
                <w:b w:val="1"/>
                <w:bCs w:val="1"/>
                <w:color w:val="auto"/>
                <w:w w:val="95"/>
              </w:rPr>
              <w:t>Gross</w:t>
            </w:r>
          </w:p>
        </w:tc>
        <w:tc>
          <w:tcPr>
            <w:tcW w:w="1520" w:type="dxa"/>
            <w:vAlign w:val="bottom"/>
            <w:tcBorders>
              <w:top w:val="single" w:sz="8" w:color="auto"/>
            </w:tcBorders>
          </w:tcPr>
          <w:p>
            <w:pPr>
              <w:ind w:left="340"/>
              <w:spacing w:after="0" w:line="119" w:lineRule="exact"/>
              <w:rPr>
                <w:sz w:val="20"/>
                <w:szCs w:val="20"/>
                <w:color w:val="auto"/>
              </w:rPr>
            </w:pPr>
            <w:r>
              <w:rPr>
                <w:rFonts w:ascii="Arial" w:cs="Arial" w:eastAsia="Arial" w:hAnsi="Arial"/>
                <w:sz w:val="13"/>
                <w:szCs w:val="13"/>
                <w:b w:val="1"/>
                <w:bCs w:val="1"/>
                <w:color w:val="auto"/>
              </w:rPr>
              <w:t>Accumulated</w:t>
            </w:r>
          </w:p>
        </w:tc>
        <w:tc>
          <w:tcPr>
            <w:tcW w:w="960" w:type="dxa"/>
            <w:vAlign w:val="bottom"/>
            <w:tcBorders>
              <w:top w:val="single" w:sz="8" w:color="auto"/>
            </w:tcBorders>
          </w:tcPr>
          <w:p>
            <w:pPr>
              <w:jc w:val="center"/>
              <w:ind w:left="231"/>
              <w:spacing w:after="0" w:line="119" w:lineRule="exact"/>
              <w:rPr>
                <w:sz w:val="20"/>
                <w:szCs w:val="20"/>
                <w:color w:val="auto"/>
              </w:rPr>
            </w:pPr>
            <w:r>
              <w:rPr>
                <w:rFonts w:ascii="Arial" w:cs="Arial" w:eastAsia="Arial" w:hAnsi="Arial"/>
                <w:sz w:val="13"/>
                <w:szCs w:val="13"/>
                <w:b w:val="1"/>
                <w:bCs w:val="1"/>
                <w:color w:val="auto"/>
              </w:rPr>
              <w:t>Net Book</w:t>
            </w:r>
          </w:p>
        </w:tc>
        <w:tc>
          <w:tcPr>
            <w:tcW w:w="120" w:type="dxa"/>
            <w:vAlign w:val="bottom"/>
          </w:tcPr>
          <w:p>
            <w:pPr>
              <w:spacing w:after="0"/>
              <w:rPr>
                <w:sz w:val="10"/>
                <w:szCs w:val="10"/>
                <w:color w:val="auto"/>
              </w:rPr>
            </w:pPr>
          </w:p>
        </w:tc>
      </w:tr>
      <w:tr>
        <w:trPr>
          <w:trHeight w:val="171"/>
        </w:trPr>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1"/>
              </w:rPr>
              <w:t>Book Value</w:t>
            </w:r>
          </w:p>
        </w:tc>
        <w:tc>
          <w:tcPr>
            <w:tcW w:w="15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Amortization</w:t>
            </w:r>
          </w:p>
        </w:tc>
        <w:tc>
          <w:tcPr>
            <w:tcW w:w="960" w:type="dxa"/>
            <w:vAlign w:val="bottom"/>
            <w:tcBorders>
              <w:bottom w:val="single" w:sz="8" w:color="auto"/>
            </w:tcBorders>
          </w:tcPr>
          <w:p>
            <w:pPr>
              <w:jc w:val="center"/>
              <w:ind w:left="231"/>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1240" w:type="dxa"/>
            <w:vAlign w:val="bottom"/>
            <w:vMerge w:val="restart"/>
          </w:tcPr>
          <w:p>
            <w:pPr>
              <w:ind w:left="320"/>
              <w:spacing w:after="0"/>
              <w:rPr>
                <w:sz w:val="20"/>
                <w:szCs w:val="20"/>
                <w:color w:val="auto"/>
              </w:rPr>
            </w:pPr>
            <w:r>
              <w:rPr>
                <w:rFonts w:ascii="Arial" w:cs="Arial" w:eastAsia="Arial" w:hAnsi="Arial"/>
                <w:sz w:val="14"/>
                <w:szCs w:val="14"/>
                <w:color w:val="auto"/>
              </w:rPr>
              <w:t>Dec. 31, 2010</w:t>
            </w:r>
          </w:p>
        </w:tc>
        <w:tc>
          <w:tcPr>
            <w:tcW w:w="132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34"/>
        </w:trPr>
        <w:tc>
          <w:tcPr>
            <w:tcW w:w="10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000" w:type="dxa"/>
            <w:vAlign w:val="bottom"/>
          </w:tcPr>
          <w:p>
            <w:pPr>
              <w:jc w:val="center"/>
              <w:ind w:right="228"/>
              <w:spacing w:after="0" w:line="123" w:lineRule="exact"/>
              <w:rPr>
                <w:sz w:val="20"/>
                <w:szCs w:val="20"/>
                <w:color w:val="auto"/>
              </w:rPr>
            </w:pPr>
            <w:r>
              <w:rPr>
                <w:rFonts w:ascii="Arial" w:cs="Arial" w:eastAsia="Arial" w:hAnsi="Arial"/>
                <w:sz w:val="14"/>
                <w:szCs w:val="14"/>
                <w:color w:val="auto"/>
                <w:w w:val="90"/>
              </w:rPr>
              <w:t>Gross</w:t>
            </w:r>
          </w:p>
        </w:tc>
        <w:tc>
          <w:tcPr>
            <w:tcW w:w="1240" w:type="dxa"/>
            <w:vAlign w:val="bottom"/>
          </w:tcPr>
          <w:p>
            <w:pPr>
              <w:ind w:left="340"/>
              <w:spacing w:after="0" w:line="123" w:lineRule="exact"/>
              <w:rPr>
                <w:sz w:val="20"/>
                <w:szCs w:val="20"/>
                <w:color w:val="auto"/>
              </w:rPr>
            </w:pPr>
            <w:r>
              <w:rPr>
                <w:rFonts w:ascii="Arial" w:cs="Arial" w:eastAsia="Arial" w:hAnsi="Arial"/>
                <w:sz w:val="14"/>
                <w:szCs w:val="14"/>
                <w:color w:val="auto"/>
              </w:rPr>
              <w:t>Accumulated</w:t>
            </w:r>
          </w:p>
        </w:tc>
        <w:tc>
          <w:tcPr>
            <w:tcW w:w="1220" w:type="dxa"/>
            <w:vAlign w:val="bottom"/>
          </w:tcPr>
          <w:p>
            <w:pPr>
              <w:jc w:val="center"/>
              <w:ind w:left="468"/>
              <w:spacing w:after="0" w:line="123" w:lineRule="exact"/>
              <w:rPr>
                <w:sz w:val="20"/>
                <w:szCs w:val="20"/>
                <w:color w:val="auto"/>
              </w:rPr>
            </w:pPr>
            <w:r>
              <w:rPr>
                <w:rFonts w:ascii="Arial" w:cs="Arial" w:eastAsia="Arial" w:hAnsi="Arial"/>
                <w:sz w:val="14"/>
                <w:szCs w:val="14"/>
                <w:color w:val="auto"/>
                <w:w w:val="97"/>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color w:val="auto"/>
                <w:w w:val="94"/>
              </w:rPr>
              <w:t>Book Value</w:t>
            </w: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Amortization</w:t>
            </w:r>
          </w:p>
        </w:tc>
        <w:tc>
          <w:tcPr>
            <w:tcW w:w="132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320" w:space="540"/>
            <w:col w:w="3560"/>
          </w:cols>
          <w:pgMar w:left="240" w:top="419"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Technology/Technical Know-How</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1,835</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303</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1,532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1,846</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8"/>
                <w:szCs w:val="18"/>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1,671</w:t>
            </w:r>
          </w:p>
        </w:tc>
        <w:tc>
          <w:tcPr>
            <w:tcW w:w="66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107</w:t>
            </w:r>
          </w:p>
        </w:tc>
        <w:tc>
          <w:tcPr>
            <w:tcW w:w="5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1,564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1,678</w:t>
            </w:r>
          </w:p>
        </w:tc>
        <w:tc>
          <w:tcPr>
            <w:tcW w:w="62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1,617</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1,954</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185</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1,963</w:t>
            </w: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1,834</w:t>
            </w: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361</w:t>
            </w: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299</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378</w:t>
            </w:r>
          </w:p>
        </w:tc>
        <w:tc>
          <w:tcPr>
            <w:tcW w:w="6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298</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w:t>
            </w:r>
          </w:p>
        </w:tc>
      </w:tr>
      <w:tr>
        <w:trPr>
          <w:trHeight w:val="216"/>
        </w:trPr>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5,821</w:t>
            </w:r>
          </w:p>
        </w:tc>
        <w:tc>
          <w:tcPr>
            <w:tcW w:w="6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894</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4,927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5,865</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703</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5,162</w:t>
            </w:r>
          </w:p>
        </w:tc>
      </w:tr>
      <w:tr>
        <w:trPr>
          <w:trHeight w:val="20"/>
        </w:trPr>
        <w:tc>
          <w:tcPr>
            <w:tcW w:w="3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260" w:type="dxa"/>
            <w:vAlign w:val="bottom"/>
            <w:gridSpan w:val="4"/>
          </w:tcPr>
          <w:p>
            <w:pPr>
              <w:ind w:left="1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7"/>
        </w:trPr>
        <w:tc>
          <w:tcPr>
            <w:tcW w:w="5140" w:type="dxa"/>
            <w:vAlign w:val="bottom"/>
            <w:vMerge w:val="restart"/>
          </w:tcPr>
          <w:p>
            <w:pPr>
              <w:spacing w:after="0"/>
              <w:rPr>
                <w:sz w:val="20"/>
                <w:szCs w:val="20"/>
                <w:color w:val="auto"/>
              </w:rPr>
            </w:pPr>
            <w:r>
              <w:rPr>
                <w:rFonts w:ascii="Arial" w:cs="Arial" w:eastAsia="Arial" w:hAnsi="Arial"/>
                <w:sz w:val="18"/>
                <w:szCs w:val="18"/>
                <w:color w:val="auto"/>
              </w:rPr>
              <w:t>Third Quarter</w:t>
            </w:r>
          </w:p>
        </w:tc>
        <w:tc>
          <w:tcPr>
            <w:tcW w:w="4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140" w:type="dxa"/>
            <w:vAlign w:val="bottom"/>
            <w:vMerge w:val="continue"/>
          </w:tcPr>
          <w:p>
            <w:pPr>
              <w:spacing w:after="0"/>
              <w:rPr>
                <w:sz w:val="16"/>
                <w:szCs w:val="16"/>
                <w:color w:val="auto"/>
              </w:rPr>
            </w:pPr>
          </w:p>
        </w:tc>
        <w:tc>
          <w:tcPr>
            <w:tcW w:w="4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91"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Arial" w:cs="Arial" w:eastAsia="Arial" w:hAnsi="Arial"/>
                <w:sz w:val="18"/>
                <w:szCs w:val="18"/>
                <w:color w:val="auto"/>
              </w:rPr>
              <w:t>Nine Months</w:t>
            </w:r>
          </w:p>
        </w:tc>
        <w:tc>
          <w:tcPr>
            <w:tcW w:w="4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21 years.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Based on the net book value of intangible assets at September 30, 2011, amortization charged to income for the subsequent five years is estimated to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remainder of 2011 — $81 million; 2012 — $303 million; 2013 — $295 million; 2014 — $286 million; 2015 — $265 million; and 2016 — $255 million.</w:t>
      </w:r>
    </w:p>
    <w:p>
      <w:pPr>
        <w:spacing w:after="0" w:line="218"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Schlumberger is exposed to market risks related to fluctuations in foreign currency exchange rates, commodity prices and interest rates. To mitigate these risks, Schlumberger utilizes derivative instruments. Schlumberger does not enter into derivative transactions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multinational company, Schlumberger conducts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and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Amounts recorded in</w:t>
      </w:r>
      <w:r>
        <w:rPr>
          <w:rFonts w:ascii="Arial" w:cs="Arial" w:eastAsia="Arial" w:hAnsi="Arial"/>
          <w:sz w:val="18"/>
          <w:szCs w:val="18"/>
          <w:i w:val="1"/>
          <w:iCs w:val="1"/>
          <w:color w:val="auto"/>
        </w:rPr>
        <w:t xml:space="preserve"> Accumulated Other Comprehensive Loss </w:t>
      </w:r>
      <w:r>
        <w:rPr>
          <w:rFonts w:ascii="Arial" w:cs="Arial" w:eastAsia="Arial" w:hAnsi="Arial"/>
          <w:sz w:val="18"/>
          <w:szCs w:val="18"/>
          <w:color w:val="auto"/>
        </w:rPr>
        <w:t>are reclassified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into earnings in the same period or periods that the hedged item is recognized in earnings. The ineffective portion of changes in the fair value of hedging instruments, if any, is recorded directly to earnings.</w:t>
      </w:r>
    </w:p>
    <w:p>
      <w:pPr>
        <w:spacing w:after="0" w:line="8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At September 30, 2011, Schlumberger recognized a cumulative net $74 million loss in </w:t>
      </w:r>
      <w:r>
        <w:rPr>
          <w:rFonts w:ascii="Arial" w:cs="Arial" w:eastAsia="Arial" w:hAnsi="Arial"/>
          <w:sz w:val="16"/>
          <w:szCs w:val="16"/>
          <w:i w:val="1"/>
          <w:iCs w:val="1"/>
          <w:color w:val="auto"/>
        </w:rPr>
        <w:t>Equity</w:t>
      </w:r>
      <w:r>
        <w:rPr>
          <w:rFonts w:ascii="Arial" w:cs="Arial" w:eastAsia="Arial" w:hAnsi="Arial"/>
          <w:sz w:val="16"/>
          <w:szCs w:val="16"/>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2011, contracts were outstanding for the US dollar equivalent of $7.4 billion in various foreign currencies.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2011, $38 million of commodity forward contracts were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73"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 xml:space="preserve">During the third quarter of 2009, Schlumberger entered into an interest rate swap for a notional amount of $450 million in order to hedge changes in the fair value of Schlumberger’s $450 million 3.00% Notes due 2013. Under the terms of this swap, Schlumberger receives interest at a fixed rate of 3.00% annually and pays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gains and losses recognized on changes in the fair value of the hedged debt. This results in no net gain or loss being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2011, Schlumberger had fixed rate debt aggregating $8.0 billion and variable rate debt aggregating $3.4 billion, after taking into account the effects of the interest rate swaps.</w:t>
      </w:r>
    </w:p>
    <w:p>
      <w:pPr>
        <w:spacing w:after="0" w:line="6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Short-term investments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Fixed 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totaled $4.6 billion at September 30, 2011, and were comprised primarily of money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funds, eurodollar time deposits, certificates of deposit, commercial paper, euro notes and Eurobonds, and were substantially all denominated in US dollars. The carrying value of these investments approximated fair value, which was estimated using quoted market prices for those or similar investments.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right"/>
              <w:ind w:right="520"/>
              <w:spacing w:after="0"/>
              <w:rPr>
                <w:sz w:val="20"/>
                <w:szCs w:val="20"/>
                <w:color w:val="auto"/>
              </w:rPr>
            </w:pPr>
            <w:r>
              <w:rPr>
                <w:rFonts w:ascii="Arial" w:cs="Arial" w:eastAsia="Arial" w:hAnsi="Arial"/>
                <w:sz w:val="14"/>
                <w:szCs w:val="14"/>
                <w:i w:val="1"/>
                <w:iCs w:val="1"/>
                <w:color w:val="auto"/>
              </w:rPr>
              <w:t>(Stated in millions)</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7"/>
              </w:rPr>
              <w:t>Fair Value of Derivatives</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4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Sept. 30,</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color w:val="auto"/>
              </w:rPr>
              <w:t>Dec. 31,</w:t>
            </w:r>
          </w:p>
        </w:tc>
        <w:tc>
          <w:tcPr>
            <w:tcW w:w="520" w:type="dxa"/>
            <w:vAlign w:val="bottom"/>
          </w:tcPr>
          <w:p>
            <w:pPr>
              <w:spacing w:after="0"/>
              <w:rPr>
                <w:sz w:val="10"/>
                <w:szCs w:val="10"/>
                <w:color w:val="auto"/>
              </w:rPr>
            </w:pPr>
          </w:p>
        </w:tc>
        <w:tc>
          <w:tcPr>
            <w:tcW w:w="2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9"/>
              </w:rPr>
              <w:t xml:space="preserve">Consolidated Balance Sheet </w:t>
            </w:r>
            <w:r>
              <w:rPr>
                <w:rFonts w:ascii="Arial" w:cs="Arial" w:eastAsia="Arial" w:hAnsi="Arial"/>
                <w:sz w:val="14"/>
                <w:szCs w:val="14"/>
                <w:b w:val="1"/>
                <w:bCs w:val="1"/>
                <w:color w:val="auto"/>
                <w:w w:val="89"/>
              </w:rPr>
              <w:t>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96"/>
              </w:rPr>
              <w:t>2010</w:t>
            </w:r>
          </w:p>
        </w:tc>
        <w:tc>
          <w:tcPr>
            <w:tcW w:w="520" w:type="dxa"/>
            <w:vAlign w:val="bottom"/>
          </w:tcPr>
          <w:p>
            <w:pPr>
              <w:spacing w:after="0"/>
              <w:rPr>
                <w:sz w:val="14"/>
                <w:szCs w:val="14"/>
                <w:color w:val="auto"/>
              </w:rPr>
            </w:pPr>
          </w:p>
        </w:tc>
        <w:tc>
          <w:tcPr>
            <w:tcW w:w="2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Commodity contracts</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contracts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1"/>
              </w:rPr>
              <w:t>Accounts payable and 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90"/>
              </w:rPr>
              <w:t>Accounts payable and accrued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20</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4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90"/>
              </w:rPr>
              <w:t>Accounts payable and accrued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80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99"/>
              </w:rPr>
              <w:t>liabilities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90"/>
              </w:rPr>
              <w:t>Accounts payable and accrued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contacts</w:t>
            </w: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liabilities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can be derived from or corroborated by observable data.</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The effect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of derivative instruments designated as fair value hedges and those not designated as hedges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4"/>
          </w:tcPr>
          <w:p>
            <w:pPr>
              <w:jc w:val="center"/>
              <w:ind w:right="540"/>
              <w:spacing w:after="0"/>
              <w:rPr>
                <w:sz w:val="20"/>
                <w:szCs w:val="20"/>
                <w:color w:val="auto"/>
              </w:rPr>
            </w:pPr>
            <w:r>
              <w:rPr>
                <w:rFonts w:ascii="Arial" w:cs="Arial" w:eastAsia="Arial" w:hAnsi="Arial"/>
                <w:sz w:val="14"/>
                <w:szCs w:val="14"/>
                <w:i w:val="1"/>
                <w:iCs w:val="1"/>
                <w:color w:val="auto"/>
                <w:w w:val="95"/>
              </w:rPr>
              <w:t>(Stated in millions)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9"/>
          </w:tcPr>
          <w:p>
            <w:pPr>
              <w:ind w:left="180"/>
              <w:spacing w:after="0"/>
              <w:rPr>
                <w:sz w:val="20"/>
                <w:szCs w:val="20"/>
                <w:color w:val="auto"/>
              </w:rPr>
            </w:pPr>
            <w:r>
              <w:rPr>
                <w:rFonts w:ascii="Arial" w:cs="Arial" w:eastAsia="Arial" w:hAnsi="Arial"/>
                <w:sz w:val="14"/>
                <w:szCs w:val="14"/>
                <w:b w:val="1"/>
                <w:bCs w:val="1"/>
                <w:color w:val="auto"/>
              </w:rPr>
              <w:t>Gain (Loss) Recognized in Income</w:t>
            </w:r>
          </w:p>
        </w:tc>
        <w:tc>
          <w:tcPr>
            <w:tcW w:w="4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5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Consolidated Statement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Third Quarter</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ind w:left="380"/>
              <w:spacing w:after="0" w:line="142" w:lineRule="exact"/>
              <w:rPr>
                <w:sz w:val="20"/>
                <w:szCs w:val="20"/>
                <w:color w:val="auto"/>
              </w:rPr>
            </w:pPr>
            <w:r>
              <w:rPr>
                <w:rFonts w:ascii="Arial" w:cs="Arial" w:eastAsia="Arial" w:hAnsi="Arial"/>
                <w:sz w:val="14"/>
                <w:szCs w:val="14"/>
                <w:b w:val="1"/>
                <w:bCs w:val="1"/>
                <w:color w:val="auto"/>
                <w:w w:val="95"/>
              </w:rPr>
              <w:t>Nine Months</w:t>
            </w:r>
          </w:p>
        </w:tc>
        <w:tc>
          <w:tcPr>
            <w:tcW w:w="4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83"/>
              </w:rPr>
              <w:t>2010</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89"/>
              </w:rPr>
              <w:t>2010</w:t>
            </w:r>
          </w:p>
        </w:tc>
        <w:tc>
          <w:tcPr>
            <w:tcW w:w="560" w:type="dxa"/>
            <w:vAlign w:val="bottom"/>
          </w:tcPr>
          <w:p>
            <w:pPr>
              <w:spacing w:after="0"/>
              <w:rPr>
                <w:sz w:val="12"/>
                <w:szCs w:val="12"/>
                <w:color w:val="auto"/>
              </w:rPr>
            </w:pPr>
          </w:p>
        </w:tc>
        <w:tc>
          <w:tcPr>
            <w:tcW w:w="2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i w:val="1"/>
                <w:iCs w:val="1"/>
                <w:color w:val="auto"/>
                <w:w w:val="91"/>
              </w:rPr>
              <w:t xml:space="preserve">of Income </w:t>
            </w:r>
            <w:r>
              <w:rPr>
                <w:rFonts w:ascii="Arial" w:cs="Arial" w:eastAsia="Arial" w:hAnsi="Arial"/>
                <w:sz w:val="14"/>
                <w:szCs w:val="14"/>
                <w:b w:val="1"/>
                <w:bCs w:val="1"/>
                <w:color w:val="auto"/>
                <w:w w:val="91"/>
              </w:rPr>
              <w:t>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660" w:type="dxa"/>
            <w:vAlign w:val="bottom"/>
            <w:gridSpan w:val="2"/>
          </w:tcPr>
          <w:p>
            <w:pPr>
              <w:jc w:val="center"/>
              <w:ind w:left="39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2560" w:type="dxa"/>
            <w:vAlign w:val="bottom"/>
          </w:tcPr>
          <w:p>
            <w:pPr>
              <w:jc w:val="center"/>
              <w:spacing w:after="0"/>
              <w:rPr>
                <w:sz w:val="20"/>
                <w:szCs w:val="20"/>
                <w:color w:val="auto"/>
              </w:rPr>
            </w:pPr>
            <w:r>
              <w:rPr>
                <w:rFonts w:ascii="Arial" w:cs="Arial" w:eastAsia="Arial" w:hAnsi="Arial"/>
                <w:sz w:val="18"/>
                <w:szCs w:val="18"/>
                <w:i w:val="1"/>
                <w:iCs w:val="1"/>
                <w:color w:val="auto"/>
                <w:w w:val="90"/>
              </w:rPr>
              <w:t>Cost of revenue — Oilfield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w:t>
            </w:r>
          </w:p>
        </w:tc>
        <w:tc>
          <w:tcPr>
            <w:tcW w:w="660" w:type="dxa"/>
            <w:vAlign w:val="bottom"/>
            <w:gridSpan w:val="2"/>
          </w:tcPr>
          <w:p>
            <w:pPr>
              <w:jc w:val="center"/>
              <w:ind w:left="39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2560" w:type="dxa"/>
            <w:vAlign w:val="bottom"/>
          </w:tcPr>
          <w:p>
            <w:pPr>
              <w:jc w:val="center"/>
              <w:spacing w:after="0"/>
              <w:rPr>
                <w:sz w:val="20"/>
                <w:szCs w:val="20"/>
                <w:color w:val="auto"/>
              </w:rPr>
            </w:pPr>
            <w:r>
              <w:rPr>
                <w:rFonts w:ascii="Arial" w:cs="Arial" w:eastAsia="Arial" w:hAnsi="Arial"/>
                <w:sz w:val="18"/>
                <w:szCs w:val="18"/>
                <w:i w:val="1"/>
                <w:iCs w:val="1"/>
                <w:color w:val="auto"/>
                <w:w w:val="90"/>
              </w:rPr>
              <w:t>Cost of revenue — Oilfield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Commodity contracts</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Cost of revenue — Oilfield Services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74"/>
              </w:rPr>
              <w:t>)</w:t>
            </w: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6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520" w:type="dxa"/>
            <w:vAlign w:val="bottom"/>
            <w:vMerge w:val="continue"/>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w:t>
            </w: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4"/>
                <w:szCs w:val="14"/>
                <w:i w:val="1"/>
                <w:iCs w:val="1"/>
                <w:color w:val="auto"/>
              </w:rPr>
              <w:t>(Stated in millions)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940" w:type="dxa"/>
            <w:vAlign w:val="bottom"/>
            <w:gridSpan w:val="13"/>
          </w:tcPr>
          <w:p>
            <w:pPr>
              <w:jc w:val="right"/>
              <w:ind w:right="860"/>
              <w:spacing w:after="0"/>
              <w:rPr>
                <w:sz w:val="20"/>
                <w:szCs w:val="20"/>
                <w:color w:val="auto"/>
              </w:rPr>
            </w:pPr>
            <w:r>
              <w:rPr>
                <w:rFonts w:ascii="Arial" w:cs="Arial" w:eastAsia="Arial" w:hAnsi="Arial"/>
                <w:sz w:val="14"/>
                <w:szCs w:val="14"/>
                <w:b w:val="1"/>
                <w:bCs w:val="1"/>
                <w:color w:val="auto"/>
                <w:w w:val="99"/>
              </w:rPr>
              <w:t>Gain (Loss) Reclassified from Accumulated OCI into Income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7"/>
            <w:vMerge w:val="restart"/>
          </w:tcPr>
          <w:p>
            <w:pPr>
              <w:jc w:val="center"/>
              <w:ind w:right="540"/>
              <w:spacing w:after="0"/>
              <w:rPr>
                <w:sz w:val="20"/>
                <w:szCs w:val="20"/>
                <w:color w:val="auto"/>
              </w:rPr>
            </w:pPr>
            <w:r>
              <w:rPr>
                <w:rFonts w:ascii="Arial" w:cs="Arial" w:eastAsia="Arial" w:hAnsi="Arial"/>
                <w:sz w:val="14"/>
                <w:szCs w:val="14"/>
                <w:b w:val="1"/>
                <w:bCs w:val="1"/>
                <w:i w:val="1"/>
                <w:iCs w:val="1"/>
                <w:color w:val="auto"/>
                <w:w w:val="87"/>
              </w:rPr>
              <w:t>Consolidated Statement</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4"/>
          </w:tcPr>
          <w:p>
            <w:pPr>
              <w:ind w:left="400"/>
              <w:spacing w:after="0" w:line="142" w:lineRule="exact"/>
              <w:rPr>
                <w:sz w:val="20"/>
                <w:szCs w:val="20"/>
                <w:color w:val="auto"/>
              </w:rPr>
            </w:pPr>
            <w:r>
              <w:rPr>
                <w:rFonts w:ascii="Arial" w:cs="Arial" w:eastAsia="Arial" w:hAnsi="Arial"/>
                <w:sz w:val="14"/>
                <w:szCs w:val="14"/>
                <w:b w:val="1"/>
                <w:bCs w:val="1"/>
                <w:color w:val="auto"/>
              </w:rPr>
              <w:t>Third Quarter</w:t>
            </w:r>
          </w:p>
        </w:tc>
        <w:tc>
          <w:tcPr>
            <w:tcW w:w="5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Nine Months</w:t>
            </w:r>
          </w:p>
        </w:tc>
        <w:tc>
          <w:tcPr>
            <w:tcW w:w="500" w:type="dxa"/>
            <w:vAlign w:val="bottom"/>
            <w:tcBorders>
              <w:top w:val="single" w:sz="8" w:color="auto"/>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96"/>
              </w:rPr>
              <w:t>2010</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96"/>
              </w:rPr>
              <w:t>2010</w:t>
            </w:r>
          </w:p>
        </w:tc>
        <w:tc>
          <w:tcPr>
            <w:tcW w:w="5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tcPr>
          <w:p>
            <w:pPr>
              <w:jc w:val="center"/>
              <w:ind w:right="520"/>
              <w:spacing w:after="0" w:line="142" w:lineRule="exact"/>
              <w:rPr>
                <w:sz w:val="20"/>
                <w:szCs w:val="20"/>
                <w:color w:val="auto"/>
              </w:rPr>
            </w:pPr>
            <w:r>
              <w:rPr>
                <w:rFonts w:ascii="Arial" w:cs="Arial" w:eastAsia="Arial" w:hAnsi="Arial"/>
                <w:sz w:val="14"/>
                <w:szCs w:val="14"/>
                <w:b w:val="1"/>
                <w:bCs w:val="1"/>
                <w:i w:val="1"/>
                <w:iCs w:val="1"/>
                <w:color w:val="auto"/>
                <w:w w:val="91"/>
              </w:rPr>
              <w:t xml:space="preserve">of Income </w:t>
            </w:r>
            <w:r>
              <w:rPr>
                <w:rFonts w:ascii="Arial" w:cs="Arial" w:eastAsia="Arial" w:hAnsi="Arial"/>
                <w:sz w:val="14"/>
                <w:szCs w:val="14"/>
                <w:b w:val="1"/>
                <w:bCs w:val="1"/>
                <w:color w:val="auto"/>
                <w:w w:val="91"/>
              </w:rPr>
              <w:t>Classification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w:t>
            </w:r>
          </w:p>
        </w:tc>
        <w:tc>
          <w:tcPr>
            <w:tcW w:w="2560" w:type="dxa"/>
            <w:vAlign w:val="bottom"/>
            <w:gridSpan w:val="8"/>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Cost of revenue — Oilfield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860" w:type="dxa"/>
            <w:vAlign w:val="bottom"/>
            <w:gridSpan w:val="6"/>
          </w:tcPr>
          <w:p>
            <w:pPr>
              <w:jc w:val="right"/>
              <w:ind w:right="120"/>
              <w:spacing w:after="0"/>
              <w:rPr>
                <w:sz w:val="20"/>
                <w:szCs w:val="20"/>
                <w:color w:val="auto"/>
              </w:rPr>
            </w:pPr>
            <w:r>
              <w:rPr>
                <w:rFonts w:ascii="Arial" w:cs="Arial" w:eastAsia="Arial" w:hAnsi="Arial"/>
                <w:sz w:val="18"/>
                <w:szCs w:val="18"/>
                <w:i w:val="1"/>
                <w:iCs w:val="1"/>
                <w:color w:val="auto"/>
                <w:w w:val="89"/>
              </w:rPr>
              <w:t>Research &amp; engineering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7"/>
              </w:rPr>
              <w:t>Gain (Loss) Recognized in OCI</w:t>
            </w:r>
          </w:p>
        </w:tc>
        <w:tc>
          <w:tcPr>
            <w:tcW w:w="1740" w:type="dxa"/>
            <w:vAlign w:val="bottom"/>
            <w:gridSpan w:val="4"/>
          </w:tcPr>
          <w:p>
            <w:pPr>
              <w:jc w:val="right"/>
              <w:ind w:right="460"/>
              <w:spacing w:after="0"/>
              <w:rPr>
                <w:sz w:val="20"/>
                <w:szCs w:val="20"/>
                <w:color w:val="auto"/>
              </w:rPr>
            </w:pPr>
            <w:r>
              <w:rPr>
                <w:rFonts w:ascii="Arial" w:cs="Arial" w:eastAsia="Arial" w:hAnsi="Arial"/>
                <w:sz w:val="14"/>
                <w:szCs w:val="14"/>
                <w:i w:val="1"/>
                <w:iCs w:val="1"/>
                <w:color w:val="auto"/>
              </w:rPr>
              <w:t>(Stated 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6"/>
            <w:vMerge w:val="continue"/>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4"/>
          </w:tcPr>
          <w:p>
            <w:pPr>
              <w:ind w:left="400"/>
              <w:spacing w:after="0" w:line="142" w:lineRule="exact"/>
              <w:rPr>
                <w:sz w:val="20"/>
                <w:szCs w:val="20"/>
                <w:color w:val="auto"/>
              </w:rPr>
            </w:pPr>
            <w:r>
              <w:rPr>
                <w:rFonts w:ascii="Arial" w:cs="Arial" w:eastAsia="Arial" w:hAnsi="Arial"/>
                <w:sz w:val="14"/>
                <w:szCs w:val="14"/>
                <w:b w:val="1"/>
                <w:bCs w:val="1"/>
                <w:color w:val="auto"/>
              </w:rPr>
              <w:t>Third Quarter</w:t>
            </w:r>
          </w:p>
        </w:tc>
        <w:tc>
          <w:tcPr>
            <w:tcW w:w="5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Nine Months</w:t>
            </w:r>
          </w:p>
        </w:tc>
        <w:tc>
          <w:tcPr>
            <w:tcW w:w="5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gridSpan w:val="4"/>
            <w:vMerge w:val="restart"/>
          </w:tcPr>
          <w:p>
            <w:pPr>
              <w:spacing w:after="0"/>
              <w:rPr>
                <w:sz w:val="20"/>
                <w:szCs w:val="20"/>
                <w:color w:val="auto"/>
              </w:rPr>
            </w:pPr>
            <w:r>
              <w:rPr>
                <w:rFonts w:ascii="Arial" w:cs="Arial" w:eastAsia="Arial" w:hAnsi="Arial"/>
                <w:sz w:val="18"/>
                <w:szCs w:val="18"/>
                <w:color w:val="auto"/>
              </w:rPr>
              <w:t>Foreign exchange contracts</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96"/>
              </w:rPr>
              <w:t>2010</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color w:val="auto"/>
                <w:w w:val="96"/>
              </w:rPr>
              <w:t>2010</w:t>
            </w:r>
          </w:p>
        </w:tc>
        <w:tc>
          <w:tcPr>
            <w:tcW w:w="540" w:type="dxa"/>
            <w:vAlign w:val="bottom"/>
            <w:vMerge w:val="restart"/>
          </w:tcPr>
          <w:p>
            <w:pPr>
              <w:jc w:val="right"/>
              <w:ind w:right="400"/>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gridSpan w:val="4"/>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w:t>
            </w:r>
          </w:p>
        </w:tc>
        <w:tc>
          <w:tcPr>
            <w:tcW w:w="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6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5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7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80" w:type="dxa"/>
            <w:vAlign w:val="bottom"/>
            <w:gridSpan w:val="4"/>
          </w:tcPr>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Sept. 30,</w:t>
            </w:r>
          </w:p>
        </w:tc>
        <w:tc>
          <w:tcPr>
            <w:tcW w:w="1360" w:type="dxa"/>
            <w:vAlign w:val="bottom"/>
            <w:gridSpan w:val="5"/>
          </w:tcPr>
          <w:p>
            <w:pPr>
              <w:ind w:lef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3.30%</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1,595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w w:val="93"/>
              </w:rPr>
              <w:t>4.50%</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Guaranteed Notes due 2014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1,364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2.75%</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Guaranteed Notes due 2015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w w:val="93"/>
              </w:rPr>
              <w:t>1.95%</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Senior Notes due 2016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1,099</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4.20%</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Guaranteed Notes due 2021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1,099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w w:val="93"/>
              </w:rPr>
              <w:t>5.25%</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Guaranteed Notes due 2013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682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2.65%</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Guaranteed Notes due 2016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498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w w:val="93"/>
              </w:rPr>
              <w:t>3.00%</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Guaranteed Notes due 2013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Floating Rate Senior Notes due 2014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w w:val="93"/>
              </w:rPr>
              <w:t>9.75%</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Senior Notes due 2019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8.625% Senior Notes due 2014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gridSpan w:val="2"/>
          </w:tcPr>
          <w:p>
            <w:pPr>
              <w:spacing w:after="0"/>
              <w:rPr>
                <w:sz w:val="20"/>
                <w:szCs w:val="20"/>
                <w:color w:val="auto"/>
              </w:rPr>
            </w:pPr>
            <w:r>
              <w:rPr>
                <w:rFonts w:ascii="Arial" w:cs="Arial" w:eastAsia="Arial" w:hAnsi="Arial"/>
                <w:sz w:val="18"/>
                <w:szCs w:val="18"/>
                <w:color w:val="auto"/>
                <w:w w:val="93"/>
              </w:rPr>
              <w:t>6.00%</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Senior Notes due 2016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paper borrowings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Other variable rate debt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4"/>
          </w:tcPr>
          <w:p>
            <w:pPr>
              <w:spacing w:after="0"/>
              <w:rPr>
                <w:sz w:val="20"/>
                <w:szCs w:val="20"/>
                <w:color w:val="auto"/>
              </w:rPr>
            </w:pPr>
            <w:r>
              <w:rPr>
                <w:rFonts w:ascii="Arial" w:cs="Arial" w:eastAsia="Arial" w:hAnsi="Arial"/>
                <w:sz w:val="18"/>
                <w:szCs w:val="18"/>
                <w:color w:val="auto"/>
              </w:rPr>
              <w:t>Fair value adjustment — hedging</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6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During the third quarter of 2011 Schlumberger issued $1.1 billion of 1.95% Senior Notes due 2016, $1.6 billion of 3.30% Senior Notes due 2021 and $300 million of Floating Rate Senior Notes due 2014 that bear interest at a rate equal to three-month LIBOR plus 55 basis points per year.</w:t>
      </w:r>
    </w:p>
    <w:p>
      <w:pPr>
        <w:spacing w:after="0" w:line="1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During the first quarter of 2011, Schlumberger repurchased all of the outstanding 9.75% Senior Notes due 2019, the 8.625% Senior Notes due 2014 and the 6.00% Senior Notes due 2016 for approximately $1.26 billion. These transactions did not result in any significant gains or losses.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2011, Schlumberger issued $1.1 billion of 4.20% Guaranteed Notes due 2021.</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During the first quarter of 2011, Schlumberger issued $500 million of 2.65% Guaranteed Notes due 2016. Schlumberger entered into agreements to swap these dollar notes for euros on the date of issue until maturity, effectively making this a euro denominated debt on which Schlumberger will pay interest in euros at a rate of 2.39%.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At September 30, 2011, Schlumberger had separate committed debt facility agreements aggregating $5.6 billion with commercial banks, of which $3.4 billion was available and unused. This includes $5.0 billion of committed facilities which support commercial paper programs in the United States and Europe, of which $2.0 billion mature in December 2011 and $3.0 billion mature in July 2016. Interest rates and other terms of borrowing under these lines of credit vary from country to country. Borrowings under the commercial paper programs at September 30, 2011 were $2.0 billion ($1.9 billion at December 31, 2010). At September 30, 2011 all of the commercial paper borrowings were classified within </w:t>
      </w:r>
      <w:r>
        <w:rPr>
          <w:rFonts w:ascii="Arial" w:cs="Arial" w:eastAsia="Arial" w:hAnsi="Arial"/>
          <w:sz w:val="16"/>
          <w:szCs w:val="16"/>
          <w:i w:val="1"/>
          <w:iCs w:val="1"/>
          <w:color w:val="auto"/>
        </w:rPr>
        <w:t>Long-term debt — current portion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5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September 30, 2011 and December 31, 2010, based on quoted market prices, was $9.0 billion and $5.6 billion, respectively.</w:t>
      </w:r>
    </w:p>
    <w:p>
      <w:pPr>
        <w:spacing w:after="0" w:line="58"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was subject to US and non-US income taxes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120"/>
              <w:spacing w:after="0"/>
              <w:rPr>
                <w:sz w:val="20"/>
                <w:szCs w:val="20"/>
                <w:color w:val="auto"/>
              </w:rPr>
            </w:pPr>
            <w:r>
              <w:rPr>
                <w:rFonts w:ascii="Arial" w:cs="Arial" w:eastAsia="Arial" w:hAnsi="Arial"/>
                <w:sz w:val="14"/>
                <w:szCs w:val="14"/>
                <w:i w:val="1"/>
                <w:iCs w:val="1"/>
                <w:color w:val="auto"/>
              </w:rPr>
              <w:t>(Stated in millions)</w:t>
            </w:r>
          </w:p>
        </w:tc>
      </w:tr>
      <w:tr>
        <w:trPr>
          <w:trHeight w:val="167"/>
        </w:trPr>
        <w:tc>
          <w:tcPr>
            <w:tcW w:w="4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Third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color w:val="auto"/>
              </w:rPr>
              <w:t>Nine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651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Outside United States</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1,066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1,772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2,878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3,510</w:t>
            </w:r>
          </w:p>
        </w:tc>
      </w:tr>
      <w:tr>
        <w:trPr>
          <w:trHeight w:val="27"/>
        </w:trPr>
        <w:tc>
          <w:tcPr>
            <w:tcW w:w="4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1,717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4,453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w:t>
            </w:r>
          </w:p>
        </w:tc>
      </w:tr>
      <w:tr>
        <w:trPr>
          <w:trHeight w:val="20"/>
        </w:trPr>
        <w:tc>
          <w:tcPr>
            <w:tcW w:w="4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2011, Schlumberger recorded pretax charges of $27 million ($23 million in the US and $4 million outside of the US).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third quarter of 2010, Schlumberger recorded a net pretax credit of $836 million, consisting of net charges in the US of $63 million and a net pretax credit of $899 million outside of the US.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Schlumberger recorded pretax charges of $143 million during the nine months ended September 30, 2011 ($91 million in the US and $52 million outside of the US).</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nine months ended September 30, 2010, Schlumberger recorded net pretax charges in the US of $63 million and a net pretax credit of $864 million outside of the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These charges are included in the table above and are more fully described in Note 2 — </w:t>
      </w:r>
      <w:r>
        <w:rPr>
          <w:rFonts w:ascii="Arial" w:cs="Arial" w:eastAsia="Arial" w:hAnsi="Arial"/>
          <w:sz w:val="18"/>
          <w:szCs w:val="18"/>
          <w:i w:val="1"/>
          <w:iCs w:val="1"/>
          <w:color w:val="auto"/>
        </w:rPr>
        <w:t>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Sept. 30,</w:t>
            </w: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59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(1,523)</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non-US subsidiaries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net</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above deferred tax balances at September 30, 2011 and December 31, 2010 were net of valuation allowances relating to net operating losses in certain countries of $274 million and $263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6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Third Quarter</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color w:val="auto"/>
              </w:rPr>
              <w:t>Nine Months</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2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United States — Federal</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553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 State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w:t>
            </w: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Outside United States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458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342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 — Federal</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United States — State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Outside United States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w:t>
            </w: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3"/>
          </w:tcPr>
          <w:p>
            <w:pPr>
              <w:jc w:val="right"/>
              <w:ind w:right="6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410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209</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3"/>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gridSpan w:val="14"/>
          </w:tcPr>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color w:val="auto"/>
              </w:rPr>
              <w:t>Third Quarter</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4"/>
                <w:szCs w:val="14"/>
                <w:color w:val="auto"/>
                <w:w w:val="94"/>
              </w:rPr>
              <w:t>Nine Months</w:t>
            </w:r>
          </w:p>
        </w:tc>
        <w:tc>
          <w:tcPr>
            <w:tcW w:w="5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680" w:type="dxa"/>
            <w:vAlign w:val="bottom"/>
            <w:tcBorders>
              <w:bottom w:val="single" w:sz="8" w:color="auto"/>
            </w:tcBorders>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w w:val="89"/>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w:t>
            </w: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US state income taxes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(10)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Charges (See Note 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24%</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governmental authorities and is currently unable to predict the outcome of this matter.</w:t>
      </w:r>
    </w:p>
    <w:p>
      <w:pPr>
        <w:spacing w:after="0" w:line="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prior to being acquired by Schlumberger, Smith received an administrative subpoena with respect to its historical business practices in certain countries that are subject to United States trade and economic sanctions. Schlumberger is cooperating with the governmental authorities and is currently unable to predict the outcome of these matters.</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On April 20, 2010, a fire and explosion occurred onboard the semisubmersible drilling rig </w:t>
      </w:r>
      <w:r>
        <w:rPr>
          <w:rFonts w:ascii="Arial" w:cs="Arial" w:eastAsia="Arial" w:hAnsi="Arial"/>
          <w:sz w:val="17"/>
          <w:szCs w:val="17"/>
          <w:i w:val="1"/>
          <w:iCs w:val="1"/>
          <w:color w:val="auto"/>
        </w:rPr>
        <w:t>Deepwater Horizon</w:t>
      </w:r>
      <w:r>
        <w:rPr>
          <w:rFonts w:ascii="Arial" w:cs="Arial" w:eastAsia="Arial" w:hAnsi="Arial"/>
          <w:sz w:val="17"/>
          <w:szCs w:val="17"/>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7"/>
          <w:szCs w:val="17"/>
          <w:i w:val="1"/>
          <w:iCs w:val="1"/>
          <w:color w:val="auto"/>
        </w:rPr>
        <w:t>Deepwater Horizon</w:t>
      </w:r>
      <w:r>
        <w:rPr>
          <w:rFonts w:ascii="Arial" w:cs="Arial" w:eastAsia="Arial" w:hAnsi="Arial"/>
          <w:sz w:val="17"/>
          <w:szCs w:val="17"/>
          <w:color w:val="auto"/>
        </w:rPr>
        <w:t xml:space="preserve"> incident, and additional legal actions may be filed in the future. Based on information currently known, the amount of any potential loss attributable to M-I SWACO with respect to potential liabilities related to the incident would not be material to Schlumberger’s consolidated financial statements.</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Schlumberger and its subsidiaries are party to various other legal proceedings from time to time. A liability is accrued when a loss is both probable and can be reasonably estimated. Management believes that the probability of a material loss is remote. However, litigation is inherently uncertain and it is not possible to predict the ultimate disposition of these proceedings.</w:t>
      </w:r>
    </w:p>
    <w:p>
      <w:pPr>
        <w:spacing w:after="0" w:line="69"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previously reported its results on the basis of five business segments — Schlumberger Oilfield Services, WesternGeco, M-I SWACO, Smith Oilfield and Distribution and by geographical areas within Schlumberger Oilfield Services. As a result of the acquisitions of Smith and Geoservices, the range of Schlumberger’s activities comprising exploration and production services is so broad that it has changed the primary way in which it allocates resources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assesses performance. Consequently, effective with the first quarter of 2011, Schlumberger changed its primary reporting to product group segments (the “Groups”).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Groups are as follows:</w:t>
      </w:r>
    </w:p>
    <w:p>
      <w:pPr>
        <w:spacing w:after="0" w:line="117" w:lineRule="exact"/>
        <w:rPr>
          <w:sz w:val="20"/>
          <w:szCs w:val="20"/>
          <w:color w:val="auto"/>
        </w:rPr>
      </w:pPr>
    </w:p>
    <w:p>
      <w:pPr>
        <w:ind w:left="660" w:right="300" w:hanging="314"/>
        <w:spacing w:after="0" w:line="308"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Reservoir Characterization Group </w:t>
      </w:r>
      <w:r>
        <w:rPr>
          <w:rFonts w:ascii="Arial" w:cs="Arial" w:eastAsia="Arial" w:hAnsi="Arial"/>
          <w:sz w:val="17"/>
          <w:szCs w:val="17"/>
          <w:color w:val="auto"/>
        </w:rPr>
        <w:t>— Consists of the principal technologies involved in the finding and defining of hydrocarbon deposits.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WesternGeco, Wireline, Testing Services, Schlumberger Information Services and Data &amp; Consulting Services.</w:t>
      </w:r>
    </w:p>
    <w:p>
      <w:pPr>
        <w:spacing w:after="0" w:line="51" w:lineRule="exact"/>
        <w:rPr>
          <w:rFonts w:ascii="Arial" w:cs="Arial" w:eastAsia="Arial" w:hAnsi="Arial"/>
          <w:sz w:val="17"/>
          <w:szCs w:val="17"/>
          <w:b w:val="1"/>
          <w:bCs w:val="1"/>
          <w:color w:val="auto"/>
        </w:rPr>
      </w:pPr>
    </w:p>
    <w:p>
      <w:pPr>
        <w:ind w:left="660" w:right="380" w:hanging="314"/>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Drilling Group </w:t>
      </w:r>
      <w:r>
        <w:rPr>
          <w:rFonts w:ascii="Arial" w:cs="Arial" w:eastAsia="Arial" w:hAnsi="Arial"/>
          <w:sz w:val="18"/>
          <w:szCs w:val="18"/>
          <w:color w:val="auto"/>
        </w:rPr>
        <w:t>— Consists of the principal technologies involved in the drilling and positioning of oil and gas wells and is comprised of Bits &amp;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Technologies, M-I SWACO, Geoservices, Drilling and Measurements, Pathfinder, Drilling Tools and Remedial Services, Dynamic Pressure Management and Integrated Project Management well construction projects.</w:t>
      </w:r>
    </w:p>
    <w:p>
      <w:pPr>
        <w:spacing w:after="0" w:line="86" w:lineRule="exact"/>
        <w:rPr>
          <w:rFonts w:ascii="Arial" w:cs="Arial" w:eastAsia="Arial" w:hAnsi="Arial"/>
          <w:sz w:val="18"/>
          <w:szCs w:val="18"/>
          <w:b w:val="1"/>
          <w:bCs w:val="1"/>
          <w:color w:val="auto"/>
        </w:rPr>
      </w:pPr>
    </w:p>
    <w:p>
      <w:pPr>
        <w:ind w:left="660" w:hanging="314"/>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Reservoir Production Group </w:t>
      </w:r>
      <w:r>
        <w:rPr>
          <w:rFonts w:ascii="Arial" w:cs="Arial" w:eastAsia="Arial" w:hAnsi="Arial"/>
          <w:sz w:val="18"/>
          <w:szCs w:val="18"/>
          <w:color w:val="auto"/>
        </w:rPr>
        <w:t>— Consists of the principal technologies involved in the lifetime production of oil and gas reservoirs and includes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Completions and Artificial Lift, together with the Subsea and Water and Carbon Services activities and the Schlumberger Production Management field production projects.</w:t>
      </w:r>
    </w:p>
    <w:p>
      <w:pPr>
        <w:spacing w:after="0" w:line="7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Groups are collectively referred to as “Oilfield Services”. Additionally, Schlumberger also reports the Distribution business, acquired in the Smith transaction, as a separate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prior period segment disclosures have been recast to reflect the new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vMerge w:val="restart"/>
          </w:tcPr>
          <w:p>
            <w:pPr>
              <w:jc w:val="right"/>
              <w:ind w:right="1100"/>
              <w:spacing w:after="0"/>
              <w:rPr>
                <w:sz w:val="20"/>
                <w:szCs w:val="20"/>
                <w:color w:val="auto"/>
              </w:rPr>
            </w:pPr>
            <w:r>
              <w:rPr>
                <w:rFonts w:ascii="Arial" w:cs="Arial" w:eastAsia="Arial" w:hAnsi="Arial"/>
                <w:sz w:val="14"/>
                <w:szCs w:val="14"/>
                <w:b w:val="1"/>
                <w:bCs w:val="1"/>
                <w:color w:val="auto"/>
              </w:rPr>
              <w:t>Third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color w:val="auto"/>
              </w:rPr>
              <w:t>Third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2,488</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3,676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707</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698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(158)</w:t>
            </w:r>
          </w:p>
        </w:tc>
        <w:tc>
          <w:tcPr>
            <w:tcW w:w="1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5"/>
                <w:szCs w:val="15"/>
                <w:b w:val="1"/>
                <w:bCs w:val="1"/>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10,229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($1 million in 2011; $2 million in 2010).</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($1 million in 2011; $- million in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vMerge w:val="restart"/>
          </w:tcPr>
          <w:p>
            <w:pPr>
              <w:jc w:val="right"/>
              <w:ind w:right="1160"/>
              <w:spacing w:after="0"/>
              <w:rPr>
                <w:sz w:val="20"/>
                <w:szCs w:val="20"/>
                <w:color w:val="auto"/>
              </w:rPr>
            </w:pPr>
            <w:r>
              <w:rPr>
                <w:rFonts w:ascii="Arial" w:cs="Arial" w:eastAsia="Arial" w:hAnsi="Arial"/>
                <w:sz w:val="14"/>
                <w:szCs w:val="14"/>
                <w:b w:val="1"/>
                <w:bCs w:val="1"/>
                <w:color w:val="auto"/>
              </w:rPr>
              <w:t>Nine Months 2011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color w:val="auto"/>
              </w:rPr>
              <w:t>Nine Months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95"/>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before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3"/>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14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7,142</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6,831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10,339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1,618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9,150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1,848</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6,271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26,658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18,180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(437)</w:t>
            </w:r>
          </w:p>
        </w:tc>
        <w:tc>
          <w:tcPr>
            <w:tcW w:w="14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5"/>
                <w:szCs w:val="15"/>
                <w:b w:val="1"/>
                <w:bCs w:val="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5"/>
                <w:szCs w:val="15"/>
                <w:b w:val="1"/>
                <w:bCs w:val="1"/>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(208)</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Charges and credits </w:t>
            </w:r>
            <w:r>
              <w:rPr>
                <w:rFonts w:ascii="Arial" w:cs="Arial" w:eastAsia="Arial" w:hAnsi="Arial"/>
                <w:sz w:val="18"/>
                <w:szCs w:val="18"/>
                <w:color w:val="auto"/>
              </w:rPr>
              <w:t>(see Note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28,566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18,379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Excludes interest income included in the segment results ($1 million in 2011; $10 million in 2010).</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Excludes interest expense included in the segment results ($4 million in 2011; $2 million in 2010).</w:t>
      </w:r>
    </w:p>
    <w:p>
      <w:pPr>
        <w:spacing w:after="0" w:line="221"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color w:val="auto"/>
              </w:rPr>
              <w:t>Third Quarter</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color w:val="auto"/>
              </w:rPr>
              <w:t>Nine Months</w:t>
            </w:r>
          </w:p>
        </w:tc>
        <w:tc>
          <w:tcPr>
            <w:tcW w:w="480" w:type="dxa"/>
            <w:vAlign w:val="bottom"/>
          </w:tcPr>
          <w:p>
            <w:pPr>
              <w:spacing w:after="0"/>
              <w:rPr>
                <w:sz w:val="15"/>
                <w:szCs w:val="15"/>
                <w:color w:val="auto"/>
              </w:rPr>
            </w:pPr>
          </w:p>
        </w:tc>
        <w:tc>
          <w:tcPr>
            <w:tcW w:w="122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2010</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gridSpan w:val="2"/>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Int’l</w:t>
            </w:r>
          </w:p>
        </w:tc>
        <w:tc>
          <w:tcPr>
            <w:tcW w:w="4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US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Int’l</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Int’l</w:t>
            </w:r>
          </w:p>
        </w:tc>
        <w:tc>
          <w:tcPr>
            <w:tcW w:w="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US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Service cost — benefits earned</w:t>
            </w:r>
          </w:p>
        </w:tc>
        <w:tc>
          <w:tcPr>
            <w:tcW w:w="16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60" w:type="dxa"/>
            <w:vAlign w:val="bottom"/>
            <w:shd w:val="clear" w:color="auto" w:fill="CCEEFF"/>
          </w:tcPr>
          <w:p>
            <w:pPr>
              <w:spacing w:after="0"/>
              <w:rPr>
                <w:sz w:val="16"/>
                <w:szCs w:val="16"/>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w:t>
            </w: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during period</w:t>
            </w:r>
          </w:p>
        </w:tc>
        <w:tc>
          <w:tcPr>
            <w:tcW w:w="160" w:type="dxa"/>
            <w:vAlign w:val="bottom"/>
            <w:gridSpan w:val="2"/>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9"/>
              </w:rPr>
              <w:t>15</w:t>
            </w: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360" w:type="dxa"/>
            <w:vAlign w:val="bottom"/>
            <w:gridSpan w:val="2"/>
            <w:vMerge w:val="continue"/>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Interest cost on projected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56</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112</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169</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benefit obligation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center"/>
              <w:ind w:left="233"/>
              <w:spacing w:after="0"/>
              <w:rPr>
                <w:sz w:val="20"/>
                <w:szCs w:val="20"/>
                <w:color w:val="auto"/>
              </w:rPr>
            </w:pPr>
            <w:r>
              <w:rPr>
                <w:rFonts w:ascii="Arial" w:cs="Arial" w:eastAsia="Arial" w:hAnsi="Arial"/>
                <w:sz w:val="18"/>
                <w:szCs w:val="18"/>
                <w:color w:val="auto"/>
                <w:w w:val="89"/>
              </w:rPr>
              <w:t>35</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left="173"/>
              <w:spacing w:after="0"/>
              <w:rPr>
                <w:sz w:val="20"/>
                <w:szCs w:val="20"/>
                <w:color w:val="auto"/>
              </w:rPr>
            </w:pPr>
            <w:r>
              <w:rPr>
                <w:rFonts w:ascii="Arial" w:cs="Arial" w:eastAsia="Arial" w:hAnsi="Arial"/>
                <w:sz w:val="18"/>
                <w:szCs w:val="18"/>
                <w:color w:val="auto"/>
                <w:w w:val="93"/>
              </w:rPr>
              <w:t>(48)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(210)</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660" w:type="dxa"/>
            <w:vAlign w:val="bottom"/>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9</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2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w w:val="89"/>
              </w:rPr>
              <w:t>14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center"/>
              <w:ind w:left="233"/>
              <w:spacing w:after="0"/>
              <w:rPr>
                <w:sz w:val="20"/>
                <w:szCs w:val="20"/>
                <w:color w:val="auto"/>
              </w:rPr>
            </w:pPr>
            <w:r>
              <w:rPr>
                <w:rFonts w:ascii="Arial" w:cs="Arial" w:eastAsia="Arial" w:hAnsi="Arial"/>
                <w:sz w:val="18"/>
                <w:szCs w:val="18"/>
                <w:color w:val="auto"/>
                <w:w w:val="89"/>
              </w:rPr>
              <w:t>17</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2011, Schlumberger made contributions to its US and international defined benefit pension plans of $204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color w:val="auto"/>
              </w:rPr>
              <w:t>Third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Nine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Service cost — benefits earned during period</w:t>
            </w:r>
          </w:p>
        </w:tc>
        <w:tc>
          <w:tcPr>
            <w:tcW w:w="202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20" w:type="dxa"/>
            <w:vAlign w:val="bottom"/>
            <w:vMerge w:val="restart"/>
          </w:tcPr>
          <w:p>
            <w:pPr>
              <w:jc w:val="right"/>
              <w:ind w:right="590"/>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2011, Schlumberger made contributions to its US postretirement medical plan of $155 million.</w:t>
      </w:r>
    </w:p>
    <w:p>
      <w:pPr>
        <w:spacing w:after="0" w:line="113"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During the second quarter of 2011, Schlumberger completed the divestiture of its Global Connectivity Services business for approximately $385 million in cash. An after-tax gain of $220 million was recognized in connection with this transaction, and is classified in </w:t>
      </w: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The historical results of this business were not significant to Schlumberger’s consolidated financial statements and,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have not been reclassified to discontinued operations.</w:t>
      </w:r>
    </w:p>
    <w:p>
      <w:pPr>
        <w:spacing w:after="0" w:line="1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2011 Compared to Second Quarter 2011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restart"/>
          </w:tcPr>
          <w:p>
            <w:pPr>
              <w:jc w:val="right"/>
              <w:ind w:right="1100"/>
              <w:spacing w:after="0"/>
              <w:rPr>
                <w:sz w:val="20"/>
                <w:szCs w:val="20"/>
                <w:color w:val="auto"/>
              </w:rPr>
            </w:pPr>
            <w:r>
              <w:rPr>
                <w:rFonts w:ascii="Arial" w:cs="Arial" w:eastAsia="Arial" w:hAnsi="Arial"/>
                <w:sz w:val="14"/>
                <w:szCs w:val="14"/>
                <w:b w:val="1"/>
                <w:bCs w:val="1"/>
                <w:color w:val="auto"/>
              </w:rPr>
              <w:t>Third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color w:val="auto"/>
              </w:rPr>
              <w:t>Second Quarter 2011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2,488</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2,461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3,373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707</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3,060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(158</w:t>
            </w: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10,229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00" w:type="dxa"/>
            <w:vAlign w:val="bottom"/>
            <w:gridSpan w:val="4"/>
          </w:tcPr>
          <w:p>
            <w:pPr>
              <w:jc w:val="right"/>
              <w:ind w:right="207"/>
              <w:spacing w:after="0"/>
              <w:rPr>
                <w:sz w:val="20"/>
                <w:szCs w:val="20"/>
                <w:color w:val="auto"/>
              </w:rPr>
            </w:pPr>
            <w:r>
              <w:rPr>
                <w:rFonts w:ascii="Arial" w:cs="Arial" w:eastAsia="Arial" w:hAnsi="Arial"/>
                <w:sz w:val="18"/>
                <w:szCs w:val="18"/>
                <w:b w:val="1"/>
                <w:bCs w:val="1"/>
                <w:color w:val="auto"/>
              </w:rPr>
              <w:t>Geographic Areas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vMerge w:val="restart"/>
          </w:tcPr>
          <w:p>
            <w:pPr>
              <w:jc w:val="right"/>
              <w:ind w:right="1100"/>
              <w:spacing w:after="0"/>
              <w:rPr>
                <w:sz w:val="20"/>
                <w:szCs w:val="20"/>
                <w:color w:val="auto"/>
              </w:rPr>
            </w:pPr>
            <w:r>
              <w:rPr>
                <w:rFonts w:ascii="Arial" w:cs="Arial" w:eastAsia="Arial" w:hAnsi="Arial"/>
                <w:sz w:val="14"/>
                <w:szCs w:val="14"/>
                <w:b w:val="1"/>
                <w:bCs w:val="1"/>
                <w:color w:val="auto"/>
              </w:rPr>
              <w:t>Third Quarter 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color w:val="auto"/>
              </w:rPr>
              <w:t>Second Quarter 2011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color w:val="auto"/>
              </w:rPr>
              <w:t>Revenue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3,304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2,864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270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408</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444</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698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637</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(158</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10,229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 xml:space="preserve">Pretax operating income represents the segments’ income before taxes and noncontrolling interests. The pretax operating income excludes such items as corporate expenses and interest income and interest expense not allocated to the segments as well as the charges described in detail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interest on postretirement medical benefits, stock-based compensation costs and amortization expense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recorded as a result of the merger with Smith International, Inc. (“Smith”).</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Third-quarter revenue of $9.55 billion increased 6% sequentially. Revenue increased in all Groups and across all geographical Areas with the exception of the Middle East &amp; Asia Area.</w:t>
      </w:r>
    </w:p>
    <w:p>
      <w:pPr>
        <w:spacing w:after="0" w:line="62"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On a geographical basis, North America Area revenue increased sequentially following the seasonal rig count recovery in Canada, higher activity on land in the US, and increased deepwater work in the US Gulf of Mexico. All Product Groups registered significant rebounds from the spring break-up in Canada. Reservoir Production, particularly Well Services, posted the highest increase as the rebound was augmented by higher rig count and land activity in the US. Reservoir Characterization and Drilling activities increased from a better mix of key services in the unconventional plays in US land and higher deepwater work in the US Gulf of Mexico. WesternGeco grew on higher Multiclient and Data Processing sales. In the Latin America Area, strong revenue growth was posted in the Mexico GeoMarket* due to higher Integrated Project Management (IPM) well construction project activities on land and on higher Drilling &amp; Measurements work offshore. Argentina grew from strong unconventional gas activities that benefited Well Services. Meanwhile, Brazil experienced strong deepwater and exploration activity that led to expanded Wireline, Testing Services, Drilling &amp; Measurements and M-I SWACO services in the GeoMarket although this was offset by the decline in WesternGeco proprietary marine surveys and multiclient sales. In the Europe/CIS/Africa Area, results were driven by higher revenue in the Continental Europe GeoMarket on a combination of strong drilling activity and fracturing work on unconventional plays in Poland. Russia/Central Asia saw strong land and offshore exploration activity benefiting Wireline, Testing Services, Drilling &amp; Measurements and M-I SWACO Technologies—in addition to the full-quarter effect of the activity increase generated from the strategic alliance formed with the Eurasia Drilling Company Limited. The North Sea GeoMarket grew on higher exploration activity in the UK, Greenland and Denmark. In the Middle East &amp; Asia Area, revenue declined sequentially due to decreased WesternGeco activity. The effect of this was partially mitigated by strong Wireline and Testing Services revenues in the East Asia and China GeoMarkets. Excluding WesternGeco, the Middle East &amp; Asia Area increased sequentially driven by strong drilling and production activity in the Saudi Arabia, Bahrain; Iraq; and East Asia GeoMarkets.</w:t>
      </w:r>
    </w:p>
    <w:p>
      <w:pPr>
        <w:spacing w:after="0" w:line="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Third-quarter pretax operating income of $1.93 billion increased 10% sequentially. Pretax operating margin increased 77 basis points (bps) sequentially to 20.2% primarily due to increasing higher-margin exploration activities that benefited Wireline, Testing Services, Drilling &amp; Measurements and M-I SWACO. The rebound from the spring break-up in Canada also contributed significantly to margin improvements for Well Services and for all Drilling Group Technologies. These improvements, however, were partially offset by the lower WesternGeco activity during the quarter.</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current financial turmoil has already resulted in a lower outlook for oil demand growth in 2012, although demand is still expected to exceed that of 2011. Recent production data, as well as forward projections indicate that there is a tight cushion of excess oil supply that will continue to support activity. Therefore, while financial turmoil introduces some uncertainty over near-term activity, Schlumberger remains confident that any reductions will be short-lived, and that the outlook for the service industry remains very positive. Schlumberger further believes that its customers’ needs to renew reserves, as evidenced by the recent string of exploration successes particularly in deepwater offshore areas, favors Schlumberger’s broad international footprint. In addition, the balance between our reservoir characterization, drilling and production technologies — both in North America and overseas — will enable us to weather any activity fluctuations.</w:t>
      </w:r>
    </w:p>
    <w:p>
      <w:pPr>
        <w:spacing w:after="0" w:line="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With respect to Libya, the carrying value of Schlumberger’s assets in the country was approximately $0.3 billion as of September 30, 2011. This consists primarily of accounts receivable, inventories and fixed assets. Schlumberger’s ability to recover these assets will ultimately depend on how the current situation evolves.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Third-quarter revenue of $2.49 billion was 1% higher compared to the second quarter of 2011. Pretax operating income of $610 million was 1% higher versus the second quarter of 2011.</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Wireline and Testing Services posted significant sequential increases with revenue and margins up on stronger offshore exploration activities in Brazil, East Asia, Russia and the North Sea as well as from increased deepwater work in the US Gulf of Mexico. WesternGeco activity decreased, however, from lower marine vessel utilization due to higher transit and docking times while moving between contracts. WesternGeco also declined from reduced land seismic activity while mobilizing crews and equipment in preparation for a large contract survey in the Middle East.</w:t>
      </w:r>
    </w:p>
    <w:p>
      <w:pPr>
        <w:spacing w:after="0" w:line="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Sequentially, pretax operating margins remained unchanged at 24.5% as significant margin improvements in Wireline and Testing Services from strong exploration activities were largely offset by the margin declines in WesternGeco.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Third-quarter revenue of $3.68 billion was 6% higher sequentially. Pretax operating income of $613 million increased 14% over the prior quarter.</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Among Drilling Group Technologies, M-I SWACO recorded the largest sequential revenue increase through continued growth in unconventional shale plays on land in the US with higher asset utilization, as well as from the seasonal rig count recovery in Canada and Russia, and the increased deepwater activity in the US Gulf of Mexico and Brazil. Drilling &amp; Measurements revenue increased sequentially on the strong summer drilling campaign in Russia and stronger deepwater activities in the US Gulf of Mexico and Brazil and increased shelf activity in Mexico. Pathfinder reported increased revenue from a more favorable technology mix on land in the US. In addition, Pathfinder, Geoservices and Bits &amp; Advanced Technologies registered activity rebounds following the spring break-up in Canada.</w:t>
      </w:r>
    </w:p>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Sequentially, pretax operating margins grew 111 bps to 16.7% driven by the rebound in activity in Canada, an improved technology mix, and further integration and expansion of Smith and Schlumberger drilling technologies. Bits &amp; Advanced Technologies contributed to this improvement with increased sales and rentals of higher-margin drill bits while Pathfinder improved on higher-technology integration with Drilling &amp; Measurements. M-I SWACO margins improved through increased exploration activities in the US Gulf of Mexico, Russia and Brazil, as well as through the seasonal rig count recovery in Canada. Better pricing on IPM land projects in Mexico and improved efficiencies on a well construction project in Algeria further contributed to this result.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Third-quarter revenue of $3.37 billion increased 10% sequentially. Pretax operating income of $707 million was 16% higher sequentially.</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Among Reservoir Production Group Technologies, Well Services sequential revenue growth in North America was driven by the rebound from the spring break-up in Canada, stronger activity in liquids-rich unconventional plays, capacity additions and continuing improvements in asset utilization. Internationally, Well Services posted high double-digit growth in Latin America from higher stimulation and coiled-tubing activities in Argentina, Mexico, Venezuela and Brazil. Europe/CIS/Africa increased significantly from shale fracturing services in Poland, increased deepwater cementing work in the Black Sea, and strong land activities in Russia. In addition, strong stimulation vessel activity was seen in the Nigeria and the Gulf of Guinea Africa GeoMarket. Artificial Lift revenue grew sequentially across all Areas led by the North America and the Middle East &amp; Asia Areas.</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Sequentially, third-quarter pretax operating margins increased 96 bps to 21.0% as Well Services activity in Canada rebounded following the end of the spring break-up. In addition, Well Services achieved better cost efficiency and asset utilization on land in the US and in Russia and recorded increased higher-margin stimulation activities in the Europe/CIS/Africa Area.</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Distribution revenue of $698 million increased 10% sequentially. Pretax segment income of $31 million improved 28% sequentially. These increases were primarily driven by strong activity in the shale plays in the US and the seasonal improvement in Canada.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Quarter 2011 Compared to Third Quarter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restart"/>
          </w:tcPr>
          <w:p>
            <w:pPr>
              <w:jc w:val="right"/>
              <w:ind w:right="1100"/>
              <w:spacing w:after="0"/>
              <w:rPr>
                <w:sz w:val="20"/>
                <w:szCs w:val="20"/>
                <w:color w:val="auto"/>
              </w:rPr>
            </w:pPr>
            <w:r>
              <w:rPr>
                <w:rFonts w:ascii="Arial" w:cs="Arial" w:eastAsia="Arial" w:hAnsi="Arial"/>
                <w:sz w:val="14"/>
                <w:szCs w:val="14"/>
                <w:b w:val="1"/>
                <w:bCs w:val="1"/>
                <w:color w:val="auto"/>
              </w:rPr>
              <w:t>Third Quarter 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color w:val="auto"/>
              </w:rPr>
              <w:t>Third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2,488</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613</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3,373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707</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2,300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Eliminations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 and credits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10,229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100" w:type="dxa"/>
            <w:vAlign w:val="bottom"/>
            <w:gridSpan w:val="4"/>
          </w:tcPr>
          <w:p>
            <w:pPr>
              <w:jc w:val="right"/>
              <w:ind w:right="207"/>
              <w:spacing w:after="0"/>
              <w:rPr>
                <w:sz w:val="20"/>
                <w:szCs w:val="20"/>
                <w:color w:val="auto"/>
              </w:rPr>
            </w:pPr>
            <w:r>
              <w:rPr>
                <w:rFonts w:ascii="Arial" w:cs="Arial" w:eastAsia="Arial" w:hAnsi="Arial"/>
                <w:sz w:val="18"/>
                <w:szCs w:val="18"/>
                <w:b w:val="1"/>
                <w:bCs w:val="1"/>
                <w:color w:val="auto"/>
              </w:rPr>
              <w:t>Geographic Areas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vMerge w:val="restart"/>
          </w:tcPr>
          <w:p>
            <w:pPr>
              <w:jc w:val="right"/>
              <w:ind w:right="1100"/>
              <w:spacing w:after="0"/>
              <w:rPr>
                <w:sz w:val="20"/>
                <w:szCs w:val="20"/>
                <w:color w:val="auto"/>
              </w:rPr>
            </w:pPr>
            <w:r>
              <w:rPr>
                <w:rFonts w:ascii="Arial" w:cs="Arial" w:eastAsia="Arial" w:hAnsi="Arial"/>
                <w:sz w:val="14"/>
                <w:szCs w:val="14"/>
                <w:b w:val="1"/>
                <w:bCs w:val="1"/>
                <w:color w:val="auto"/>
              </w:rPr>
              <w:t>Third Quarter 2011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560"/>
              <w:spacing w:after="0"/>
              <w:rPr>
                <w:sz w:val="20"/>
                <w:szCs w:val="20"/>
                <w:color w:val="auto"/>
              </w:rPr>
            </w:pPr>
            <w:r>
              <w:rPr>
                <w:rFonts w:ascii="Arial" w:cs="Arial" w:eastAsia="Arial" w:hAnsi="Arial"/>
                <w:sz w:val="14"/>
                <w:szCs w:val="14"/>
                <w:color w:val="auto"/>
              </w:rPr>
              <w:t>Third Quarter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3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3,304</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836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1,635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1,655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270</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2,494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408</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2,058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444</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9,546</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1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(158)</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(69)</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1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(27)</w:t>
            </w:r>
          </w:p>
        </w:tc>
        <w:tc>
          <w:tcPr>
            <w:tcW w:w="1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3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10,229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Third-quarter 2011 revenue of $9.55 billion was 44% higher than the same period last year largely due to the acquisition of Smith on August 27, 2010, as well as to the significantly improved activity of Well Services technologies in North America and an increase in Wireline and Drilling &amp; Measurements exploration activities in a number of GeoMarkets.</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Third-quarter 2011 pretax operating margin increased 190 bps to 20.2% primarily due to strong contribution from Well Services Technologies, particularly in North America, as a result of increased capacity and improved efficiency, higher-margin exploration activities that benefited Wireline and to improvements at WesternGeco.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Third-quarter 2011 revenue of $2.49 billion was 9% higher than the same period last year led by Wireline in North America, where offshore revenues improved considerably following the resumption of activity in the US Gulf of Mexico combined with a strong performance on land. Testing Services and Schlumberger Information Solutions also increased, mainly in the Latin America and Europe/CIS/Africa Areas, while WesternGeco was higher as improved multiclient sales more than offset the drop in land seismic revenues.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Pretax operating margin increased 151 bps to 24.5% largely due to the higher-margin exploration activities that benefited Wireline and improvements at WesternGeco.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Third-quarter 2011 revenue of $3.68 billion was 79% higher than the previous year primarily due to the fact that the comparable period in the prior year only reflected one month of activity from the acquired Smith businesses following the closing of the transaction on August 27, 2010. Additionally, Drilling and Measurements revenue increased on higher activity across most Areas, most notably in North America as a result of the resumption of activity in the US Gulf of Mexico.</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Year-on-year, pretax operating margin increased 167 bps to 16.7% largely due to improved pricing and operating efficiencies on IPM projects in Mexico and Algeria.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Third-quarter 2011 revenue of $3.37 billion increased 47% year-on-year, particularly in North America, due to a combination of capacity additions and continuing improvements in asset utilization of Well Services Technologies. Well Services also posted significant growth internationally. The addition of Production Wireline and Completion Systems, both acquired Smith businesses, also contributed to the Group’s growth as did Artificial Lift, which increased on strong growth in Latin America, on land in the US and in Russia.</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improved 453 bps to 21.0% mainly due to the strong performance of Well Services technologies in North America.</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Third-quarter 2011 revenue of $698 million increased $499 million, while pretax operating income of $31 million increased $22 million compared to the same period last year. These increases are attributable to the fact that the third quarter of 2010 included only one month of post-merger activity following the Smith acquisition on August 27, 2010.</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Nine Months 2011 Compared to Nine Months 2010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Groups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restart"/>
          </w:tcPr>
          <w:p>
            <w:pPr>
              <w:jc w:val="right"/>
              <w:ind w:right="1160"/>
              <w:spacing w:after="0"/>
              <w:rPr>
                <w:sz w:val="20"/>
                <w:szCs w:val="20"/>
                <w:color w:val="auto"/>
              </w:rPr>
            </w:pPr>
            <w:r>
              <w:rPr>
                <w:rFonts w:ascii="Arial" w:cs="Arial" w:eastAsia="Arial" w:hAnsi="Arial"/>
                <w:sz w:val="14"/>
                <w:szCs w:val="14"/>
                <w:b w:val="1"/>
                <w:bCs w:val="1"/>
                <w:color w:val="auto"/>
              </w:rPr>
              <w:t>Nine Months 2011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color w:val="auto"/>
              </w:rPr>
              <w:t>Nine Months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4"/>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Reservoir Characterization</w:t>
            </w: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7,142</w:t>
            </w: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1,672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6,831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Drilling</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10,339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1,618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Reservoir Production</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9,150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1,848</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6,271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Eliminations &amp; other</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26,658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18,180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1,935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Eliminations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Corporate &amp; Other</w:t>
            </w:r>
          </w:p>
        </w:tc>
        <w:tc>
          <w:tcPr>
            <w:tcW w:w="2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(208)</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Charges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28,566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4,453</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18,379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680" w:type="dxa"/>
            <w:vAlign w:val="bottom"/>
            <w:vMerge w:val="restart"/>
          </w:tcPr>
          <w:p>
            <w:pPr>
              <w:jc w:val="right"/>
              <w:ind w:right="59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Geographic Areas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restart"/>
          </w:tcPr>
          <w:p>
            <w:pPr>
              <w:jc w:val="right"/>
              <w:ind w:right="1160"/>
              <w:spacing w:after="0"/>
              <w:rPr>
                <w:sz w:val="20"/>
                <w:szCs w:val="20"/>
                <w:color w:val="auto"/>
              </w:rPr>
            </w:pPr>
            <w:r>
              <w:rPr>
                <w:rFonts w:ascii="Arial" w:cs="Arial" w:eastAsia="Arial" w:hAnsi="Arial"/>
                <w:sz w:val="14"/>
                <w:szCs w:val="14"/>
                <w:b w:val="1"/>
                <w:bCs w:val="1"/>
                <w:color w:val="auto"/>
              </w:rPr>
              <w:t>Nine Months 2011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color w:val="auto"/>
              </w:rPr>
              <w:t>Nine Months 2010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Income</w:t>
            </w:r>
          </w:p>
        </w:tc>
        <w:tc>
          <w:tcPr>
            <w:tcW w:w="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8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9"/>
              </w:rPr>
              <w:t>Revenue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Taxes</w:t>
            </w:r>
          </w:p>
        </w:tc>
        <w:tc>
          <w:tcPr>
            <w:tcW w:w="800" w:type="dxa"/>
            <w:vAlign w:val="bottom"/>
            <w:gridSpan w:val="3"/>
          </w:tcPr>
          <w:p>
            <w:pPr>
              <w:jc w:val="right"/>
              <w:ind w:right="200"/>
              <w:spacing w:after="0"/>
              <w:rPr>
                <w:sz w:val="20"/>
                <w:szCs w:val="20"/>
                <w:color w:val="auto"/>
              </w:rPr>
            </w:pPr>
            <w:r>
              <w:rPr>
                <w:rFonts w:ascii="Arial" w:cs="Arial" w:eastAsia="Arial" w:hAnsi="Arial"/>
                <w:sz w:val="14"/>
                <w:szCs w:val="14"/>
                <w:color w:val="auto"/>
              </w:rPr>
              <w:t>Revenue</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North America</w:t>
            </w:r>
          </w:p>
        </w:tc>
        <w:tc>
          <w:tcPr>
            <w:tcW w:w="2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8,757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4,132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4,619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770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Europe/CIS/Africa</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7,058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1,013</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5,571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Middle East &amp; Asia</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5,929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1,368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00"/>
              <w:spacing w:after="0"/>
              <w:rPr>
                <w:sz w:val="20"/>
                <w:szCs w:val="20"/>
                <w:color w:val="auto"/>
              </w:rPr>
            </w:pPr>
            <w:r>
              <w:rPr>
                <w:rFonts w:ascii="Arial" w:cs="Arial" w:eastAsia="Arial" w:hAnsi="Arial"/>
                <w:sz w:val="18"/>
                <w:szCs w:val="18"/>
                <w:color w:val="auto"/>
              </w:rPr>
              <w:t>Eliminations &amp; other</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(119)</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26,658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18,180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w:t>
            </w: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Distribution</w:t>
            </w:r>
          </w:p>
        </w:tc>
        <w:tc>
          <w:tcPr>
            <w:tcW w:w="2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(208)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Charges and credits</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(143)</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28,566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4,453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18,379</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Nine-month revenue of $26.7 billion increased 47% versus the same period last year due to the acquisitions of Smith in August 2010 and Geoservices in April 2010, as well as to the significantly improved activity, pricing and asset efficiency for Well Services Technologies in North America—as the market transitions to liquid-rich plays demanding increasing service intensity in drilling and completing horizontal wells. Internationally, all Areas grew significantly as deepwater and exploration activity continued to strengthen with early signs of pricing traction for Wireline and Drilling &amp; Measurements. The resumption of activity in the US Gulf of Mexico and higher WesternGeco marine and multiclient sales also contributed to the increase. However, these increases were tempered by activity disruptions from the first quarter’s geopolitical unrest in North Africa and the Middle East.</w:t>
      </w:r>
    </w:p>
    <w:p>
      <w:pPr>
        <w:spacing w:after="0" w:line="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Year-to-date pretax operating margin increased 71 basis points to 19.3% primarily due to the resumption of higher-margin activity in the US Gulf of Mexico and to the improved pricing and asset efficiency for Well Services Technologies in North America. However the margin expansion was hampered by the effects of the geopolitical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Nine-month revenue of $7.14 billion was 5% higher than the same period last year on stronger Wireline activity, higher WesternGeco marine and multiclient sales and increased Schlumberger Information Solutions software sales.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Year-on-year, pretax operating margin decreased 71 bps to 23.4% led by margin declines in Wireline and Testing Services, largely due to the revenue mix and the impact of the geopolitical events that prevailed during the first quarter. The margin decline however was partially offset by a favorable WesternGeco multiclient sales mix and improved marine vessel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Nine-month revenue of $10.34 billion was 106% higher than the same period last year primarily due to the Smith and Geoservices acquisitions.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Year-on-year, pretax operating margin decreased 160 bps to 15.7% largely due to the addition of Smith and Geoservices activities and the effects of the geopolitical events that prevailed during the first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Production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Nine-month revenue of $9.15 billion was 46% higher than the same period last year while pretax operating margin increased 767 bps to 20.2%. Well Services revenue and margins expanded largely in North America on higher pricing, capacity additions and improved asset utilization and efficiency as the market transitions to liquid-rich plays.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Internationally, Well Services posted growth also on the strength of higher activity despite the exceptional geopolitical events and weather issues that prevailed during the first quarter.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Nine-month revenue of $1.94 billion increased $1.74 billion, while pretax operating income of $77 million increased $68 million compared to the same period last year. These increases are attributable to the fact that the nine months ended September 30, of 2010 included only one month of post-merger activity following the Smith acquisition on August 27, 2010.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 for the third quarter and nine months ended September 30, 2011 and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color w:val="auto"/>
              </w:rPr>
              <w:t>Third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4"/>
                <w:szCs w:val="14"/>
                <w:color w:val="auto"/>
              </w:rPr>
              <w:t>Nine Months</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earnings of affiliated companies</w:t>
            </w:r>
          </w:p>
        </w:tc>
        <w:tc>
          <w:tcPr>
            <w:tcW w:w="500" w:type="dxa"/>
            <w:vAlign w:val="bottom"/>
            <w:gridSpan w:val="2"/>
            <w:shd w:val="clear" w:color="auto" w:fill="CCEEFF"/>
          </w:tcPr>
          <w:p>
            <w:pPr>
              <w:jc w:val="right"/>
              <w:ind w:right="359"/>
              <w:spacing w:after="0"/>
              <w:rPr>
                <w:sz w:val="20"/>
                <w:szCs w:val="20"/>
                <w:color w:val="auto"/>
              </w:rPr>
            </w:pPr>
            <w:r>
              <w:rPr>
                <w:rFonts w:ascii="Arial" w:cs="Arial" w:eastAsia="Arial" w:hAnsi="Arial"/>
                <w:sz w:val="15"/>
                <w:szCs w:val="15"/>
                <w:b w:val="1"/>
                <w:bCs w:val="1"/>
                <w:color w:val="auto"/>
                <w:w w:val="71"/>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9"/>
              </w:rPr>
              <w:t>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10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decrease in equity in net earnings of affiliated companies was primarily attributable to the loss of equity earnings from the M-I SWACO joint venture as Schlumberger now owns 100% of this venture following the acquisition of Smith on August 27, 2010.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third quarter and nine months ended September 30, 2011</w:t>
      </w:r>
      <w:r>
        <w:rPr>
          <w:rFonts w:ascii="Arial" w:cs="Arial" w:eastAsia="Arial" w:hAnsi="Arial"/>
          <w:sz w:val="18"/>
          <w:szCs w:val="18"/>
          <w:i w:val="1"/>
          <w:iCs w:val="1"/>
          <w:color w:val="auto"/>
        </w:rPr>
        <w:t xml:space="preserve"> </w:t>
      </w:r>
      <w:r>
        <w:rPr>
          <w:rFonts w:ascii="Arial" w:cs="Arial" w:eastAsia="Arial" w:hAnsi="Arial"/>
          <w:sz w:val="18"/>
          <w:szCs w:val="18"/>
          <w:color w:val="auto"/>
        </w:rPr>
        <w:t>and 2010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340" w:type="dxa"/>
            <w:vAlign w:val="bottom"/>
          </w:tcPr>
          <w:p>
            <w:pPr>
              <w:spacing w:after="0"/>
              <w:rPr>
                <w:sz w:val="14"/>
                <w:szCs w:val="14"/>
                <w:color w:val="auto"/>
              </w:rPr>
            </w:pPr>
          </w:p>
        </w:tc>
        <w:tc>
          <w:tcPr>
            <w:tcW w:w="154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color w:val="auto"/>
              </w:rPr>
              <w:t>Third Quarter</w:t>
            </w:r>
          </w:p>
        </w:tc>
        <w:tc>
          <w:tcPr>
            <w:tcW w:w="5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Nine Months</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vMerge w:val="restart"/>
          </w:tcPr>
          <w:p>
            <w:pPr>
              <w:spacing w:after="0"/>
              <w:rPr>
                <w:sz w:val="20"/>
                <w:szCs w:val="20"/>
                <w:color w:val="auto"/>
              </w:rPr>
            </w:pPr>
            <w:r>
              <w:rPr>
                <w:rFonts w:ascii="Arial" w:cs="Arial" w:eastAsia="Arial" w:hAnsi="Arial"/>
                <w:sz w:val="18"/>
                <w:szCs w:val="18"/>
                <w:color w:val="auto"/>
              </w:rPr>
              <w:t>Research &amp; engineering</w:t>
            </w: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72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340" w:type="dxa"/>
            <w:vAlign w:val="bottom"/>
            <w:vMerge w:val="continue"/>
          </w:tcPr>
          <w:p>
            <w:pPr>
              <w:spacing w:after="0"/>
              <w:rPr>
                <w:sz w:val="16"/>
                <w:szCs w:val="16"/>
                <w:color w:val="auto"/>
              </w:rPr>
            </w:pPr>
          </w:p>
        </w:tc>
        <w:tc>
          <w:tcPr>
            <w:tcW w:w="14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6"/>
                <w:szCs w:val="16"/>
                <w:color w:val="auto"/>
              </w:rPr>
            </w:pPr>
          </w:p>
        </w:tc>
        <w:tc>
          <w:tcPr>
            <w:tcW w:w="1280" w:type="dxa"/>
            <w:vAlign w:val="bottom"/>
            <w:gridSpan w:val="2"/>
          </w:tcPr>
          <w:p>
            <w:pPr>
              <w:jc w:val="right"/>
              <w:ind w:right="580"/>
              <w:spacing w:after="0" w:line="191" w:lineRule="exact"/>
              <w:rPr>
                <w:sz w:val="20"/>
                <w:szCs w:val="20"/>
                <w:color w:val="auto"/>
              </w:rPr>
            </w:pPr>
            <w:r>
              <w:rPr>
                <w:rFonts w:ascii="Arial" w:cs="Arial" w:eastAsia="Arial" w:hAnsi="Arial"/>
                <w:sz w:val="18"/>
                <w:szCs w:val="18"/>
                <w:color w:val="auto"/>
              </w:rPr>
              <w:t>3.5%</w:t>
            </w:r>
          </w:p>
        </w:tc>
        <w:tc>
          <w:tcPr>
            <w:tcW w:w="1420" w:type="dxa"/>
            <w:vAlign w:val="bottom"/>
            <w:gridSpan w:val="2"/>
          </w:tcPr>
          <w:p>
            <w:pPr>
              <w:jc w:val="right"/>
              <w:ind w:right="508"/>
              <w:spacing w:after="0" w:line="191" w:lineRule="exact"/>
              <w:rPr>
                <w:sz w:val="20"/>
                <w:szCs w:val="20"/>
                <w:color w:val="auto"/>
              </w:rPr>
            </w:pPr>
            <w:r>
              <w:rPr>
                <w:rFonts w:ascii="Arial" w:cs="Arial" w:eastAsia="Arial" w:hAnsi="Arial"/>
                <w:sz w:val="18"/>
                <w:szCs w:val="18"/>
                <w:b w:val="1"/>
                <w:bCs w:val="1"/>
                <w:color w:val="auto"/>
              </w:rPr>
              <w:t>2.8%</w:t>
            </w:r>
          </w:p>
        </w:tc>
        <w:tc>
          <w:tcPr>
            <w:tcW w:w="8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4"/>
        </w:trPr>
        <w:tc>
          <w:tcPr>
            <w:tcW w:w="634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Although </w:t>
      </w:r>
      <w:r>
        <w:rPr>
          <w:rFonts w:ascii="Arial" w:cs="Arial" w:eastAsia="Arial" w:hAnsi="Arial"/>
          <w:sz w:val="16"/>
          <w:szCs w:val="16"/>
          <w:i w:val="1"/>
          <w:iCs w:val="1"/>
          <w:color w:val="auto"/>
        </w:rPr>
        <w:t>Research &amp; engineering</w:t>
      </w:r>
      <w:r>
        <w:rPr>
          <w:rFonts w:ascii="Arial" w:cs="Arial" w:eastAsia="Arial" w:hAnsi="Arial"/>
          <w:sz w:val="16"/>
          <w:szCs w:val="16"/>
          <w:color w:val="auto"/>
        </w:rPr>
        <w:t xml:space="preserve"> decreased as a percentage of revenue, in both the third quarter and nine months compared to the prior year, it increased in absolute dollars by $26 million and $138 million, respectively. These increases were driven in large part by the impact of the Smith acquisition.</w:t>
      </w:r>
    </w:p>
    <w:p>
      <w:pPr>
        <w:spacing w:after="0" w:line="1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third quarter of 2011 was $70 million as compared to $47 million for the same period in 2010 and $212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2011 as compared to $146 million for the same period of 2010. These increases were primarily attributable to the $4.6 billion of long-term debt that Schlumberger issued during the first nine months of 2011.</w:t>
      </w:r>
    </w:p>
    <w:p>
      <w:pPr>
        <w:spacing w:after="0" w:line="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effective tax rate for the third quarter of 2011 was 23.8% compared to 10.8% for the same period in 2010, which was significantly impacted by the charges and credits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Excluding the impact of these charges and credits, the effective tax rate for the third quarter of 2010 was 21.0%. The year-on-year increase in the effective tax rate, excluding the impact of the third quarter 2010 charges and credits, was primarily attributable to the fact that Schlumberger generated a larger proportion of its pretax earnings in North America in the third quarter of 2011.</w:t>
      </w:r>
    </w:p>
    <w:p>
      <w:pPr>
        <w:spacing w:after="0" w:line="4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The effective tax rate for the nine months ended September 30, 2011 was 24.2% compared to 15.7% for the same period of the prior year which was also significantly impacted by the charges and credits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Excluding the impact of these charges and credits, the effective tax rate for the nine months ended September 30, 2010 was 19.3%. The increase in the effective tax rate, excluding the impact of the 2010 charges and credits, was primarily attributable to the fact that Schlumberger generated a larger proportion of its pretax earnings in North America in 2011 as compared to 2010.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Schlumberger recorded charges and credits during the third quarters of 2011 and 2010 and the first nine months of 2011 and 2010. These charges,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third quarter of 2011 charges and credits: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680" w:type="dxa"/>
            <w:vAlign w:val="bottom"/>
          </w:tcPr>
          <w:p>
            <w:pPr>
              <w:spacing w:after="0"/>
              <w:rPr>
                <w:sz w:val="15"/>
                <w:szCs w:val="15"/>
                <w:color w:val="auto"/>
              </w:rPr>
            </w:pPr>
          </w:p>
        </w:tc>
        <w:tc>
          <w:tcPr>
            <w:tcW w:w="2960" w:type="dxa"/>
            <w:vAlign w:val="bottom"/>
            <w:vMerge w:val="restart"/>
          </w:tcPr>
          <w:p>
            <w:pPr>
              <w:ind w:left="78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spacing w:after="0"/>
              <w:rPr>
                <w:sz w:val="20"/>
                <w:szCs w:val="20"/>
                <w:color w:val="auto"/>
              </w:rPr>
            </w:pPr>
            <w:r>
              <w:rPr>
                <w:rFonts w:ascii="Arial" w:cs="Arial" w:eastAsia="Arial" w:hAnsi="Arial"/>
                <w:sz w:val="18"/>
                <w:szCs w:val="18"/>
                <w:color w:val="auto"/>
              </w:rPr>
              <w:t>Merger and integration-related costs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color w:val="auto"/>
              </w:rPr>
              <w:t>Pretax</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Tax</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ind w:right="159"/>
              <w:spacing w:after="0"/>
              <w:rPr>
                <w:sz w:val="20"/>
                <w:szCs w:val="20"/>
                <w:color w:val="auto"/>
              </w:rPr>
            </w:pPr>
            <w:r>
              <w:rPr>
                <w:rFonts w:ascii="Arial" w:cs="Arial" w:eastAsia="Arial" w:hAnsi="Arial"/>
                <w:sz w:val="14"/>
                <w:szCs w:val="14"/>
                <w:color w:val="auto"/>
              </w:rPr>
              <w:t>Net</w:t>
            </w:r>
          </w:p>
        </w:tc>
        <w:tc>
          <w:tcPr>
            <w:tcW w:w="680" w:type="dxa"/>
            <w:vAlign w:val="bottom"/>
          </w:tcPr>
          <w:p>
            <w:pPr>
              <w:spacing w:after="0"/>
              <w:rPr>
                <w:sz w:val="14"/>
                <w:szCs w:val="14"/>
                <w:color w:val="auto"/>
              </w:rPr>
            </w:pPr>
          </w:p>
        </w:tc>
        <w:tc>
          <w:tcPr>
            <w:tcW w:w="2960" w:type="dxa"/>
            <w:vAlign w:val="bottom"/>
          </w:tcPr>
          <w:p>
            <w:pPr>
              <w:ind w:left="780"/>
              <w:spacing w:after="0"/>
              <w:rPr>
                <w:sz w:val="20"/>
                <w:szCs w:val="20"/>
                <w:color w:val="auto"/>
              </w:rPr>
            </w:pPr>
            <w:r>
              <w:rPr>
                <w:rFonts w:ascii="Arial" w:cs="Arial" w:eastAsia="Arial" w:hAnsi="Arial"/>
                <w:sz w:val="14"/>
                <w:szCs w:val="14"/>
                <w:i w:val="1"/>
                <w:iCs w:val="1"/>
                <w:color w:val="auto"/>
              </w:rPr>
              <w:t xml:space="preserve">of Income </w:t>
            </w:r>
            <w:r>
              <w:rPr>
                <w:rFonts w:ascii="Arial" w:cs="Arial" w:eastAsia="Arial" w:hAnsi="Arial"/>
                <w:sz w:val="14"/>
                <w:szCs w:val="14"/>
                <w:color w:val="auto"/>
              </w:rPr>
              <w:t>Classification</w:t>
            </w:r>
          </w:p>
        </w:tc>
        <w:tc>
          <w:tcPr>
            <w:tcW w:w="0" w:type="dxa"/>
            <w:vAlign w:val="bottom"/>
          </w:tcPr>
          <w:p>
            <w:pPr>
              <w:spacing w:after="0"/>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recorded during the first nine months of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320" w:type="dxa"/>
            <w:vAlign w:val="bottom"/>
          </w:tcPr>
          <w:p>
            <w:pPr>
              <w:spacing w:after="0"/>
              <w:rPr>
                <w:sz w:val="15"/>
                <w:szCs w:val="15"/>
                <w:color w:val="auto"/>
              </w:rPr>
            </w:pPr>
          </w:p>
        </w:tc>
        <w:tc>
          <w:tcPr>
            <w:tcW w:w="3060" w:type="dxa"/>
            <w:vAlign w:val="bottom"/>
            <w:gridSpan w:val="2"/>
            <w:vMerge w:val="restart"/>
          </w:tcPr>
          <w:p>
            <w:pPr>
              <w:ind w:left="78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w w:val="93"/>
              </w:rPr>
              <w:t>Pretax</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85"/>
              </w:rPr>
              <w:t>Tax</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Net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tcBorders>
              <w:bottom w:val="single" w:sz="8" w:color="auto"/>
            </w:tcBorders>
          </w:tcPr>
          <w:p>
            <w:pPr>
              <w:ind w:left="780"/>
              <w:spacing w:after="0"/>
              <w:rPr>
                <w:sz w:val="20"/>
                <w:szCs w:val="20"/>
                <w:color w:val="auto"/>
              </w:rPr>
            </w:pPr>
            <w:r>
              <w:rPr>
                <w:rFonts w:ascii="Arial" w:cs="Arial" w:eastAsia="Arial" w:hAnsi="Arial"/>
                <w:sz w:val="14"/>
                <w:szCs w:val="14"/>
                <w:i w:val="1"/>
                <w:iCs w:val="1"/>
                <w:color w:val="auto"/>
              </w:rPr>
              <w:t xml:space="preserve">of Income </w:t>
            </w:r>
            <w:r>
              <w:rPr>
                <w:rFonts w:ascii="Arial" w:cs="Arial" w:eastAsia="Arial" w:hAnsi="Arial"/>
                <w:sz w:val="14"/>
                <w:szCs w:val="14"/>
                <w:color w:val="auto"/>
              </w:rPr>
              <w:t>Classification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Merger and integration-related costs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Donation to the Schlumberger Foundation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18"/>
                <w:szCs w:val="18"/>
                <w:color w:val="auto"/>
              </w:rPr>
            </w:pPr>
          </w:p>
        </w:tc>
        <w:tc>
          <w:tcPr>
            <w:tcW w:w="3380" w:type="dxa"/>
            <w:vAlign w:val="bottom"/>
            <w:gridSpan w:val="3"/>
          </w:tcPr>
          <w:p>
            <w:pPr>
              <w:ind w:left="320"/>
              <w:spacing w:after="0"/>
              <w:rPr>
                <w:sz w:val="20"/>
                <w:szCs w:val="20"/>
                <w:color w:val="auto"/>
              </w:rPr>
            </w:pPr>
            <w:r>
              <w:rPr>
                <w:rFonts w:ascii="Arial" w:cs="Arial" w:eastAsia="Arial" w:hAnsi="Arial"/>
                <w:sz w:val="18"/>
                <w:szCs w:val="18"/>
                <w:i w:val="1"/>
                <w:iCs w:val="1"/>
                <w:color w:val="auto"/>
              </w:rPr>
              <w:t>General &amp; administrative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40" w:type="dxa"/>
            <w:vAlign w:val="bottom"/>
            <w:gridSpan w:val="6"/>
          </w:tcPr>
          <w:p>
            <w:pPr>
              <w:spacing w:after="0"/>
              <w:rPr>
                <w:sz w:val="20"/>
                <w:szCs w:val="20"/>
                <w:color w:val="auto"/>
              </w:rPr>
            </w:pPr>
            <w:r>
              <w:rPr>
                <w:rFonts w:ascii="Arial" w:cs="Arial" w:eastAsia="Arial" w:hAnsi="Arial"/>
                <w:sz w:val="18"/>
                <w:szCs w:val="18"/>
                <w:color w:val="auto"/>
                <w:w w:val="91"/>
              </w:rPr>
              <w:t>The following is a summary of the third quarter of 2010 charges and credits: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4"/>
          </w:tcPr>
          <w:p>
            <w:pPr>
              <w:jc w:val="right"/>
              <w:ind w:right="280"/>
              <w:spacing w:after="0"/>
              <w:rPr>
                <w:sz w:val="20"/>
                <w:szCs w:val="20"/>
                <w:color w:val="auto"/>
              </w:rPr>
            </w:pPr>
            <w:r>
              <w:rPr>
                <w:rFonts w:ascii="Arial" w:cs="Arial" w:eastAsia="Arial" w:hAnsi="Arial"/>
                <w:sz w:val="14"/>
                <w:szCs w:val="14"/>
                <w:i w:val="1"/>
                <w:iCs w:val="1"/>
                <w:color w:val="auto"/>
              </w:rPr>
              <w:t>(Stated in millions)</w:t>
            </w:r>
          </w:p>
        </w:tc>
        <w:tc>
          <w:tcPr>
            <w:tcW w:w="320" w:type="dxa"/>
            <w:vAlign w:val="bottom"/>
          </w:tcPr>
          <w:p>
            <w:pPr>
              <w:spacing w:after="0"/>
              <w:rPr>
                <w:sz w:val="24"/>
                <w:szCs w:val="24"/>
                <w:color w:val="auto"/>
              </w:rPr>
            </w:pPr>
          </w:p>
        </w:tc>
        <w:tc>
          <w:tcPr>
            <w:tcW w:w="3060" w:type="dxa"/>
            <w:vAlign w:val="bottom"/>
            <w:gridSpan w:val="2"/>
            <w:vMerge w:val="restart"/>
          </w:tcPr>
          <w:p>
            <w:pPr>
              <w:ind w:left="78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w w:val="93"/>
              </w:rPr>
              <w:t>Pretax</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4"/>
                <w:szCs w:val="14"/>
                <w:color w:val="auto"/>
                <w:w w:val="85"/>
              </w:rPr>
              <w:t>Tax</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color w:val="auto"/>
              </w:rPr>
              <w:t>Net</w:t>
            </w:r>
          </w:p>
        </w:tc>
        <w:tc>
          <w:tcPr>
            <w:tcW w:w="320" w:type="dxa"/>
            <w:vAlign w:val="bottom"/>
          </w:tcPr>
          <w:p>
            <w:pPr>
              <w:spacing w:after="0"/>
              <w:rPr>
                <w:sz w:val="14"/>
                <w:szCs w:val="14"/>
                <w:color w:val="auto"/>
              </w:rPr>
            </w:pPr>
          </w:p>
        </w:tc>
        <w:tc>
          <w:tcPr>
            <w:tcW w:w="3060" w:type="dxa"/>
            <w:vAlign w:val="bottom"/>
            <w:gridSpan w:val="2"/>
          </w:tcPr>
          <w:p>
            <w:pPr>
              <w:ind w:left="760"/>
              <w:spacing w:after="0"/>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Severance and other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90</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3380" w:type="dxa"/>
            <w:vAlign w:val="bottom"/>
            <w:gridSpan w:val="3"/>
          </w:tcPr>
          <w:p>
            <w:pPr>
              <w:ind w:left="3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Impairment relating to WesternGeco’s first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generation Q-Land acquisition system</w:t>
            </w: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20"/>
                <w:szCs w:val="20"/>
                <w:color w:val="auto"/>
              </w:rPr>
            </w:pPr>
          </w:p>
        </w:tc>
        <w:tc>
          <w:tcPr>
            <w:tcW w:w="338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Other WesternGeco-related charges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8"/>
                <w:szCs w:val="18"/>
                <w:color w:val="auto"/>
              </w:rPr>
            </w:pPr>
          </w:p>
        </w:tc>
        <w:tc>
          <w:tcPr>
            <w:tcW w:w="3380" w:type="dxa"/>
            <w:vAlign w:val="bottom"/>
            <w:gridSpan w:val="3"/>
          </w:tcPr>
          <w:p>
            <w:pPr>
              <w:ind w:left="3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Professional fees and other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Merger-related employee benefits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3380" w:type="dxa"/>
            <w:vAlign w:val="bottom"/>
            <w:gridSpan w:val="3"/>
          </w:tcPr>
          <w:p>
            <w:pPr>
              <w:ind w:left="32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fair value adjustments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Arial" w:cs="Arial" w:eastAsia="Arial" w:hAnsi="Arial"/>
                <w:sz w:val="18"/>
                <w:szCs w:val="18"/>
                <w:color w:val="auto"/>
              </w:rPr>
              <w:t>Mexico restructuring</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3380" w:type="dxa"/>
            <w:vAlign w:val="bottom"/>
            <w:gridSpan w:val="3"/>
          </w:tcPr>
          <w:p>
            <w:pPr>
              <w:ind w:left="3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bonds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338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tcPr>
          <w:p>
            <w:pPr>
              <w:ind w:left="400"/>
              <w:spacing w:after="0"/>
              <w:rPr>
                <w:sz w:val="20"/>
                <w:szCs w:val="20"/>
                <w:color w:val="auto"/>
              </w:rPr>
            </w:pPr>
            <w:r>
              <w:rPr>
                <w:rFonts w:ascii="Arial" w:cs="Arial" w:eastAsia="Arial" w:hAnsi="Arial"/>
                <w:sz w:val="18"/>
                <w:szCs w:val="18"/>
                <w:i w:val="1"/>
                <w:iCs w:val="1"/>
                <w:color w:val="auto"/>
              </w:rPr>
              <w:t>Total restructuring and merger-related</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ind w:left="600"/>
              <w:spacing w:after="0"/>
              <w:rPr>
                <w:sz w:val="20"/>
                <w:szCs w:val="20"/>
                <w:color w:val="auto"/>
              </w:rPr>
            </w:pPr>
            <w:r>
              <w:rPr>
                <w:rFonts w:ascii="Arial" w:cs="Arial" w:eastAsia="Arial" w:hAnsi="Arial"/>
                <w:sz w:val="18"/>
                <w:szCs w:val="18"/>
                <w:i w:val="1"/>
                <w:iCs w:val="1"/>
                <w:color w:val="auto"/>
              </w:rPr>
              <w:t>charges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Gain on investment in M-I SWACO</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(1,238)</w:t>
            </w:r>
          </w:p>
        </w:tc>
        <w:tc>
          <w:tcPr>
            <w:tcW w:w="338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Gain on Investment in M-I SWACO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3"/>
              </w:rPr>
              <w:t>-28-</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charges and credits recorded during the first nine months of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i w:val="1"/>
                <w:iCs w:val="1"/>
                <w:color w:val="auto"/>
              </w:rPr>
              <w:t>(Stated in millions)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0" w:type="dxa"/>
            <w:vAlign w:val="bottom"/>
            <w:gridSpan w:val="3"/>
            <w:vMerge w:val="restart"/>
          </w:tcPr>
          <w:p>
            <w:pPr>
              <w:ind w:left="240"/>
              <w:spacing w:after="0"/>
              <w:rPr>
                <w:sz w:val="20"/>
                <w:szCs w:val="20"/>
                <w:color w:val="auto"/>
              </w:rPr>
            </w:pPr>
            <w:r>
              <w:rPr>
                <w:rFonts w:ascii="Arial" w:cs="Arial" w:eastAsia="Arial" w:hAnsi="Arial"/>
                <w:sz w:val="14"/>
                <w:szCs w:val="14"/>
                <w:i w:val="1"/>
                <w:iCs w:val="1"/>
                <w:color w:val="auto"/>
              </w:rPr>
              <w:t>Consolidated Statement</w:t>
            </w:r>
          </w:p>
        </w:tc>
        <w:tc>
          <w:tcPr>
            <w:tcW w:w="0" w:type="dxa"/>
            <w:vAlign w:val="bottom"/>
          </w:tcPr>
          <w:p>
            <w:pPr>
              <w:spacing w:after="0"/>
              <w:rPr>
                <w:sz w:val="1"/>
                <w:szCs w:val="1"/>
                <w:color w:val="auto"/>
              </w:rPr>
            </w:pPr>
          </w:p>
        </w:tc>
      </w:tr>
      <w:tr>
        <w:trPr>
          <w:trHeight w:val="115"/>
        </w:trPr>
        <w:tc>
          <w:tcPr>
            <w:tcW w:w="5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w w:val="88"/>
              </w:rPr>
              <w:t>Pretax</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76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4"/>
                <w:szCs w:val="14"/>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4"/>
                <w:szCs w:val="14"/>
                <w:color w:val="auto"/>
              </w:rPr>
              <w:t>Net</w:t>
            </w:r>
          </w:p>
        </w:tc>
        <w:tc>
          <w:tcPr>
            <w:tcW w:w="2800" w:type="dxa"/>
            <w:vAlign w:val="bottom"/>
            <w:gridSpan w:val="3"/>
          </w:tcPr>
          <w:p>
            <w:pPr>
              <w:ind w:left="240"/>
              <w:spacing w:after="0"/>
              <w:rPr>
                <w:sz w:val="20"/>
                <w:szCs w:val="20"/>
                <w:color w:val="auto"/>
              </w:rPr>
            </w:pPr>
            <w:r>
              <w:rPr>
                <w:rFonts w:ascii="Arial" w:cs="Arial" w:eastAsia="Arial" w:hAnsi="Arial"/>
                <w:sz w:val="14"/>
                <w:szCs w:val="14"/>
                <w:i w:val="1"/>
                <w:iCs w:val="1"/>
                <w:color w:val="auto"/>
              </w:rPr>
              <w:t>of Income Classification</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Restructuring and Merger-related Charges:</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Severance and other</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2800" w:type="dxa"/>
            <w:vAlign w:val="bottom"/>
            <w:gridSpan w:val="3"/>
          </w:tcPr>
          <w:p>
            <w:pPr>
              <w:ind w:left="24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Impairment relating to WesternGeco’s first generation Q-Land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system</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Other WesternGeco-related charges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2800" w:type="dxa"/>
            <w:vAlign w:val="bottom"/>
            <w:gridSpan w:val="3"/>
          </w:tcPr>
          <w:p>
            <w:pPr>
              <w:ind w:left="24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Professional fees and other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Merger-related employee benefits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2800" w:type="dxa"/>
            <w:vAlign w:val="bottom"/>
            <w:gridSpan w:val="3"/>
          </w:tcPr>
          <w:p>
            <w:pPr>
              <w:ind w:left="240"/>
              <w:spacing w:after="0"/>
              <w:rPr>
                <w:sz w:val="20"/>
                <w:szCs w:val="20"/>
                <w:color w:val="auto"/>
              </w:rPr>
            </w:pPr>
            <w:r>
              <w:rPr>
                <w:rFonts w:ascii="Arial" w:cs="Arial" w:eastAsia="Arial" w:hAnsi="Arial"/>
                <w:sz w:val="18"/>
                <w:szCs w:val="18"/>
                <w:i w:val="1"/>
                <w:iCs w:val="1"/>
                <w:color w:val="auto"/>
              </w:rPr>
              <w:t>Merger &amp; integration</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fair value adjustments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Cost of revenue</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Mexico restructuring</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2800" w:type="dxa"/>
            <w:vAlign w:val="bottom"/>
            <w:gridSpan w:val="3"/>
          </w:tcPr>
          <w:p>
            <w:pPr>
              <w:ind w:left="24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bonds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Restructuring &amp; other</w:t>
            </w:r>
          </w:p>
        </w:tc>
        <w:tc>
          <w:tcPr>
            <w:tcW w:w="0" w:type="dxa"/>
            <w:vAlign w:val="bottom"/>
          </w:tcPr>
          <w:p>
            <w:pPr>
              <w:spacing w:after="0"/>
              <w:rPr>
                <w:sz w:val="1"/>
                <w:szCs w:val="1"/>
                <w:color w:val="auto"/>
              </w:rPr>
            </w:pPr>
          </w:p>
        </w:tc>
      </w:tr>
      <w:tr>
        <w:trPr>
          <w:trHeight w:val="223"/>
        </w:trPr>
        <w:tc>
          <w:tcPr>
            <w:tcW w:w="5020" w:type="dxa"/>
            <w:vAlign w:val="bottom"/>
          </w:tcPr>
          <w:p>
            <w:pPr>
              <w:ind w:left="420"/>
              <w:spacing w:after="0"/>
              <w:rPr>
                <w:sz w:val="20"/>
                <w:szCs w:val="20"/>
                <w:color w:val="auto"/>
              </w:rPr>
            </w:pPr>
            <w:r>
              <w:rPr>
                <w:rFonts w:ascii="Arial" w:cs="Arial" w:eastAsia="Arial" w:hAnsi="Arial"/>
                <w:sz w:val="18"/>
                <w:szCs w:val="18"/>
                <w:i w:val="1"/>
                <w:iCs w:val="1"/>
                <w:color w:val="auto"/>
              </w:rPr>
              <w:t>Total restructuring and merger-related charges</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Impact of elimination of tax deduction related to Medicare Part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 subsidy</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2800" w:type="dxa"/>
            <w:vAlign w:val="bottom"/>
            <w:gridSpan w:val="3"/>
            <w:shd w:val="clear" w:color="auto" w:fill="CCEEFF"/>
          </w:tcPr>
          <w:p>
            <w:pPr>
              <w:ind w:left="240"/>
              <w:spacing w:after="0"/>
              <w:rPr>
                <w:sz w:val="20"/>
                <w:szCs w:val="20"/>
                <w:color w:val="auto"/>
              </w:rPr>
            </w:pPr>
            <w:r>
              <w:rPr>
                <w:rFonts w:ascii="Arial" w:cs="Arial" w:eastAsia="Arial" w:hAnsi="Arial"/>
                <w:sz w:val="18"/>
                <w:szCs w:val="18"/>
                <w:i w:val="1"/>
                <w:iCs w:val="1"/>
                <w:color w:val="auto"/>
              </w:rPr>
              <w:t>Taxes on income</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020" w:type="dxa"/>
            <w:vAlign w:val="bottom"/>
          </w:tcPr>
          <w:p>
            <w:pPr>
              <w:spacing w:after="0"/>
              <w:rPr>
                <w:sz w:val="20"/>
                <w:szCs w:val="20"/>
                <w:color w:val="auto"/>
              </w:rPr>
            </w:pPr>
            <w:r>
              <w:rPr>
                <w:rFonts w:ascii="Arial" w:cs="Arial" w:eastAsia="Arial" w:hAnsi="Arial"/>
                <w:sz w:val="18"/>
                <w:szCs w:val="18"/>
                <w:i w:val="1"/>
                <w:iCs w:val="1"/>
                <w:color w:val="auto"/>
              </w:rPr>
              <w:t>Gain on investment in M-I SWACO</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(1,270)</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(1,238)</w:t>
            </w:r>
          </w:p>
        </w:tc>
        <w:tc>
          <w:tcPr>
            <w:tcW w:w="24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i w:val="1"/>
                <w:iCs w:val="1"/>
                <w:color w:val="auto"/>
                <w:w w:val="90"/>
              </w:rPr>
              <w:t>Gain on Investment in M-I SWACO</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8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Sept. 30,</w:t>
            </w:r>
          </w:p>
        </w:tc>
        <w:tc>
          <w:tcPr>
            <w:tcW w:w="320" w:type="dxa"/>
            <w:vAlign w:val="bottom"/>
          </w:tcPr>
          <w:p>
            <w:pPr>
              <w:spacing w:after="0"/>
              <w:rPr>
                <w:sz w:val="12"/>
                <w:szCs w:val="12"/>
                <w:color w:val="auto"/>
              </w:rPr>
            </w:pP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9"/>
              </w:rPr>
              <w:t>Sept.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year</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Income from continuing operations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3,374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Gain on investment in M-I SWACO</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Excess of equity income over dividends received</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Pension and other postretirement benefits expense</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and other postretirement benefits funding</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Increase in working capital</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(2,763)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Multiclient seismic data capitalized</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(968)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Stock repurchase program</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employee stock plans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426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Net debt assumed in merger with Smith</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Geoservices acquisition, net of debt acquired</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Business acquisitions and other transactions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Conversion of debentures</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w w:val="95"/>
              </w:rPr>
              <w:t>Proceeds from divestiture of Global Connectivity Services business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effect on Net Debt</w:t>
            </w: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0" w:type="dxa"/>
            <w:vAlign w:val="bottom"/>
            <w:gridSpan w:val="2"/>
          </w:tcPr>
          <w:p>
            <w:pPr>
              <w:spacing w:after="0"/>
              <w:rPr>
                <w:sz w:val="20"/>
                <w:szCs w:val="20"/>
                <w:color w:val="auto"/>
              </w:rPr>
            </w:pPr>
            <w:r>
              <w:rPr>
                <w:rFonts w:ascii="Arial" w:cs="Arial" w:eastAsia="Arial" w:hAnsi="Arial"/>
                <w:sz w:val="15"/>
                <w:szCs w:val="15"/>
                <w:color w:val="auto"/>
                <w:w w:val="97"/>
              </w:rPr>
              <w:t>(1)</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Includes multiclient seismic data costs.</w:t>
            </w: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960" w:type="dxa"/>
            <w:vAlign w:val="bottom"/>
          </w:tcPr>
          <w:p>
            <w:pPr>
              <w:jc w:val="right"/>
              <w:ind w:right="33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86"/>
              </w:rPr>
              <w:t>Sept. 30,</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40" w:type="dxa"/>
            <w:vAlign w:val="bottom"/>
            <w:gridSpan w:val="3"/>
          </w:tcPr>
          <w:p>
            <w:pPr>
              <w:jc w:val="right"/>
              <w:ind w:right="160"/>
              <w:spacing w:after="0" w:line="145" w:lineRule="exact"/>
              <w:rPr>
                <w:sz w:val="20"/>
                <w:szCs w:val="20"/>
                <w:color w:val="auto"/>
              </w:rPr>
            </w:pPr>
            <w:r>
              <w:rPr>
                <w:rFonts w:ascii="Arial" w:cs="Arial" w:eastAsia="Arial" w:hAnsi="Arial"/>
                <w:sz w:val="14"/>
                <w:szCs w:val="14"/>
                <w:color w:val="auto"/>
              </w:rPr>
              <w:t>Sept. 30,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5" w:lineRule="exact"/>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71"/>
        </w:trPr>
        <w:tc>
          <w:tcPr>
            <w:tcW w:w="7320" w:type="dxa"/>
            <w:vAlign w:val="bottom"/>
            <w:gridSpan w:val="2"/>
          </w:tcPr>
          <w:p>
            <w:pPr>
              <w:spacing w:after="0"/>
              <w:rPr>
                <w:sz w:val="20"/>
                <w:szCs w:val="20"/>
                <w:color w:val="auto"/>
              </w:rPr>
            </w:pPr>
            <w:r>
              <w:rPr>
                <w:rFonts w:ascii="Arial" w:cs="Arial" w:eastAsia="Arial" w:hAnsi="Arial"/>
                <w:sz w:val="14"/>
                <w:szCs w:val="14"/>
                <w:color w:val="auto"/>
              </w:rPr>
              <w:t>Components of Net Debt</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Short-term investments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4,332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1,511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(2,743)</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(1,916)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(8,740)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(5,164</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nine months of 2011 and 2010 included:</w:t>
      </w:r>
    </w:p>
    <w:p>
      <w:pPr>
        <w:spacing w:after="0" w:line="117" w:lineRule="exact"/>
        <w:rPr>
          <w:sz w:val="20"/>
          <w:szCs w:val="20"/>
          <w:color w:val="auto"/>
        </w:rPr>
      </w:pPr>
    </w:p>
    <w:p>
      <w:pPr>
        <w:ind w:left="660" w:hanging="314"/>
        <w:spacing w:after="0" w:line="308" w:lineRule="auto"/>
        <w:tabs>
          <w:tab w:leader="none" w:pos="66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During the third quarter of 2011 Schlumberger issued $1.1 billion of 1.95% Senior Notes due 2016, $1.6 billion of 3.30% Senior Notes due 2021 and $300 million of Floating Rate Senior Notes due 2014 that bear interest at a rate equal to three-month LIBOR plus 55 bps per year.</w:t>
      </w:r>
    </w:p>
    <w:p>
      <w:pPr>
        <w:spacing w:after="0" w:line="51" w:lineRule="exact"/>
        <w:rPr>
          <w:rFonts w:ascii="Arial" w:cs="Arial" w:eastAsia="Arial" w:hAnsi="Arial"/>
          <w:sz w:val="17"/>
          <w:szCs w:val="17"/>
          <w:b w:val="1"/>
          <w:bCs w:val="1"/>
          <w:color w:val="auto"/>
        </w:rPr>
      </w:pPr>
    </w:p>
    <w:p>
      <w:pPr>
        <w:ind w:left="660" w:right="760" w:hanging="314"/>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During the second quarter of 2011, Schlumberger completed the divestiture of its Global Connectivity Services business for approximately $385 million in cash.</w:t>
      </w:r>
    </w:p>
    <w:p>
      <w:pPr>
        <w:spacing w:after="0" w:line="75" w:lineRule="exact"/>
        <w:rPr>
          <w:rFonts w:ascii="Arial" w:cs="Arial" w:eastAsia="Arial" w:hAnsi="Arial"/>
          <w:sz w:val="18"/>
          <w:szCs w:val="18"/>
          <w:b w:val="1"/>
          <w:bCs w:val="1"/>
          <w:color w:val="auto"/>
        </w:rPr>
      </w:pPr>
    </w:p>
    <w:p>
      <w:pPr>
        <w:ind w:left="660" w:right="360" w:hanging="314"/>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2011, Schlumberger issued $1.1 billion of 4.20% Senior Notes due 2021 and $500 million of 2.65% Senior Notes due 2016.</w:t>
      </w:r>
    </w:p>
    <w:p>
      <w:pPr>
        <w:spacing w:after="0" w:line="75"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During the first quarter of 2011, Schlumberger repurchased all of its outstanding 9.75% Senior Notes due 2019, 8.625% Senior Notes due 2014 and 6.00% Senior Notes due 2016 for approximately $1.26 billion.</w:t>
      </w:r>
    </w:p>
    <w:p>
      <w:pPr>
        <w:spacing w:after="0" w:line="75" w:lineRule="exact"/>
        <w:rPr>
          <w:rFonts w:ascii="Arial" w:cs="Arial" w:eastAsia="Arial" w:hAnsi="Arial"/>
          <w:sz w:val="18"/>
          <w:szCs w:val="18"/>
          <w:b w:val="1"/>
          <w:bCs w:val="1"/>
          <w:color w:val="auto"/>
        </w:rPr>
      </w:pPr>
    </w:p>
    <w:p>
      <w:pPr>
        <w:ind w:left="660" w:right="420" w:hanging="314"/>
        <w:spacing w:after="0" w:line="312"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color w:val="auto"/>
        </w:rPr>
        <w:t>On April 17, 2008, the Schlumberger Board of Directors approved an $8 billion share repurchase program for shares of Schlumberger common stock, to be acquired in the open market before December 31, 2011, of which $5.5 billion had been repurchased as of September 30, 2011. On July 21, 2011, the Schlumberger Board of Directors approved an extension of this repurchase program to December 31, 2013.</w:t>
      </w:r>
    </w:p>
    <w:p>
      <w:pPr>
        <w:spacing w:after="0" w:line="52"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7"/>
          <w:szCs w:val="17"/>
          <w:color w:val="auto"/>
        </w:rPr>
        <w:t>The following table summarizes the activity, during the nine months ended September 30, under the April 17, 2008 share repurchase program: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9"/>
          </w:tcPr>
          <w:p>
            <w:pPr>
              <w:ind w:left="3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Total cost</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Total number</w:t>
            </w:r>
          </w:p>
        </w:tc>
        <w:tc>
          <w:tcPr>
            <w:tcW w:w="3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4"/>
              </w:rPr>
              <w:t>Average price</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0"/>
              </w:rPr>
              <w:t>of shares</w:t>
            </w:r>
          </w:p>
        </w:tc>
        <w:tc>
          <w:tcPr>
            <w:tcW w:w="3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of shares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paid per</w:t>
            </w:r>
          </w:p>
        </w:tc>
        <w:tc>
          <w:tcPr>
            <w:tcW w:w="0" w:type="dxa"/>
            <w:vAlign w:val="bottom"/>
          </w:tcPr>
          <w:p>
            <w:pPr>
              <w:spacing w:after="0"/>
              <w:rPr>
                <w:sz w:val="1"/>
                <w:szCs w:val="1"/>
                <w:color w:val="auto"/>
              </w:rPr>
            </w:pPr>
          </w:p>
        </w:tc>
      </w:tr>
      <w:tr>
        <w:trPr>
          <w:trHeight w:val="167"/>
        </w:trPr>
        <w:tc>
          <w:tcPr>
            <w:tcW w:w="7720" w:type="dxa"/>
            <w:vAlign w:val="bottom"/>
            <w:vMerge w:val="restart"/>
          </w:tcPr>
          <w:p>
            <w:pPr>
              <w:spacing w:after="0"/>
              <w:rPr>
                <w:sz w:val="20"/>
                <w:szCs w:val="20"/>
                <w:color w:val="auto"/>
              </w:rPr>
            </w:pPr>
            <w:r>
              <w:rPr>
                <w:rFonts w:ascii="Arial" w:cs="Arial" w:eastAsia="Arial" w:hAnsi="Arial"/>
                <w:sz w:val="18"/>
                <w:szCs w:val="18"/>
                <w:color w:val="auto"/>
              </w:rPr>
              <w:t>Nine months ended September 30, 2011</w:t>
            </w: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color w:val="auto"/>
                <w:w w:val="88"/>
              </w:rPr>
              <w:t>purchased</w:t>
            </w:r>
          </w:p>
        </w:tc>
        <w:tc>
          <w:tcPr>
            <w:tcW w:w="3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purchased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color w:val="auto"/>
                <w:w w:val="85"/>
              </w:rPr>
              <w:t>share</w:t>
            </w:r>
          </w:p>
        </w:tc>
        <w:tc>
          <w:tcPr>
            <w:tcW w:w="0" w:type="dxa"/>
            <w:vAlign w:val="bottom"/>
          </w:tcPr>
          <w:p>
            <w:pPr>
              <w:spacing w:after="0"/>
              <w:rPr>
                <w:sz w:val="1"/>
                <w:szCs w:val="1"/>
                <w:color w:val="auto"/>
              </w:rPr>
            </w:pPr>
          </w:p>
        </w:tc>
      </w:tr>
      <w:tr>
        <w:trPr>
          <w:trHeight w:val="195"/>
        </w:trPr>
        <w:tc>
          <w:tcPr>
            <w:tcW w:w="7720" w:type="dxa"/>
            <w:vAlign w:val="bottom"/>
            <w:vMerge w:val="continue"/>
          </w:tcPr>
          <w:p>
            <w:pPr>
              <w:spacing w:after="0"/>
              <w:rPr>
                <w:sz w:val="16"/>
                <w:szCs w:val="16"/>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2,362</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27.8</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85.01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Nine months ended September 30, 2010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1,268</w:t>
            </w:r>
          </w:p>
        </w:tc>
        <w:tc>
          <w:tcPr>
            <w:tcW w:w="1440" w:type="dxa"/>
            <w:vAlign w:val="bottom"/>
            <w:gridSpan w:val="3"/>
          </w:tcPr>
          <w:p>
            <w:pPr>
              <w:jc w:val="right"/>
              <w:ind w:right="360"/>
              <w:spacing w:after="0"/>
              <w:rPr>
                <w:sz w:val="20"/>
                <w:szCs w:val="20"/>
                <w:color w:val="auto"/>
              </w:rPr>
            </w:pPr>
            <w:r>
              <w:rPr>
                <w:rFonts w:ascii="Arial" w:cs="Arial" w:eastAsia="Arial" w:hAnsi="Arial"/>
                <w:sz w:val="18"/>
                <w:szCs w:val="18"/>
                <w:color w:val="auto"/>
              </w:rPr>
              <w:t>20.6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61.63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540" w:hanging="314"/>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During the first nine months of 2011 Schlumberger made contributions of $359 million to its defined benefit pension and other postretirement benefit plans as compared to $615 million during the same period last year.</w:t>
      </w:r>
    </w:p>
    <w:p>
      <w:pPr>
        <w:spacing w:after="0" w:line="75" w:lineRule="exact"/>
        <w:rPr>
          <w:rFonts w:ascii="Arial" w:cs="Arial" w:eastAsia="Arial" w:hAnsi="Arial"/>
          <w:sz w:val="18"/>
          <w:szCs w:val="18"/>
          <w:b w:val="1"/>
          <w:bCs w:val="1"/>
          <w:color w:val="auto"/>
        </w:rPr>
      </w:pPr>
    </w:p>
    <w:p>
      <w:pPr>
        <w:ind w:left="660" w:right="40" w:hanging="314"/>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Cash flow provided by operations was $3.7 billion in the first nine months of 2011 compared to $3.1 billion in the first nine months of 2010 with the increase in earnings before depreciation and amortization expense offset in part by an increase in working capital requirements, primarily accounts receivable and inventories, as well as significant tax payments during the first nine months of 2011.</w:t>
      </w:r>
    </w:p>
    <w:p>
      <w:pPr>
        <w:spacing w:after="0" w:line="86" w:lineRule="exact"/>
        <w:rPr>
          <w:rFonts w:ascii="Arial" w:cs="Arial" w:eastAsia="Arial" w:hAnsi="Arial"/>
          <w:sz w:val="18"/>
          <w:szCs w:val="18"/>
          <w:b w:val="1"/>
          <w:bCs w:val="1"/>
          <w:color w:val="auto"/>
        </w:rPr>
      </w:pPr>
    </w:p>
    <w:p>
      <w:pPr>
        <w:ind w:left="660" w:right="620" w:hanging="314"/>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Capital expenditures were $2.8 billion in the first nine months of 2011 compared to $1.9 billion during the first nine months of 2010. Capital expenditures for the full year of 2011 are expected to approach $4.2 billion as compared to $2.9 billion in 2010.</w:t>
      </w:r>
    </w:p>
    <w:p>
      <w:pPr>
        <w:spacing w:after="0" w:line="75"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During the first nine months of 2010, approximately $320 million of the 2.125% Series B Convertible Debentures due June 1, 2023 were converted by holders into 8.0 million shares of Schlumberger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2011 Schlumberger had $6.1 billion of cash and short-term investments on hand. Schlumberger had separate committed debt facility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agreements aggregating $5.6 billion with commercial banks, of which $3.4 billion was available and unused as of September 30, 2011. This included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 billion of unused committed facilities which support commercial paper programs in the United States and Europe. Schlumberger believes that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are sufficient to meet future business requirements for at least the next twelve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Schlumberger had $2.0 billion of commercial paper outstanding as of September 30,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operating margins; improvements in operating procedures and technology; capital expenditures by Schlumberger and the oil and gas industry; the business strategies of Schlumberger’s customers; future global political and economic conditions; and future results of operations. These statements are subject to risks and uncertainties, including, but not limited to, current global economic conditions; changes in exploration and production spending by Schlumberger’s customers and changes in the level of oil and natural gas exploration and development; general economic, geopolitical and business conditions in key regions of the world; pricing erosion; weather and seasonal factors; the ability to respond to increased activity levels;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lifted drilling moratorium in the Gulf of Mexico; inability of technology to meet new challenges in explorations; and other risks and uncertainties detailed in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2010. Schlumberger’s exposure to market risk has not changed materially since December 31,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 of Schlumberger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date of this filing, there have been no material changes from the risk factors previously disclosed in Part 1, Item 1A, of Schlumberger’s Annual Report on Form 10-K for the fiscal year ended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On April 17, 2008, the Schlumberger Board of Directors (the “Board”) approved an $8 billion share repurchase program for Schlumberger common stock, which may be acquired in the open market or in negotiated transactions. On July 21, 2011, the Board approved an extension of this repurchase program to December 31, 2013. As of September 30, 2011, $2.5 billion remained available for repurchase under the existing repurchase authorization.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September 30, 2011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8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2"/>
              </w:rPr>
              <w:t>(Stated in millions, except per share amounts)</w:t>
            </w:r>
          </w:p>
        </w:tc>
      </w:tr>
      <w:tr>
        <w:trPr>
          <w:trHeight w:val="149"/>
        </w:trPr>
        <w:tc>
          <w:tcPr>
            <w:tcW w:w="6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Total number of</w:t>
            </w:r>
          </w:p>
        </w:tc>
        <w:tc>
          <w:tcPr>
            <w:tcW w:w="1320" w:type="dxa"/>
            <w:vAlign w:val="bottom"/>
            <w:gridSpan w:val="4"/>
          </w:tcPr>
          <w:p>
            <w:pPr>
              <w:ind w:left="100"/>
              <w:spacing w:after="0" w:line="149" w:lineRule="exact"/>
              <w:rPr>
                <w:sz w:val="20"/>
                <w:szCs w:val="20"/>
                <w:color w:val="auto"/>
              </w:rPr>
            </w:pPr>
            <w:r>
              <w:rPr>
                <w:rFonts w:ascii="Arial" w:cs="Arial" w:eastAsia="Arial" w:hAnsi="Arial"/>
                <w:sz w:val="14"/>
                <w:szCs w:val="14"/>
                <w:color w:val="auto"/>
              </w:rPr>
              <w:t>Maximum value of</w:t>
            </w:r>
          </w:p>
        </w:tc>
      </w:tr>
      <w:tr>
        <w:trPr>
          <w:trHeight w:val="149"/>
        </w:trPr>
        <w:tc>
          <w:tcPr>
            <w:tcW w:w="686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2"/>
              </w:rPr>
              <w:t>Total number</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0"/>
              </w:rPr>
              <w:t>Average price</w:t>
            </w:r>
          </w:p>
        </w:tc>
        <w:tc>
          <w:tcPr>
            <w:tcW w:w="2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shares purchased</w:t>
            </w:r>
          </w:p>
        </w:tc>
        <w:tc>
          <w:tcPr>
            <w:tcW w:w="1320" w:type="dxa"/>
            <w:vAlign w:val="bottom"/>
            <w:gridSpan w:val="4"/>
          </w:tcPr>
          <w:p>
            <w:pPr>
              <w:ind w:left="100"/>
              <w:spacing w:after="0" w:line="149" w:lineRule="exact"/>
              <w:rPr>
                <w:sz w:val="20"/>
                <w:szCs w:val="20"/>
                <w:color w:val="auto"/>
              </w:rPr>
            </w:pPr>
            <w:r>
              <w:rPr>
                <w:rFonts w:ascii="Arial" w:cs="Arial" w:eastAsia="Arial" w:hAnsi="Arial"/>
                <w:sz w:val="14"/>
                <w:szCs w:val="14"/>
                <w:color w:val="auto"/>
                <w:w w:val="98"/>
              </w:rPr>
              <w:t>shares that may yet</w:t>
            </w:r>
          </w:p>
        </w:tc>
      </w:tr>
      <w:tr>
        <w:trPr>
          <w:trHeight w:val="149"/>
        </w:trPr>
        <w:tc>
          <w:tcPr>
            <w:tcW w:w="686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of shares</w:t>
            </w:r>
          </w:p>
        </w:tc>
        <w:tc>
          <w:tcPr>
            <w:tcW w:w="140" w:type="dxa"/>
            <w:vAlign w:val="bottom"/>
          </w:tcPr>
          <w:p>
            <w:pPr>
              <w:spacing w:after="0"/>
              <w:rPr>
                <w:sz w:val="12"/>
                <w:szCs w:val="12"/>
                <w:color w:val="auto"/>
              </w:rPr>
            </w:pPr>
          </w:p>
        </w:tc>
        <w:tc>
          <w:tcPr>
            <w:tcW w:w="680" w:type="dxa"/>
            <w:vAlign w:val="bottom"/>
          </w:tcPr>
          <w:p>
            <w:pPr>
              <w:jc w:val="right"/>
              <w:ind w:right="96"/>
              <w:spacing w:after="0" w:line="149" w:lineRule="exact"/>
              <w:rPr>
                <w:sz w:val="20"/>
                <w:szCs w:val="20"/>
                <w:color w:val="auto"/>
              </w:rPr>
            </w:pPr>
            <w:r>
              <w:rPr>
                <w:rFonts w:ascii="Arial" w:cs="Arial" w:eastAsia="Arial" w:hAnsi="Arial"/>
                <w:sz w:val="14"/>
                <w:szCs w:val="14"/>
                <w:color w:val="auto"/>
                <w:w w:val="94"/>
              </w:rPr>
              <w:t>paid per</w:t>
            </w:r>
          </w:p>
        </w:tc>
        <w:tc>
          <w:tcPr>
            <w:tcW w:w="2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be purchased</w:t>
            </w:r>
          </w:p>
        </w:tc>
      </w:tr>
      <w:tr>
        <w:trPr>
          <w:trHeight w:val="167"/>
        </w:trPr>
        <w:tc>
          <w:tcPr>
            <w:tcW w:w="68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purchased</w:t>
            </w:r>
          </w:p>
        </w:tc>
        <w:tc>
          <w:tcPr>
            <w:tcW w:w="20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color w:val="auto"/>
              </w:rPr>
              <w:t>share</w:t>
            </w:r>
          </w:p>
        </w:tc>
        <w:tc>
          <w:tcPr>
            <w:tcW w:w="2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announced program</w:t>
            </w:r>
          </w:p>
        </w:tc>
        <w:tc>
          <w:tcPr>
            <w:tcW w:w="1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color w:val="auto"/>
              </w:rPr>
              <w:t>under the program</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August 1 through August 31, 2011</w:t>
            </w:r>
          </w:p>
        </w:tc>
        <w:tc>
          <w:tcPr>
            <w:tcW w:w="760" w:type="dxa"/>
            <w:vAlign w:val="bottom"/>
          </w:tcPr>
          <w:p>
            <w:pPr>
              <w:jc w:val="right"/>
              <w:spacing w:after="0"/>
              <w:rPr>
                <w:sz w:val="20"/>
                <w:szCs w:val="20"/>
                <w:color w:val="auto"/>
              </w:rPr>
            </w:pPr>
            <w:r>
              <w:rPr>
                <w:rFonts w:ascii="Arial" w:cs="Arial" w:eastAsia="Arial" w:hAnsi="Arial"/>
                <w:sz w:val="18"/>
                <w:szCs w:val="18"/>
                <w:color w:val="auto"/>
              </w:rPr>
              <w:t>2,614.9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85.21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2,614.9</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2,675</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u w:val="single" w:color="auto"/>
                <w:color w:val="auto"/>
              </w:rPr>
              <w:t>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2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r>
              <w:rPr>
                <w:rFonts w:ascii="Arial" w:cs="Arial" w:eastAsia="Arial" w:hAnsi="Arial"/>
                <w:sz w:val="18"/>
                <w:szCs w:val="18"/>
                <w:u w:val="single" w:color="auto"/>
                <w:color w:val="auto"/>
              </w:rPr>
              <w:t>86</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All of the shares repurchased in July 2011 and 1,001,430 shares repurchased in August 2011 were acquired in a privately negotiated transaction.</w:t>
      </w:r>
    </w:p>
    <w:p>
      <w:pPr>
        <w:spacing w:after="0" w:line="1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 to Schlumberger’s Current Report on Form 8-K filed on April 7, 2011).</w:t>
      </w:r>
    </w:p>
    <w:p>
      <w:pPr>
        <w:spacing w:after="0" w:line="76" w:lineRule="exact"/>
        <w:rPr>
          <w:sz w:val="20"/>
          <w:szCs w:val="20"/>
          <w:color w:val="auto"/>
        </w:rPr>
      </w:pPr>
    </w:p>
    <w:p>
      <w:pPr>
        <w:ind w:left="660" w:right="860"/>
        <w:spacing w:after="0" w:line="277"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76" w:lineRule="exact"/>
        <w:rPr>
          <w:sz w:val="20"/>
          <w:szCs w:val="20"/>
          <w:color w:val="auto"/>
        </w:rPr>
      </w:pPr>
    </w:p>
    <w:p>
      <w:pPr>
        <w:ind w:left="660" w:right="560" w:firstLine="10"/>
        <w:spacing w:after="0" w:line="277" w:lineRule="auto"/>
        <w:tabs>
          <w:tab w:leader="none" w:pos="7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75" w:lineRule="exact"/>
        <w:rPr>
          <w:rFonts w:ascii="Arial" w:cs="Arial" w:eastAsia="Arial" w:hAnsi="Arial"/>
          <w:sz w:val="18"/>
          <w:szCs w:val="18"/>
          <w:color w:val="auto"/>
        </w:rPr>
      </w:pPr>
    </w:p>
    <w:p>
      <w:pPr>
        <w:ind w:left="660" w:right="600" w:firstLine="10"/>
        <w:spacing w:after="0" w:line="277" w:lineRule="auto"/>
        <w:tabs>
          <w:tab w:leader="none" w:pos="7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firstLine="10"/>
        <w:spacing w:after="0" w:line="277" w:lineRule="auto"/>
        <w:tabs>
          <w:tab w:leader="none" w:pos="8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75" w:lineRule="exact"/>
        <w:rPr>
          <w:rFonts w:ascii="Arial" w:cs="Arial" w:eastAsia="Arial" w:hAnsi="Arial"/>
          <w:sz w:val="18"/>
          <w:szCs w:val="18"/>
          <w:color w:val="auto"/>
        </w:rPr>
      </w:pPr>
    </w:p>
    <w:p>
      <w:pPr>
        <w:ind w:left="660" w:right="240" w:firstLine="10"/>
        <w:spacing w:after="0" w:line="277" w:lineRule="auto"/>
        <w:tabs>
          <w:tab w:leader="none" w:pos="8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76" w:lineRule="exact"/>
        <w:rPr>
          <w:sz w:val="20"/>
          <w:szCs w:val="20"/>
          <w:color w:val="auto"/>
        </w:rPr>
      </w:pPr>
    </w:p>
    <w:p>
      <w:pPr>
        <w:ind w:left="660" w:right="80" w:firstLine="10"/>
        <w:spacing w:after="0" w:line="274" w:lineRule="auto"/>
        <w:tabs>
          <w:tab w:leader="none" w:pos="7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Exhibit 101 — The following materials from Schlumberger Limited’s Quarterly Report on Form 10-Q for the quarter ended September 30, 2011, formatted in XBRL (Extensible Business Reporting Language): (i) Consolidated Statement of Income; (ii) Consolidated Balance Sheet;</w:t>
      </w:r>
    </w:p>
    <w:p>
      <w:pPr>
        <w:ind w:left="660"/>
        <w:spacing w:after="0"/>
        <w:rPr>
          <w:rFonts w:ascii="Arial" w:cs="Arial" w:eastAsia="Arial" w:hAnsi="Arial"/>
          <w:sz w:val="17"/>
          <w:szCs w:val="17"/>
          <w:color w:val="auto"/>
        </w:rPr>
      </w:pPr>
      <w:r>
        <w:rPr>
          <w:rFonts w:ascii="Arial" w:cs="Arial" w:eastAsia="Arial" w:hAnsi="Arial"/>
          <w:sz w:val="17"/>
          <w:szCs w:val="17"/>
          <w:color w:val="auto"/>
        </w:rPr>
        <w:t>(iii) Consolidated Statement of Cash Flows; (iv) Consolidated Statement of Equity, and (v) Notes to Consolidated Financial Statements.</w:t>
      </w:r>
    </w:p>
    <w:p>
      <w:pPr>
        <w:spacing w:after="0" w:line="127" w:lineRule="exact"/>
        <w:rPr>
          <w:rFonts w:ascii="Arial" w:cs="Arial" w:eastAsia="Arial" w:hAnsi="Arial"/>
          <w:sz w:val="17"/>
          <w:szCs w:val="17"/>
          <w:color w:val="auto"/>
        </w:rPr>
      </w:pPr>
    </w:p>
    <w:p>
      <w:pPr>
        <w:ind w:left="800" w:hanging="13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Furnished with this Form 10-Q.</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26, 2011</w:t>
      </w:r>
      <w:r>
        <w:rPr>
          <w:sz w:val="20"/>
          <w:szCs w:val="20"/>
          <w:color w:val="auto"/>
        </w:rPr>
        <w:tab/>
      </w:r>
      <w:r>
        <w:rPr>
          <w:rFonts w:ascii="Arial" w:cs="Arial" w:eastAsia="Arial" w:hAnsi="Arial"/>
          <w:sz w:val="16"/>
          <w:szCs w:val="16"/>
          <w:color w:val="auto"/>
        </w:rPr>
        <w:t>/s/ Howard Guild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Accounting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Duly Authorized Signatory</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19" w:right="4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26, 2011</w:t>
      </w:r>
      <w:r>
        <w:rPr>
          <w:sz w:val="20"/>
          <w:szCs w:val="20"/>
          <w:color w:val="auto"/>
        </w:rPr>
        <w:tab/>
      </w:r>
      <w:r>
        <w:rPr>
          <w:rFonts w:ascii="Arial" w:cs="Arial" w:eastAsia="Arial" w:hAnsi="Arial"/>
          <w:sz w:val="16"/>
          <w:szCs w:val="16"/>
          <w:color w:val="auto"/>
        </w:rPr>
        <w:t>/s/ Paal Kibsgaard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26, 2011</w:t>
      </w:r>
      <w:r>
        <w:rPr>
          <w:sz w:val="20"/>
          <w:szCs w:val="20"/>
          <w:color w:val="auto"/>
        </w:rPr>
        <w:tab/>
      </w:r>
      <w:r>
        <w:rPr>
          <w:rFonts w:ascii="Arial" w:cs="Arial" w:eastAsia="Arial" w:hAnsi="Arial"/>
          <w:sz w:val="16"/>
          <w:szCs w:val="16"/>
          <w:color w:val="auto"/>
        </w:rPr>
        <w:t>/s/ Simon Ayat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5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September 30, 2011 as filed with the Securities and Exchange Commission on the date hereof (the “Report”), I, Paal Kibsgaard, Chief Executive Officer of the Company, certify, pursuant to 18 U.S.C. § 1350, as adopted pursuant to § 906 of the Sarbanes-Oxley Act of 2002, that:</w:t>
      </w:r>
    </w:p>
    <w:p>
      <w:pPr>
        <w:spacing w:after="0" w:line="57" w:lineRule="exact"/>
        <w:rPr>
          <w:sz w:val="20"/>
          <w:szCs w:val="20"/>
          <w:color w:val="auto"/>
        </w:rPr>
      </w:pPr>
    </w:p>
    <w:p>
      <w:pPr>
        <w:ind w:left="480" w:hanging="247"/>
        <w:spacing w:after="0"/>
        <w:tabs>
          <w:tab w:leader="none" w:pos="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26, 2011</w:t>
      </w:r>
      <w:r>
        <w:rPr>
          <w:sz w:val="20"/>
          <w:szCs w:val="20"/>
          <w:color w:val="auto"/>
        </w:rPr>
        <w:tab/>
      </w:r>
      <w:r>
        <w:rPr>
          <w:rFonts w:ascii="Arial" w:cs="Arial" w:eastAsia="Arial" w:hAnsi="Arial"/>
          <w:sz w:val="16"/>
          <w:szCs w:val="16"/>
          <w:color w:val="auto"/>
        </w:rPr>
        <w:t>/s/ Paal Kibsgaard</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Paal Kibsgaard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Executive Officer</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553"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September 30, 2011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39" w:lineRule="exact"/>
        <w:rPr>
          <w:sz w:val="20"/>
          <w:szCs w:val="20"/>
          <w:color w:val="auto"/>
        </w:rPr>
      </w:pPr>
    </w:p>
    <w:p>
      <w:pPr>
        <w:ind w:left="480" w:hanging="247"/>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480" w:hanging="247"/>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26, 2011</w:t>
      </w:r>
      <w:r>
        <w:rPr>
          <w:sz w:val="20"/>
          <w:szCs w:val="20"/>
          <w:color w:val="auto"/>
        </w:rPr>
        <w:tab/>
      </w:r>
      <w:r>
        <w:rPr>
          <w:rFonts w:ascii="Arial" w:cs="Arial" w:eastAsia="Arial" w:hAnsi="Arial"/>
          <w:sz w:val="16"/>
          <w:szCs w:val="16"/>
          <w:color w:val="auto"/>
        </w:rPr>
        <w:t>/s/ Simon Ayat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Chief Financial Officer</w:t>
      </w:r>
    </w:p>
    <w:p>
      <w:pPr>
        <w:spacing w:after="0" w:line="3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3"/>
    </w:lvl>
  </w:abstractNum>
  <w:abstractNum w:abstractNumId="8">
    <w:nsid w:val="333AB105"/>
    <w:multiLevelType w:val="hybridMultilevel"/>
    <w:lvl w:ilvl="0">
      <w:lvlJc w:val="left"/>
      <w:lvlText w:val="%1."/>
      <w:numFmt w:val="decimal"/>
      <w:start w:val="4"/>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6"/>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8"/>
    </w:lvl>
  </w:abstractNum>
  <w:abstractNum w:abstractNumId="14">
    <w:nsid w:val="8EDBDAB"/>
    <w:multiLevelType w:val="hybridMultilevel"/>
    <w:lvl w:ilvl="0">
      <w:lvlJc w:val="left"/>
      <w:lvlText w:val="%1."/>
      <w:numFmt w:val="decimal"/>
      <w:start w:val="9"/>
    </w:lvl>
  </w:abstractNum>
  <w:abstractNum w:abstractNumId="15">
    <w:nsid w:val="79838CB2"/>
    <w:multiLevelType w:val="hybridMultilevel"/>
    <w:lvl w:ilvl="0">
      <w:lvlJc w:val="left"/>
      <w:lvlText w:val="%1."/>
      <w:numFmt w:val="decimal"/>
      <w:start w:val="10"/>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13"/>
    </w:lvl>
  </w:abstractNum>
  <w:abstractNum w:abstractNumId="18">
    <w:nsid w:val="189A769B"/>
    <w:multiLevelType w:val="hybridMultilevel"/>
    <w:lvl w:ilvl="0">
      <w:lvlJc w:val="left"/>
      <w:lvlText w:val="%1."/>
      <w:numFmt w:val="decimal"/>
      <w:start w:val="14"/>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5"/>
    </w:lvl>
  </w:abstractNum>
  <w:abstractNum w:abstractNumId="23">
    <w:nsid w:val="2901D82"/>
    <w:multiLevelType w:val="hybridMultilevel"/>
    <w:lvl w:ilvl="0">
      <w:lvlJc w:val="left"/>
      <w:lvlText w:val="%1."/>
      <w:numFmt w:val="decimal"/>
      <w:start w:val="16"/>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2019-12-10T02:46:57Z</dcterms:created>
  <dcterms:modified xsi:type="dcterms:W3CDTF">2019-12-10T02:46:57Z</dcterms:modified>
</cp:coreProperties>
</file>