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165100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QUARTERLY REPORT UNDER SECTION 13 OR 15(d)</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sectPr>
      </w:pPr>
    </w:p>
    <w:p>
      <w:pPr>
        <w:spacing w:after="0" w:line="355"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2"/>
          <w:szCs w:val="12"/>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Commission file No.:</w:t>
      </w:r>
    </w:p>
    <w:p>
      <w:pPr>
        <w:spacing w:after="0" w:line="40" w:lineRule="exact"/>
        <w:rPr>
          <w:sz w:val="24"/>
          <w:szCs w:val="24"/>
          <w:color w:val="auto"/>
        </w:rPr>
      </w:pPr>
    </w:p>
    <w:p>
      <w:pPr>
        <w:sectPr>
          <w:pgSz w:w="11900" w:h="16838" w:orient="portrait"/>
          <w:cols w:equalWidth="0" w:num="2">
            <w:col w:w="7420" w:space="720"/>
            <w:col w:w="3280"/>
          </w:cols>
          <w:pgMar w:left="240" w:top="392" w:right="239" w:bottom="1440" w:gutter="0" w:footer="0" w:header="0"/>
          <w:type w:val="continuous"/>
        </w:sectPr>
      </w:pPr>
    </w:p>
    <w:p>
      <w:pPr>
        <w:ind w:left="2300"/>
        <w:spacing w:after="0"/>
        <w:rPr>
          <w:sz w:val="20"/>
          <w:szCs w:val="20"/>
          <w:color w:val="auto"/>
        </w:rPr>
      </w:pPr>
      <w:r>
        <w:rPr>
          <w:rFonts w:ascii="Times New Roman" w:cs="Times New Roman" w:eastAsia="Times New Roman" w:hAnsi="Times New Roman"/>
          <w:sz w:val="16"/>
          <w:szCs w:val="16"/>
          <w:b w:val="1"/>
          <w:bCs w:val="1"/>
          <w:color w:val="auto"/>
        </w:rPr>
        <w:t>June 30, 2007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1-4601</w:t>
      </w:r>
    </w:p>
    <w:p>
      <w:pPr>
        <w:spacing w:after="0" w:line="107" w:lineRule="exact"/>
        <w:rPr>
          <w:sz w:val="24"/>
          <w:szCs w:val="24"/>
          <w:color w:val="auto"/>
        </w:rPr>
      </w:pPr>
    </w:p>
    <w:p>
      <w:pPr>
        <w:sectPr>
          <w:pgSz w:w="11900" w:h="16838" w:orient="portrait"/>
          <w:cols w:equalWidth="0" w:num="2">
            <w:col w:w="7780" w:space="720"/>
            <w:col w:w="2920"/>
          </w:cols>
          <w:pgMar w:left="240" w:top="392"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SCHLUMBERGER N.V.</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(SCHLUMBERGER LIMITED)</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9" w:lineRule="exact"/>
        <w:rPr>
          <w:sz w:val="24"/>
          <w:szCs w:val="24"/>
          <w:color w:val="auto"/>
        </w:rPr>
      </w:pPr>
    </w:p>
    <w:tbl>
      <w:tblPr>
        <w:tblLayout w:type="fixed"/>
        <w:tblInd w:w="1580" w:type="dxa"/>
        <w:tblCellMar>
          <w:top w:w="0" w:type="dxa"/>
          <w:left w:w="0" w:type="dxa"/>
          <w:bottom w:w="0" w:type="dxa"/>
          <w:right w:w="0" w:type="dxa"/>
        </w:tblCellMar>
      </w:tblPr>
      <w:tr>
        <w:trPr>
          <w:trHeight w:val="216"/>
        </w:trPr>
        <w:tc>
          <w:tcPr>
            <w:tcW w:w="4540" w:type="dxa"/>
            <w:vAlign w:val="bottom"/>
          </w:tcPr>
          <w:p>
            <w:pPr>
              <w:jc w:val="center"/>
              <w:ind w:right="1998"/>
              <w:spacing w:after="0"/>
              <w:rPr>
                <w:sz w:val="20"/>
                <w:szCs w:val="20"/>
                <w:color w:val="auto"/>
              </w:rPr>
            </w:pPr>
            <w:r>
              <w:rPr>
                <w:rFonts w:ascii="Times New Roman" w:cs="Times New Roman" w:eastAsia="Times New Roman" w:hAnsi="Times New Roman"/>
                <w:sz w:val="18"/>
                <w:szCs w:val="18"/>
                <w:b w:val="1"/>
                <w:bCs w:val="1"/>
                <w:color w:val="auto"/>
                <w:w w:val="97"/>
              </w:rPr>
              <w:t>NETHERLANDS ANTILLES</w:t>
            </w:r>
          </w:p>
        </w:tc>
        <w:tc>
          <w:tcPr>
            <w:tcW w:w="3140" w:type="dxa"/>
            <w:vAlign w:val="bottom"/>
          </w:tcPr>
          <w:p>
            <w:pPr>
              <w:jc w:val="center"/>
              <w:ind w:left="2021"/>
              <w:spacing w:after="0"/>
              <w:rPr>
                <w:sz w:val="20"/>
                <w:szCs w:val="20"/>
                <w:color w:val="auto"/>
              </w:rPr>
            </w:pPr>
            <w:r>
              <w:rPr>
                <w:rFonts w:ascii="Times New Roman" w:cs="Times New Roman" w:eastAsia="Times New Roman" w:hAnsi="Times New Roman"/>
                <w:sz w:val="18"/>
                <w:szCs w:val="18"/>
                <w:b w:val="1"/>
                <w:bCs w:val="1"/>
                <w:color w:val="auto"/>
                <w:w w:val="96"/>
              </w:rPr>
              <w:t>52-0684746</w:t>
            </w:r>
          </w:p>
        </w:tc>
      </w:tr>
      <w:tr>
        <w:trPr>
          <w:trHeight w:val="149"/>
        </w:trPr>
        <w:tc>
          <w:tcPr>
            <w:tcW w:w="4540" w:type="dxa"/>
            <w:vAlign w:val="bottom"/>
          </w:tcPr>
          <w:p>
            <w:pPr>
              <w:jc w:val="center"/>
              <w:ind w:right="1998"/>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3140" w:type="dxa"/>
            <w:vAlign w:val="bottom"/>
          </w:tcPr>
          <w:p>
            <w:pPr>
              <w:jc w:val="center"/>
              <w:ind w:left="2021"/>
              <w:spacing w:after="0" w:line="149" w:lineRule="exact"/>
              <w:rPr>
                <w:sz w:val="20"/>
                <w:szCs w:val="20"/>
                <w:color w:val="auto"/>
              </w:rPr>
            </w:pPr>
            <w:r>
              <w:rPr>
                <w:rFonts w:ascii="Times New Roman" w:cs="Times New Roman" w:eastAsia="Times New Roman" w:hAnsi="Times New Roman"/>
                <w:sz w:val="14"/>
                <w:szCs w:val="14"/>
                <w:b w:val="1"/>
                <w:bCs w:val="1"/>
                <w:color w:val="auto"/>
                <w:w w:val="94"/>
              </w:rPr>
              <w:t>(I.R.S. Employer</w:t>
            </w:r>
          </w:p>
        </w:tc>
      </w:tr>
      <w:tr>
        <w:trPr>
          <w:trHeight w:val="178"/>
        </w:trPr>
        <w:tc>
          <w:tcPr>
            <w:tcW w:w="4540" w:type="dxa"/>
            <w:vAlign w:val="bottom"/>
          </w:tcPr>
          <w:p>
            <w:pPr>
              <w:jc w:val="center"/>
              <w:ind w:right="1998"/>
              <w:spacing w:after="0"/>
              <w:rPr>
                <w:sz w:val="20"/>
                <w:szCs w:val="20"/>
                <w:color w:val="auto"/>
              </w:rPr>
            </w:pPr>
            <w:r>
              <w:rPr>
                <w:rFonts w:ascii="Times New Roman" w:cs="Times New Roman" w:eastAsia="Times New Roman" w:hAnsi="Times New Roman"/>
                <w:sz w:val="14"/>
                <w:szCs w:val="14"/>
                <w:b w:val="1"/>
                <w:bCs w:val="1"/>
                <w:color w:val="auto"/>
                <w:w w:val="97"/>
              </w:rPr>
              <w:t>incorporation or organization)</w:t>
            </w:r>
          </w:p>
        </w:tc>
        <w:tc>
          <w:tcPr>
            <w:tcW w:w="3140" w:type="dxa"/>
            <w:vAlign w:val="bottom"/>
          </w:tcPr>
          <w:p>
            <w:pPr>
              <w:jc w:val="center"/>
              <w:ind w:left="2021"/>
              <w:spacing w:after="0"/>
              <w:rPr>
                <w:sz w:val="20"/>
                <w:szCs w:val="20"/>
                <w:color w:val="auto"/>
              </w:rPr>
            </w:pPr>
            <w:r>
              <w:rPr>
                <w:rFonts w:ascii="Times New Roman" w:cs="Times New Roman" w:eastAsia="Times New Roman" w:hAnsi="Times New Roman"/>
                <w:sz w:val="14"/>
                <w:szCs w:val="14"/>
                <w:b w:val="1"/>
                <w:bCs w:val="1"/>
                <w:color w:val="auto"/>
                <w:w w:val="94"/>
              </w:rPr>
              <w:t>Identification No.)</w:t>
            </w:r>
          </w:p>
        </w:tc>
      </w:tr>
      <w:tr>
        <w:trPr>
          <w:trHeight w:val="403"/>
        </w:trPr>
        <w:tc>
          <w:tcPr>
            <w:tcW w:w="4540" w:type="dxa"/>
            <w:vAlign w:val="bottom"/>
          </w:tcPr>
          <w:p>
            <w:pPr>
              <w:jc w:val="center"/>
              <w:ind w:right="1998"/>
              <w:spacing w:after="0"/>
              <w:rPr>
                <w:sz w:val="20"/>
                <w:szCs w:val="20"/>
                <w:color w:val="auto"/>
              </w:rPr>
            </w:pPr>
            <w:r>
              <w:rPr>
                <w:rFonts w:ascii="Times New Roman" w:cs="Times New Roman" w:eastAsia="Times New Roman" w:hAnsi="Times New Roman"/>
                <w:sz w:val="18"/>
                <w:szCs w:val="18"/>
                <w:b w:val="1"/>
                <w:bCs w:val="1"/>
                <w:color w:val="auto"/>
                <w:w w:val="96"/>
              </w:rPr>
              <w:t>5599 SAN FELIPE, 17</w:t>
            </w:r>
            <w:r>
              <w:rPr>
                <w:rFonts w:ascii="Times New Roman" w:cs="Times New Roman" w:eastAsia="Times New Roman" w:hAnsi="Times New Roman"/>
                <w:sz w:val="22"/>
                <w:szCs w:val="22"/>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w:t>
            </w:r>
          </w:p>
        </w:tc>
        <w:tc>
          <w:tcPr>
            <w:tcW w:w="3140" w:type="dxa"/>
            <w:vAlign w:val="bottom"/>
          </w:tcPr>
          <w:p>
            <w:pPr>
              <w:spacing w:after="0"/>
              <w:rPr>
                <w:sz w:val="24"/>
                <w:szCs w:val="24"/>
                <w:color w:val="auto"/>
              </w:rPr>
            </w:pPr>
          </w:p>
        </w:tc>
      </w:tr>
      <w:tr>
        <w:trPr>
          <w:trHeight w:val="230"/>
        </w:trPr>
        <w:tc>
          <w:tcPr>
            <w:tcW w:w="4540" w:type="dxa"/>
            <w:vAlign w:val="bottom"/>
          </w:tcPr>
          <w:p>
            <w:pPr>
              <w:jc w:val="center"/>
              <w:ind w:right="1998"/>
              <w:spacing w:after="0"/>
              <w:rPr>
                <w:sz w:val="20"/>
                <w:szCs w:val="20"/>
                <w:color w:val="auto"/>
              </w:rPr>
            </w:pPr>
            <w:r>
              <w:rPr>
                <w:rFonts w:ascii="Times New Roman" w:cs="Times New Roman" w:eastAsia="Times New Roman" w:hAnsi="Times New Roman"/>
                <w:sz w:val="18"/>
                <w:szCs w:val="18"/>
                <w:b w:val="1"/>
                <w:bCs w:val="1"/>
                <w:color w:val="auto"/>
                <w:w w:val="96"/>
              </w:rPr>
              <w:t>HOUSTON, TEXAS, U.S.A.</w:t>
            </w:r>
          </w:p>
        </w:tc>
        <w:tc>
          <w:tcPr>
            <w:tcW w:w="3140" w:type="dxa"/>
            <w:vAlign w:val="bottom"/>
          </w:tcPr>
          <w:p>
            <w:pPr>
              <w:jc w:val="center"/>
              <w:ind w:left="2021"/>
              <w:spacing w:after="0"/>
              <w:rPr>
                <w:sz w:val="20"/>
                <w:szCs w:val="20"/>
                <w:color w:val="auto"/>
              </w:rPr>
            </w:pPr>
            <w:r>
              <w:rPr>
                <w:rFonts w:ascii="Times New Roman" w:cs="Times New Roman" w:eastAsia="Times New Roman" w:hAnsi="Times New Roman"/>
                <w:sz w:val="18"/>
                <w:szCs w:val="18"/>
                <w:b w:val="1"/>
                <w:bCs w:val="1"/>
                <w:color w:val="auto"/>
                <w:w w:val="97"/>
              </w:rPr>
              <w:t>77056</w:t>
            </w:r>
          </w:p>
        </w:tc>
      </w:tr>
      <w:tr>
        <w:trPr>
          <w:trHeight w:val="418"/>
        </w:trPr>
        <w:tc>
          <w:tcPr>
            <w:tcW w:w="4540" w:type="dxa"/>
            <w:vAlign w:val="bottom"/>
          </w:tcPr>
          <w:p>
            <w:pPr>
              <w:jc w:val="center"/>
              <w:ind w:right="1998"/>
              <w:spacing w:after="0"/>
              <w:rPr>
                <w:sz w:val="20"/>
                <w:szCs w:val="20"/>
                <w:color w:val="auto"/>
              </w:rPr>
            </w:pPr>
            <w:r>
              <w:rPr>
                <w:rFonts w:ascii="Times New Roman" w:cs="Times New Roman" w:eastAsia="Times New Roman" w:hAnsi="Times New Roman"/>
                <w:sz w:val="18"/>
                <w:szCs w:val="18"/>
                <w:b w:val="1"/>
                <w:bCs w:val="1"/>
                <w:color w:val="auto"/>
                <w:w w:val="97"/>
              </w:rPr>
              <w:t>42 RUE SAINT-DOMINIQUE</w:t>
            </w:r>
          </w:p>
        </w:tc>
        <w:tc>
          <w:tcPr>
            <w:tcW w:w="3140" w:type="dxa"/>
            <w:vAlign w:val="bottom"/>
          </w:tcPr>
          <w:p>
            <w:pPr>
              <w:spacing w:after="0"/>
              <w:rPr>
                <w:sz w:val="24"/>
                <w:szCs w:val="24"/>
                <w:color w:val="auto"/>
              </w:rPr>
            </w:pPr>
          </w:p>
        </w:tc>
      </w:tr>
      <w:tr>
        <w:trPr>
          <w:trHeight w:val="230"/>
        </w:trPr>
        <w:tc>
          <w:tcPr>
            <w:tcW w:w="4540" w:type="dxa"/>
            <w:vAlign w:val="bottom"/>
          </w:tcPr>
          <w:p>
            <w:pPr>
              <w:jc w:val="center"/>
              <w:ind w:right="1998"/>
              <w:spacing w:after="0"/>
              <w:rPr>
                <w:sz w:val="20"/>
                <w:szCs w:val="20"/>
                <w:color w:val="auto"/>
              </w:rPr>
            </w:pPr>
            <w:r>
              <w:rPr>
                <w:rFonts w:ascii="Times New Roman" w:cs="Times New Roman" w:eastAsia="Times New Roman" w:hAnsi="Times New Roman"/>
                <w:sz w:val="18"/>
                <w:szCs w:val="18"/>
                <w:b w:val="1"/>
                <w:bCs w:val="1"/>
                <w:color w:val="auto"/>
                <w:w w:val="97"/>
              </w:rPr>
              <w:t>PARIS, FRANCE</w:t>
            </w:r>
          </w:p>
        </w:tc>
        <w:tc>
          <w:tcPr>
            <w:tcW w:w="3140" w:type="dxa"/>
            <w:vAlign w:val="bottom"/>
          </w:tcPr>
          <w:p>
            <w:pPr>
              <w:jc w:val="center"/>
              <w:ind w:left="2021"/>
              <w:spacing w:after="0"/>
              <w:rPr>
                <w:sz w:val="20"/>
                <w:szCs w:val="20"/>
                <w:color w:val="auto"/>
              </w:rPr>
            </w:pPr>
            <w:r>
              <w:rPr>
                <w:rFonts w:ascii="Times New Roman" w:cs="Times New Roman" w:eastAsia="Times New Roman" w:hAnsi="Times New Roman"/>
                <w:sz w:val="18"/>
                <w:szCs w:val="18"/>
                <w:b w:val="1"/>
                <w:bCs w:val="1"/>
                <w:color w:val="auto"/>
                <w:w w:val="97"/>
              </w:rPr>
              <w:t>75007</w:t>
            </w:r>
          </w:p>
        </w:tc>
      </w:tr>
      <w:tr>
        <w:trPr>
          <w:trHeight w:val="418"/>
        </w:trPr>
        <w:tc>
          <w:tcPr>
            <w:tcW w:w="4540" w:type="dxa"/>
            <w:vAlign w:val="bottom"/>
          </w:tcPr>
          <w:p>
            <w:pPr>
              <w:jc w:val="center"/>
              <w:ind w:right="1998"/>
              <w:spacing w:after="0"/>
              <w:rPr>
                <w:sz w:val="20"/>
                <w:szCs w:val="20"/>
                <w:color w:val="auto"/>
              </w:rPr>
            </w:pPr>
            <w:r>
              <w:rPr>
                <w:rFonts w:ascii="Times New Roman" w:cs="Times New Roman" w:eastAsia="Times New Roman" w:hAnsi="Times New Roman"/>
                <w:sz w:val="18"/>
                <w:szCs w:val="18"/>
                <w:b w:val="1"/>
                <w:bCs w:val="1"/>
                <w:color w:val="auto"/>
                <w:w w:val="96"/>
              </w:rPr>
              <w:t>PARKSTRAAT 83</w:t>
            </w:r>
          </w:p>
        </w:tc>
        <w:tc>
          <w:tcPr>
            <w:tcW w:w="3140" w:type="dxa"/>
            <w:vAlign w:val="bottom"/>
          </w:tcPr>
          <w:p>
            <w:pPr>
              <w:spacing w:after="0"/>
              <w:rPr>
                <w:sz w:val="24"/>
                <w:szCs w:val="24"/>
                <w:color w:val="auto"/>
              </w:rPr>
            </w:pPr>
          </w:p>
        </w:tc>
      </w:tr>
      <w:tr>
        <w:trPr>
          <w:trHeight w:val="216"/>
        </w:trPr>
        <w:tc>
          <w:tcPr>
            <w:tcW w:w="4540" w:type="dxa"/>
            <w:vAlign w:val="bottom"/>
          </w:tcPr>
          <w:p>
            <w:pPr>
              <w:jc w:val="center"/>
              <w:ind w:right="1998"/>
              <w:spacing w:after="0"/>
              <w:rPr>
                <w:sz w:val="20"/>
                <w:szCs w:val="20"/>
                <w:color w:val="auto"/>
              </w:rPr>
            </w:pPr>
            <w:r>
              <w:rPr>
                <w:rFonts w:ascii="Times New Roman" w:cs="Times New Roman" w:eastAsia="Times New Roman" w:hAnsi="Times New Roman"/>
                <w:sz w:val="18"/>
                <w:szCs w:val="18"/>
                <w:b w:val="1"/>
                <w:bCs w:val="1"/>
                <w:color w:val="auto"/>
                <w:w w:val="97"/>
              </w:rPr>
              <w:t>THE HAGUE,</w:t>
            </w:r>
          </w:p>
        </w:tc>
        <w:tc>
          <w:tcPr>
            <w:tcW w:w="3140" w:type="dxa"/>
            <w:vAlign w:val="bottom"/>
          </w:tcPr>
          <w:p>
            <w:pPr>
              <w:spacing w:after="0"/>
              <w:rPr>
                <w:sz w:val="18"/>
                <w:szCs w:val="18"/>
                <w:color w:val="auto"/>
              </w:rPr>
            </w:pPr>
          </w:p>
        </w:tc>
      </w:tr>
      <w:tr>
        <w:trPr>
          <w:trHeight w:val="229"/>
        </w:trPr>
        <w:tc>
          <w:tcPr>
            <w:tcW w:w="4540" w:type="dxa"/>
            <w:vAlign w:val="bottom"/>
          </w:tcPr>
          <w:p>
            <w:pPr>
              <w:jc w:val="center"/>
              <w:ind w:right="1998"/>
              <w:spacing w:after="0"/>
              <w:rPr>
                <w:sz w:val="20"/>
                <w:szCs w:val="20"/>
                <w:color w:val="auto"/>
              </w:rPr>
            </w:pPr>
            <w:r>
              <w:rPr>
                <w:rFonts w:ascii="Times New Roman" w:cs="Times New Roman" w:eastAsia="Times New Roman" w:hAnsi="Times New Roman"/>
                <w:sz w:val="18"/>
                <w:szCs w:val="18"/>
                <w:b w:val="1"/>
                <w:bCs w:val="1"/>
                <w:color w:val="auto"/>
                <w:w w:val="96"/>
              </w:rPr>
              <w:t>THE NETHERLANDS</w:t>
            </w:r>
          </w:p>
        </w:tc>
        <w:tc>
          <w:tcPr>
            <w:tcW w:w="3140" w:type="dxa"/>
            <w:vAlign w:val="bottom"/>
          </w:tcPr>
          <w:p>
            <w:pPr>
              <w:jc w:val="center"/>
              <w:ind w:left="2001"/>
              <w:spacing w:after="0"/>
              <w:rPr>
                <w:sz w:val="20"/>
                <w:szCs w:val="20"/>
                <w:color w:val="auto"/>
              </w:rPr>
            </w:pPr>
            <w:r>
              <w:rPr>
                <w:rFonts w:ascii="Times New Roman" w:cs="Times New Roman" w:eastAsia="Times New Roman" w:hAnsi="Times New Roman"/>
                <w:sz w:val="18"/>
                <w:szCs w:val="18"/>
                <w:b w:val="1"/>
                <w:bCs w:val="1"/>
                <w:color w:val="auto"/>
                <w:w w:val="97"/>
              </w:rPr>
              <w:t>2514 JG</w:t>
            </w:r>
          </w:p>
        </w:tc>
      </w:tr>
      <w:tr>
        <w:trPr>
          <w:trHeight w:val="178"/>
        </w:trPr>
        <w:tc>
          <w:tcPr>
            <w:tcW w:w="4540" w:type="dxa"/>
            <w:vAlign w:val="bottom"/>
          </w:tcPr>
          <w:p>
            <w:pPr>
              <w:jc w:val="center"/>
              <w:ind w:right="1998"/>
              <w:spacing w:after="0"/>
              <w:rPr>
                <w:sz w:val="20"/>
                <w:szCs w:val="20"/>
                <w:color w:val="auto"/>
              </w:rPr>
            </w:pPr>
            <w:r>
              <w:rPr>
                <w:rFonts w:ascii="Times New Roman" w:cs="Times New Roman" w:eastAsia="Times New Roman" w:hAnsi="Times New Roman"/>
                <w:sz w:val="14"/>
                <w:szCs w:val="14"/>
                <w:b w:val="1"/>
                <w:bCs w:val="1"/>
                <w:color w:val="auto"/>
                <w:w w:val="96"/>
              </w:rPr>
              <w:t>(Addresses of principal executive offices)</w:t>
            </w:r>
          </w:p>
        </w:tc>
        <w:tc>
          <w:tcPr>
            <w:tcW w:w="3140" w:type="dxa"/>
            <w:vAlign w:val="bottom"/>
          </w:tcPr>
          <w:p>
            <w:pPr>
              <w:jc w:val="center"/>
              <w:ind w:left="2021"/>
              <w:spacing w:after="0"/>
              <w:rPr>
                <w:sz w:val="20"/>
                <w:szCs w:val="20"/>
                <w:color w:val="auto"/>
              </w:rPr>
            </w:pPr>
            <w:r>
              <w:rPr>
                <w:rFonts w:ascii="Times New Roman" w:cs="Times New Roman" w:eastAsia="Times New Roman" w:hAnsi="Times New Roman"/>
                <w:sz w:val="14"/>
                <w:szCs w:val="14"/>
                <w:b w:val="1"/>
                <w:bCs w:val="1"/>
                <w:color w:val="auto"/>
                <w:w w:val="96"/>
              </w:rPr>
              <w:t>(Zip Codes)</w:t>
            </w:r>
          </w:p>
        </w:tc>
      </w:tr>
    </w:tbl>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Registrant’s telephone number: (713) 513-2000</w:t>
      </w:r>
    </w:p>
    <w:p>
      <w:pPr>
        <w:spacing w:after="0" w:line="92" w:lineRule="exact"/>
        <w:rPr>
          <w:sz w:val="24"/>
          <w:szCs w:val="24"/>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2" w:lineRule="exact"/>
        <w:rPr>
          <w:sz w:val="24"/>
          <w:szCs w:val="24"/>
          <w:color w:val="auto"/>
        </w:rPr>
      </w:pPr>
    </w:p>
    <w:p>
      <w:pPr>
        <w:ind w:left="4900"/>
        <w:spacing w:after="0" w:line="207" w:lineRule="exact"/>
        <w:tabs>
          <w:tab w:leader="none" w:pos="60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71" w:lineRule="exact"/>
        <w:rPr>
          <w:sz w:val="24"/>
          <w:szCs w:val="24"/>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2" w:lineRule="exact"/>
        <w:rPr>
          <w:sz w:val="24"/>
          <w:szCs w:val="24"/>
          <w:color w:val="auto"/>
        </w:rPr>
      </w:pPr>
    </w:p>
    <w:p>
      <w:pPr>
        <w:ind w:left="1060"/>
        <w:spacing w:after="0" w:line="207" w:lineRule="exact"/>
        <w:tabs>
          <w:tab w:leader="none" w:pos="5140" w:val="left"/>
          <w:tab w:leader="none" w:pos="87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64" w:lineRule="exact"/>
        <w:rPr>
          <w:sz w:val="24"/>
          <w:szCs w:val="24"/>
          <w:color w:val="auto"/>
        </w:rPr>
      </w:pPr>
    </w:p>
    <w:p>
      <w:pPr>
        <w:ind w:left="4900"/>
        <w:spacing w:after="0" w:line="207" w:lineRule="exact"/>
        <w:tabs>
          <w:tab w:leader="none" w:pos="60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jc w:val="center"/>
              <w:ind w:right="622"/>
              <w:spacing w:after="0"/>
              <w:rPr>
                <w:sz w:val="20"/>
                <w:szCs w:val="20"/>
                <w:color w:val="auto"/>
              </w:rPr>
            </w:pPr>
            <w:r>
              <w:rPr>
                <w:rFonts w:ascii="Times New Roman" w:cs="Times New Roman" w:eastAsia="Times New Roman" w:hAnsi="Times New Roman"/>
                <w:sz w:val="14"/>
                <w:szCs w:val="14"/>
                <w:b w:val="1"/>
                <w:bCs w:val="1"/>
                <w:color w:val="auto"/>
                <w:w w:val="93"/>
              </w:rPr>
              <w:t>Class</w:t>
            </w:r>
          </w:p>
        </w:tc>
        <w:tc>
          <w:tcPr>
            <w:tcW w:w="510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6"/>
              </w:rPr>
              <w:t>Outstanding at June 30, 2007</w:t>
            </w:r>
          </w:p>
        </w:tc>
      </w:tr>
      <w:tr>
        <w:trPr>
          <w:trHeight w:val="228"/>
        </w:trPr>
        <w:tc>
          <w:tcPr>
            <w:tcW w:w="6320" w:type="dxa"/>
            <w:vAlign w:val="bottom"/>
          </w:tcPr>
          <w:p>
            <w:pPr>
              <w:jc w:val="center"/>
              <w:ind w:right="602"/>
              <w:spacing w:after="0"/>
              <w:rPr>
                <w:sz w:val="20"/>
                <w:szCs w:val="20"/>
                <w:color w:val="auto"/>
              </w:rPr>
            </w:pPr>
            <w:r>
              <w:rPr>
                <w:rFonts w:ascii="Times New Roman" w:cs="Times New Roman" w:eastAsia="Times New Roman" w:hAnsi="Times New Roman"/>
                <w:sz w:val="18"/>
                <w:szCs w:val="18"/>
                <w:color w:val="auto"/>
                <w:w w:val="96"/>
              </w:rPr>
              <w:t>COMMON STOCK, $0.01 PAR VALUE PER SHARE</w:t>
            </w:r>
          </w:p>
        </w:tc>
        <w:tc>
          <w:tcPr>
            <w:tcW w:w="5100" w:type="dxa"/>
            <w:vAlign w:val="bottom"/>
          </w:tcPr>
          <w:p>
            <w:pPr>
              <w:jc w:val="right"/>
              <w:ind w:right="2102"/>
              <w:spacing w:after="0"/>
              <w:rPr>
                <w:sz w:val="20"/>
                <w:szCs w:val="20"/>
                <w:color w:val="auto"/>
              </w:rPr>
            </w:pPr>
            <w:r>
              <w:rPr>
                <w:rFonts w:ascii="Times New Roman" w:cs="Times New Roman" w:eastAsia="Times New Roman" w:hAnsi="Times New Roman"/>
                <w:sz w:val="18"/>
                <w:szCs w:val="18"/>
                <w:color w:val="auto"/>
              </w:rPr>
              <w:t>1,192,062,611</w:t>
            </w:r>
          </w:p>
        </w:tc>
      </w:tr>
      <w:tr>
        <w:trPr>
          <w:trHeight w:val="282"/>
        </w:trPr>
        <w:tc>
          <w:tcPr>
            <w:tcW w:w="63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392" w:right="239" w:bottom="1440" w:gutter="0" w:footer="0" w:header="0"/>
          <w:type w:val="continuous"/>
        </w:sectPr>
      </w:pPr>
    </w:p>
    <w:bookmarkStart w:id="1" w:name="page2"/>
    <w:bookmarkEnd w:id="1"/>
    <w:p>
      <w:pPr>
        <w:ind w:left="4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17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Quarter 2007 Form 10-Q</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660" w:type="dxa"/>
            <w:vAlign w:val="bottom"/>
            <w:gridSpan w:val="6"/>
            <w:vMerge w:val="restart"/>
          </w:tcPr>
          <w:p>
            <w:pPr>
              <w:spacing w:after="0"/>
              <w:rPr>
                <w:rFonts w:ascii="Times New Roman" w:cs="Times New Roman" w:eastAsia="Times New Roman" w:hAnsi="Times New Roman"/>
                <w:sz w:val="18"/>
                <w:szCs w:val="18"/>
                <w:b w:val="1"/>
                <w:bCs w:val="1"/>
                <w:color w:val="0000EE"/>
                <w:w w:val="96"/>
              </w:rPr>
            </w:pPr>
            <w:hyperlink w:anchor="page3">
              <w:r>
                <w:rPr>
                  <w:rFonts w:ascii="Times New Roman" w:cs="Times New Roman" w:eastAsia="Times New Roman" w:hAnsi="Times New Roman"/>
                  <w:sz w:val="18"/>
                  <w:szCs w:val="18"/>
                  <w:b w:val="1"/>
                  <w:bCs w:val="1"/>
                  <w:color w:val="0000EE"/>
                  <w:w w:val="96"/>
                </w:rPr>
                <w:t>Financial Information</w:t>
              </w:r>
            </w:hyperlink>
          </w:p>
        </w:tc>
        <w:tc>
          <w:tcPr>
            <w:tcW w:w="8360" w:type="dxa"/>
            <w:vAlign w:val="bottom"/>
            <w:gridSpan w:val="7"/>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174"/>
        </w:trPr>
        <w:tc>
          <w:tcPr>
            <w:tcW w:w="1120" w:type="dxa"/>
            <w:vAlign w:val="bottom"/>
            <w:vMerge w:val="continue"/>
          </w:tcPr>
          <w:p>
            <w:pPr>
              <w:spacing w:after="0"/>
              <w:rPr>
                <w:sz w:val="14"/>
                <w:szCs w:val="14"/>
                <w:color w:val="auto"/>
              </w:rPr>
            </w:pPr>
          </w:p>
        </w:tc>
        <w:tc>
          <w:tcPr>
            <w:tcW w:w="1660" w:type="dxa"/>
            <w:vAlign w:val="bottom"/>
            <w:tcBorders>
              <w:bottom w:val="single" w:sz="8" w:color="0000EE"/>
            </w:tcBorders>
            <w:gridSpan w:val="6"/>
            <w:vMerge w:val="continue"/>
          </w:tcPr>
          <w:p>
            <w:pPr>
              <w:spacing w:after="0"/>
              <w:rPr>
                <w:sz w:val="14"/>
                <w:szCs w:val="14"/>
                <w:color w:val="auto"/>
              </w:rPr>
            </w:pPr>
          </w:p>
        </w:tc>
        <w:tc>
          <w:tcPr>
            <w:tcW w:w="83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0020" w:type="dxa"/>
            <w:vAlign w:val="bottom"/>
            <w:gridSpan w:val="13"/>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19">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37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2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6"/>
              </w:rPr>
            </w:pPr>
            <w:hyperlink w:anchor="page27">
              <w:r>
                <w:rPr>
                  <w:rFonts w:ascii="Times New Roman" w:cs="Times New Roman" w:eastAsia="Times New Roman" w:hAnsi="Times New Roman"/>
                  <w:sz w:val="18"/>
                  <w:szCs w:val="18"/>
                  <w:color w:val="0000EE"/>
                  <w:w w:val="96"/>
                </w:rPr>
                <w:t>Quantitative and Qualitative Disclosures about Market Risk</w:t>
              </w:r>
            </w:hyperlink>
          </w:p>
        </w:tc>
        <w:tc>
          <w:tcPr>
            <w:tcW w:w="58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0020" w:type="dxa"/>
            <w:vAlign w:val="bottom"/>
            <w:gridSpan w:val="13"/>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20" w:type="dxa"/>
            <w:vAlign w:val="bottom"/>
            <w:tcBorders>
              <w:top w:val="single" w:sz="8" w:color="0000EE"/>
            </w:tcBorders>
            <w:gridSpan w:val="7"/>
          </w:tcPr>
          <w:p>
            <w:pPr>
              <w:spacing w:after="0"/>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Other Information</w:t>
              </w:r>
            </w:hyperlink>
          </w:p>
        </w:tc>
        <w:tc>
          <w:tcPr>
            <w:tcW w:w="83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5"/>
              </w:rPr>
            </w:pPr>
            <w:hyperlink w:anchor="page28">
              <w:r>
                <w:rPr>
                  <w:rFonts w:ascii="Times New Roman" w:cs="Times New Roman" w:eastAsia="Times New Roman" w:hAnsi="Times New Roman"/>
                  <w:sz w:val="18"/>
                  <w:szCs w:val="18"/>
                  <w:color w:val="0000EE"/>
                  <w:w w:val="95"/>
                </w:rPr>
                <w:t>Legal Proceedings</w:t>
              </w:r>
            </w:hyperlink>
          </w:p>
        </w:tc>
        <w:tc>
          <w:tcPr>
            <w:tcW w:w="160" w:type="dxa"/>
            <w:vAlign w:val="bottom"/>
            <w:tcBorders>
              <w:top w:val="single" w:sz="8" w:color="0000EE"/>
            </w:tcBorders>
          </w:tcPr>
          <w:p>
            <w:pPr>
              <w:spacing w:after="0"/>
              <w:rPr>
                <w:sz w:val="17"/>
                <w:szCs w:val="17"/>
                <w:color w:val="auto"/>
              </w:rPr>
            </w:pPr>
          </w:p>
        </w:tc>
        <w:tc>
          <w:tcPr>
            <w:tcW w:w="85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w:anchor="page28">
              <w:r>
                <w:rPr>
                  <w:rFonts w:ascii="Times New Roman" w:cs="Times New Roman" w:eastAsia="Times New Roman" w:hAnsi="Times New Roman"/>
                  <w:sz w:val="18"/>
                  <w:szCs w:val="18"/>
                  <w:color w:val="0000EE"/>
                  <w:w w:val="94"/>
                </w:rPr>
                <w:t>Risk Factors</w:t>
              </w:r>
            </w:hyperlink>
          </w:p>
        </w:tc>
        <w:tc>
          <w:tcPr>
            <w:tcW w:w="91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2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Unregistered Sales of Equity Securities and Use of Proceeds</w:t>
              </w:r>
            </w:hyperlink>
          </w:p>
        </w:tc>
        <w:tc>
          <w:tcPr>
            <w:tcW w:w="5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2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w:anchor="page31">
              <w:r>
                <w:rPr>
                  <w:rFonts w:ascii="Times New Roman" w:cs="Times New Roman" w:eastAsia="Times New Roman" w:hAnsi="Times New Roman"/>
                  <w:sz w:val="18"/>
                  <w:szCs w:val="18"/>
                  <w:color w:val="0000EE"/>
                  <w:w w:val="96"/>
                </w:rPr>
                <w:t>Default Upon Senior Securities</w:t>
              </w:r>
            </w:hyperlink>
          </w:p>
        </w:tc>
        <w:tc>
          <w:tcPr>
            <w:tcW w:w="78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0020" w:type="dxa"/>
            <w:vAlign w:val="bottom"/>
            <w:gridSpan w:val="13"/>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2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5"/>
              </w:rPr>
            </w:pPr>
            <w:hyperlink w:anchor="page31">
              <w:r>
                <w:rPr>
                  <w:rFonts w:ascii="Times New Roman" w:cs="Times New Roman" w:eastAsia="Times New Roman" w:hAnsi="Times New Roman"/>
                  <w:sz w:val="18"/>
                  <w:szCs w:val="18"/>
                  <w:color w:val="0000EE"/>
                  <w:w w:val="95"/>
                </w:rPr>
                <w:t>Other Information</w:t>
              </w:r>
            </w:hyperlink>
          </w:p>
        </w:tc>
        <w:tc>
          <w:tcPr>
            <w:tcW w:w="2380" w:type="dxa"/>
            <w:vAlign w:val="bottom"/>
            <w:tcBorders>
              <w:top w:val="single" w:sz="8" w:color="0000EE"/>
            </w:tcBorders>
            <w:gridSpan w:val="6"/>
          </w:tcPr>
          <w:p>
            <w:pPr>
              <w:spacing w:after="0"/>
              <w:rPr>
                <w:sz w:val="17"/>
                <w:szCs w:val="17"/>
                <w:color w:val="auto"/>
              </w:rPr>
            </w:pPr>
          </w:p>
        </w:tc>
        <w:tc>
          <w:tcPr>
            <w:tcW w:w="63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0020" w:type="dxa"/>
            <w:vAlign w:val="bottom"/>
            <w:gridSpan w:val="13"/>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Exhibits</w:t>
              </w:r>
            </w:hyperlink>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83"/>
        </w:trPr>
        <w:tc>
          <w:tcPr>
            <w:tcW w:w="1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720" w:type="dxa"/>
            <w:vAlign w:val="bottom"/>
            <w:gridSpan w:val="11"/>
          </w:tcPr>
          <w:p>
            <w:pPr>
              <w:jc w:val="right"/>
              <w:ind w:right="1660"/>
              <w:spacing w:after="0"/>
              <w:rPr>
                <w:sz w:val="20"/>
                <w:szCs w:val="20"/>
                <w:color w:val="auto"/>
              </w:rPr>
            </w:pPr>
            <w:r>
              <w:rPr>
                <w:rFonts w:ascii="Times New Roman" w:cs="Times New Roman" w:eastAsia="Times New Roman" w:hAnsi="Times New Roman"/>
                <w:sz w:val="18"/>
                <w:szCs w:val="18"/>
                <w:color w:val="auto"/>
              </w:rPr>
              <w:t>2</w:t>
            </w: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00" w:type="dxa"/>
            <w:vAlign w:val="bottom"/>
            <w:gridSpan w:val="4"/>
          </w:tcPr>
          <w:p>
            <w:pPr>
              <w:jc w:val="center"/>
              <w:ind w:left="612"/>
              <w:spacing w:after="0"/>
              <w:rPr>
                <w:sz w:val="20"/>
                <w:szCs w:val="20"/>
                <w:color w:val="auto"/>
              </w:rPr>
            </w:pPr>
            <w:r>
              <w:rPr>
                <w:rFonts w:ascii="Times New Roman" w:cs="Times New Roman" w:eastAsia="Times New Roman" w:hAnsi="Times New Roman"/>
                <w:sz w:val="18"/>
                <w:szCs w:val="18"/>
                <w:b w:val="1"/>
                <w:bCs w:val="1"/>
                <w:color w:val="auto"/>
                <w:w w:val="96"/>
              </w:rPr>
              <w:t>PART I. FINANCIAL INFORMATION</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400" w:type="dxa"/>
            <w:vAlign w:val="bottom"/>
            <w:gridSpan w:val="4"/>
          </w:tcPr>
          <w:p>
            <w:pPr>
              <w:jc w:val="center"/>
              <w:ind w:left="612"/>
              <w:spacing w:after="0"/>
              <w:rPr>
                <w:sz w:val="20"/>
                <w:szCs w:val="20"/>
                <w:color w:val="auto"/>
              </w:rPr>
            </w:pPr>
            <w:r>
              <w:rPr>
                <w:rFonts w:ascii="Times New Roman" w:cs="Times New Roman" w:eastAsia="Times New Roman" w:hAnsi="Times New Roman"/>
                <w:sz w:val="18"/>
                <w:szCs w:val="18"/>
                <w:b w:val="1"/>
                <w:bCs w:val="1"/>
                <w:color w:val="auto"/>
                <w:w w:val="97"/>
              </w:rPr>
              <w:t>SCHLUMBERGER LIMITED</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960" w:type="dxa"/>
            <w:vAlign w:val="bottom"/>
            <w:gridSpan w:val="8"/>
          </w:tcPr>
          <w:p>
            <w:pPr>
              <w:jc w:val="center"/>
              <w:ind w:right="772"/>
              <w:spacing w:after="0"/>
              <w:rPr>
                <w:sz w:val="20"/>
                <w:szCs w:val="20"/>
                <w:color w:val="auto"/>
              </w:rPr>
            </w:pPr>
            <w:r>
              <w:rPr>
                <w:rFonts w:ascii="Times New Roman" w:cs="Times New Roman" w:eastAsia="Times New Roman" w:hAnsi="Times New Roman"/>
                <w:sz w:val="18"/>
                <w:szCs w:val="18"/>
                <w:b w:val="1"/>
                <w:bCs w:val="1"/>
                <w:color w:val="auto"/>
                <w:w w:val="97"/>
              </w:rPr>
              <w:t>(Schlumberger N.V., Incorporated in the Netherlands Antilles)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jc w:val="center"/>
              <w:ind w:left="1412"/>
              <w:spacing w:after="0"/>
              <w:rPr>
                <w:sz w:val="20"/>
                <w:szCs w:val="20"/>
                <w:color w:val="auto"/>
              </w:rPr>
            </w:pPr>
            <w:r>
              <w:rPr>
                <w:rFonts w:ascii="Times New Roman" w:cs="Times New Roman" w:eastAsia="Times New Roman" w:hAnsi="Times New Roman"/>
                <w:sz w:val="18"/>
                <w:szCs w:val="18"/>
                <w:b w:val="1"/>
                <w:bCs w:val="1"/>
                <w:color w:val="auto"/>
                <w:w w:val="97"/>
              </w:rPr>
              <w:t>and Subsidiary Companies</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400" w:type="dxa"/>
            <w:vAlign w:val="bottom"/>
            <w:gridSpan w:val="4"/>
          </w:tcPr>
          <w:p>
            <w:pPr>
              <w:jc w:val="center"/>
              <w:ind w:left="632"/>
              <w:spacing w:after="0"/>
              <w:rPr>
                <w:sz w:val="20"/>
                <w:szCs w:val="20"/>
                <w:color w:val="auto"/>
              </w:rPr>
            </w:pPr>
            <w:r>
              <w:rPr>
                <w:rFonts w:ascii="Times New Roman" w:cs="Times New Roman" w:eastAsia="Times New Roman" w:hAnsi="Times New Roman"/>
                <w:sz w:val="18"/>
                <w:szCs w:val="18"/>
                <w:b w:val="1"/>
                <w:bCs w:val="1"/>
                <w:color w:val="auto"/>
                <w:w w:val="96"/>
              </w:rPr>
              <w:t>CONSOLIDATED STATEMENT OF INCOME</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600" w:type="dxa"/>
            <w:vAlign w:val="bottom"/>
            <w:gridSpan w:val="2"/>
          </w:tcPr>
          <w:p>
            <w:pPr>
              <w:jc w:val="center"/>
              <w:ind w:left="141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40" w:type="dxa"/>
            <w:vAlign w:val="bottom"/>
          </w:tcPr>
          <w:p>
            <w:pPr>
              <w:spacing w:after="0"/>
              <w:rPr>
                <w:sz w:val="24"/>
                <w:szCs w:val="24"/>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except</w:t>
            </w: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1"/>
              </w:rPr>
              <w:t>(Stated in thousands</w:t>
            </w:r>
          </w:p>
        </w:tc>
        <w:tc>
          <w:tcPr>
            <w:tcW w:w="420" w:type="dxa"/>
            <w:vAlign w:val="bottom"/>
            <w:vMerge w:val="continue"/>
          </w:tcPr>
          <w:p>
            <w:pPr>
              <w:spacing w:after="0"/>
              <w:rPr>
                <w:sz w:val="12"/>
                <w:szCs w:val="12"/>
                <w:color w:val="auto"/>
              </w:rPr>
            </w:pPr>
          </w:p>
        </w:tc>
        <w:tc>
          <w:tcPr>
            <w:tcW w:w="126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per share amounts)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6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5,638,762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4,686,775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11,103,167</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8,925,792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&amp; other income</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97,484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181,107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1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Cost of goods sold &amp; services</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3,736,871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3,251,926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7,359,215</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6,243,817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Research &amp; engineering</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174,679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341,777</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Marketing</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19,998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36,681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119,066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238,316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Interest</w:t>
            </w:r>
          </w:p>
        </w:tc>
        <w:tc>
          <w:tcPr>
            <w:tcW w:w="21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66,270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134,417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109,265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 and minority interest</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1,619,362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1,141,140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3,173,868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2,163,215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Taxes on income</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360,883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278,419</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734,562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535,070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minority interest</w:t>
            </w: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1,258,479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2,439,306</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1,628,145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Minority interest</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color w:val="auto"/>
              </w:rPr>
              <w:t>(5,821)</w:t>
            </w:r>
          </w:p>
        </w:tc>
        <w:tc>
          <w:tcPr>
            <w:tcW w:w="14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(48,734)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6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1,258,479</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856,900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2,439,306</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1,579,411</w:t>
            </w:r>
          </w:p>
        </w:tc>
        <w:tc>
          <w:tcPr>
            <w:tcW w:w="0" w:type="dxa"/>
            <w:vAlign w:val="bottom"/>
          </w:tcPr>
          <w:p>
            <w:pPr>
              <w:spacing w:after="0"/>
              <w:rPr>
                <w:sz w:val="1"/>
                <w:szCs w:val="1"/>
                <w:color w:val="auto"/>
              </w:rPr>
            </w:pPr>
          </w:p>
        </w:tc>
      </w:tr>
      <w:tr>
        <w:trPr>
          <w:trHeight w:val="20"/>
        </w:trPr>
        <w:tc>
          <w:tcPr>
            <w:tcW w:w="3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gridSpan w:val="3"/>
            <w:vMerge w:val="continue"/>
          </w:tcPr>
          <w:p>
            <w:pPr>
              <w:spacing w:after="0"/>
              <w:rPr>
                <w:sz w:val="18"/>
                <w:szCs w:val="18"/>
                <w:color w:val="auto"/>
              </w:rPr>
            </w:pPr>
          </w:p>
        </w:tc>
        <w:tc>
          <w:tcPr>
            <w:tcW w:w="34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88"/>
              </w:rPr>
              <w:t>1.06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216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1,184,243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1,184,357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1,181,348</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1,182,351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Assuming dilution</w:t>
            </w:r>
          </w:p>
        </w:tc>
        <w:tc>
          <w:tcPr>
            <w:tcW w:w="3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1,240,911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1,246,077</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1,237,814</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1,243,386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2007</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6"/>
              </w:rPr>
              <w:t>Dec. 31, 2006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3"/>
              <w:spacing w:after="0" w:line="125" w:lineRule="exact"/>
              <w:rPr>
                <w:sz w:val="20"/>
                <w:szCs w:val="20"/>
                <w:color w:val="auto"/>
              </w:rPr>
            </w:pPr>
            <w:r>
              <w:rPr>
                <w:rFonts w:ascii="Times New Roman" w:cs="Times New Roman" w:eastAsia="Times New Roman" w:hAnsi="Times New Roman"/>
                <w:sz w:val="14"/>
                <w:szCs w:val="14"/>
                <w:b w:val="1"/>
                <w:bCs w:val="1"/>
                <w:color w:val="auto"/>
                <w:w w:val="96"/>
              </w:rPr>
              <w:t>(Unaudited)</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(Stated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146,555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2,738,032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2,833,056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less allowance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(2007—$108,460; 2006—$114,654)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4,896,449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1,519,751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1,246,887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172,237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574,808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535,018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10,047,832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9,185,662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322,677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AFFILIATED COMPANIES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1,287,468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6,282,265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MULTICLIENT SEISMIC DATA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221,108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5,053,838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4,988,558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911,958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404,461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412,802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241,155</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24,772,762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22,832,138</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0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3,873,109</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3,848,017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liability for taxes on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912,824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Dividend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209,907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133,857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602,919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debentures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578,570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&amp; short-term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662,553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718,610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6,370,820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6,454,795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1,424,990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3,466,373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1,045,942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1,036,169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600,973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11,934,108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12,412,255</w:t>
            </w:r>
          </w:p>
        </w:tc>
        <w:tc>
          <w:tcPr>
            <w:tcW w:w="0" w:type="dxa"/>
            <w:vAlign w:val="bottom"/>
          </w:tcPr>
          <w:p>
            <w:pPr>
              <w:spacing w:after="0"/>
              <w:rPr>
                <w:sz w:val="1"/>
                <w:szCs w:val="1"/>
                <w:color w:val="auto"/>
              </w:rPr>
            </w:pPr>
          </w:p>
        </w:tc>
      </w:tr>
      <w:tr>
        <w:trPr>
          <w:trHeight w:val="221"/>
        </w:trPr>
        <w:tc>
          <w:tcPr>
            <w:tcW w:w="9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3,863,029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3,381,946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Income retained for use in the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13,143,026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11,118,479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at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(2,985,608)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(2,911,793)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(1,181,793)</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(1,168,749)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12,838,654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24,772,762</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22,832,138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2"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5"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3"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3" w:lineRule="exact"/>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(Stated</w:t>
            </w:r>
          </w:p>
        </w:tc>
        <w:tc>
          <w:tcPr>
            <w:tcW w:w="20" w:type="dxa"/>
            <w:vAlign w:val="bottom"/>
          </w:tcPr>
          <w:p>
            <w:pPr>
              <w:spacing w:after="0"/>
              <w:rPr>
                <w:sz w:val="12"/>
                <w:szCs w:val="12"/>
                <w:color w:val="auto"/>
              </w:rPr>
            </w:pPr>
          </w:p>
        </w:tc>
        <w:tc>
          <w:tcPr>
            <w:tcW w:w="1260" w:type="dxa"/>
            <w:vAlign w:val="bottom"/>
            <w:gridSpan w:val="4"/>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2,439,306</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1,579,411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860"/>
              <w:spacing w:after="0" w:line="216"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2"/>
                <w:szCs w:val="22"/>
                <w:color w:val="auto"/>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901,909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line="216" w:lineRule="exact"/>
              <w:rPr>
                <w:sz w:val="20"/>
                <w:szCs w:val="20"/>
                <w:color w:val="auto"/>
              </w:rPr>
            </w:pPr>
            <w:r>
              <w:rPr>
                <w:rFonts w:ascii="Times New Roman" w:cs="Times New Roman" w:eastAsia="Times New Roman" w:hAnsi="Times New Roman"/>
                <w:sz w:val="18"/>
                <w:szCs w:val="18"/>
                <w:color w:val="auto"/>
              </w:rPr>
              <w:t xml:space="preserve">Charges and credits, net of tax &amp; minority interest </w:t>
            </w:r>
            <w:r>
              <w:rPr>
                <w:rFonts w:ascii="Times New Roman" w:cs="Times New Roman" w:eastAsia="Times New Roman" w:hAnsi="Times New Roman"/>
                <w:sz w:val="22"/>
                <w:szCs w:val="22"/>
                <w:color w:val="auto"/>
                <w:vertAlign w:val="superscript"/>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Earnings of companies carried at equity, less dividends received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(76,588)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(23,910)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70,283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8,393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line="216" w:lineRule="exact"/>
              <w:rPr>
                <w:sz w:val="20"/>
                <w:szCs w:val="20"/>
                <w:color w:val="auto"/>
              </w:rPr>
            </w:pPr>
            <w:r>
              <w:rPr>
                <w:rFonts w:ascii="Times New Roman" w:cs="Times New Roman" w:eastAsia="Times New Roman" w:hAnsi="Times New Roman"/>
                <w:sz w:val="18"/>
                <w:szCs w:val="18"/>
                <w:color w:val="auto"/>
              </w:rPr>
              <w:t xml:space="preserve">Change in operating assets and liabilities </w:t>
            </w:r>
            <w:r>
              <w:rPr>
                <w:rFonts w:ascii="Times New Roman" w:cs="Times New Roman" w:eastAsia="Times New Roman" w:hAnsi="Times New Roman"/>
                <w:sz w:val="22"/>
                <w:szCs w:val="22"/>
                <w:color w:val="auto"/>
                <w:vertAlign w:val="superscript"/>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in receivables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(626,999)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Increase in 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(260,263)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in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(34,377)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Decrease in accounts payable and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(19,234)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Increase in estimated liability for taxes on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90,641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Increase in postretirement benefits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30,149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Other—net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(12,769)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2,486,541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1,799,542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Purchase of fixed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5"/>
              </w:rPr>
              <w:t>(1,294,521)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(1,017,639)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Multiclient seismic data capitalized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(122,222)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Capitalization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 of minority interest in WesternGeco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(2,405,817)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business acquisitions and related payments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(143,010)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Sale (purchases) of investments,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(72,372)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(124,400)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8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5"/>
              </w:rPr>
              <w:t>(1,756,525)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(2,245,183)</w:t>
            </w:r>
          </w:p>
        </w:tc>
        <w:tc>
          <w:tcPr>
            <w:tcW w:w="0" w:type="dxa"/>
            <w:vAlign w:val="bottom"/>
          </w:tcPr>
          <w:p>
            <w:pPr>
              <w:spacing w:after="0"/>
              <w:rPr>
                <w:sz w:val="1"/>
                <w:szCs w:val="1"/>
                <w:color w:val="auto"/>
              </w:rPr>
            </w:pPr>
          </w:p>
        </w:tc>
      </w:tr>
      <w:tr>
        <w:trPr>
          <w:trHeight w:val="222"/>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(353,573)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Distribution to joint venture partner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70,008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334,348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Stock repurchase program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(504,677)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198,136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(469,061)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Net (decrease) increase in short-term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(76,970)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52,160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(749,629)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before translation effect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(19,613)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Translation effect on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165,817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146,555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0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Includes multiclient seismic data costs.</w:t>
      </w:r>
    </w:p>
    <w:p>
      <w:pPr>
        <w:spacing w:after="0" w:line="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(2)</w:t>
        <w:tab/>
        <w:t>See Note 3—</w:t>
      </w:r>
      <w:r>
        <w:rPr>
          <w:rFonts w:ascii="Times New Roman" w:cs="Times New Roman" w:eastAsia="Times New Roman" w:hAnsi="Times New Roman"/>
          <w:sz w:val="18"/>
          <w:szCs w:val="18"/>
          <w:i w:val="1"/>
          <w:iCs w:val="1"/>
          <w:color w:val="auto"/>
        </w:rPr>
        <w:t>Charges and Credits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(3)</w:t>
        <w:tab/>
        <w:t>Net of the effect of business acquisitions.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2"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20" w:type="dxa"/>
            <w:vAlign w:val="bottom"/>
            <w:gridSpan w:val="9"/>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w w:val="98"/>
              </w:rPr>
              <w:t>Accumulated Other Comprehensive Income (Loss)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240" w:type="dxa"/>
            <w:vAlign w:val="bottom"/>
            <w:gridSpan w:val="5"/>
            <w:vMerge w:val="restart"/>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Marked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3880" w:type="dxa"/>
            <w:vAlign w:val="bottom"/>
          </w:tcPr>
          <w:p>
            <w:pPr>
              <w:spacing w:after="0"/>
              <w:rPr>
                <w:sz w:val="7"/>
                <w:szCs w:val="7"/>
                <w:color w:val="auto"/>
              </w:rPr>
            </w:pPr>
          </w:p>
        </w:tc>
        <w:tc>
          <w:tcPr>
            <w:tcW w:w="2240" w:type="dxa"/>
            <w:vAlign w:val="bottom"/>
            <w:gridSpan w:val="5"/>
            <w:vMerge w:val="continue"/>
          </w:tcPr>
          <w:p>
            <w:pPr>
              <w:spacing w:after="0"/>
              <w:rPr>
                <w:sz w:val="7"/>
                <w:szCs w:val="7"/>
                <w:color w:val="auto"/>
              </w:rPr>
            </w:pPr>
          </w:p>
        </w:tc>
        <w:tc>
          <w:tcPr>
            <w:tcW w:w="1060" w:type="dxa"/>
            <w:vAlign w:val="bottom"/>
            <w:gridSpan w:val="2"/>
            <w:vMerge w:val="restart"/>
          </w:tcPr>
          <w:p>
            <w:pPr>
              <w:jc w:val="right"/>
              <w:ind w:right="278"/>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7"/>
                <w:szCs w:val="7"/>
                <w:color w:val="auto"/>
              </w:rPr>
            </w:pPr>
          </w:p>
        </w:tc>
        <w:tc>
          <w:tcPr>
            <w:tcW w:w="76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85"/>
              </w:rPr>
              <w:t>to</w:t>
            </w:r>
          </w:p>
        </w:tc>
        <w:tc>
          <w:tcPr>
            <w:tcW w:w="120" w:type="dxa"/>
            <w:vAlign w:val="bottom"/>
          </w:tcPr>
          <w:p>
            <w:pPr>
              <w:spacing w:after="0"/>
              <w:rPr>
                <w:sz w:val="7"/>
                <w:szCs w:val="7"/>
                <w:color w:val="auto"/>
              </w:rPr>
            </w:pPr>
          </w:p>
        </w:tc>
        <w:tc>
          <w:tcPr>
            <w:tcW w:w="1160" w:type="dxa"/>
            <w:vAlign w:val="bottom"/>
            <w:gridSpan w:val="3"/>
            <w:vMerge w:val="restart"/>
          </w:tcPr>
          <w:p>
            <w:pPr>
              <w:jc w:val="right"/>
              <w:ind w:right="218"/>
              <w:spacing w:after="0" w:line="149" w:lineRule="exact"/>
              <w:rPr>
                <w:sz w:val="20"/>
                <w:szCs w:val="20"/>
                <w:color w:val="auto"/>
              </w:rPr>
            </w:pPr>
            <w:r>
              <w:rPr>
                <w:rFonts w:ascii="Times New Roman" w:cs="Times New Roman" w:eastAsia="Times New Roman" w:hAnsi="Times New Roman"/>
                <w:sz w:val="14"/>
                <w:szCs w:val="14"/>
                <w:b w:val="1"/>
                <w:bCs w:val="1"/>
                <w:color w:val="auto"/>
                <w:w w:val="93"/>
              </w:rPr>
              <w:t>Postretirement</w:t>
            </w:r>
          </w:p>
        </w:tc>
        <w:tc>
          <w:tcPr>
            <w:tcW w:w="1040" w:type="dxa"/>
            <w:vAlign w:val="bottom"/>
            <w:gridSpan w:val="2"/>
            <w:vMerge w:val="restart"/>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Translation</w:t>
            </w:r>
          </w:p>
        </w:tc>
        <w:tc>
          <w:tcPr>
            <w:tcW w:w="102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44"/>
        </w:trPr>
        <w:tc>
          <w:tcPr>
            <w:tcW w:w="388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3"/>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80" w:type="dxa"/>
            <w:vAlign w:val="bottom"/>
          </w:tcPr>
          <w:p>
            <w:pPr>
              <w:spacing w:after="0"/>
              <w:rPr>
                <w:sz w:val="15"/>
                <w:szCs w:val="15"/>
                <w:color w:val="auto"/>
              </w:rPr>
            </w:pPr>
          </w:p>
        </w:tc>
        <w:tc>
          <w:tcPr>
            <w:tcW w:w="8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80" w:type="dxa"/>
            <w:vAlign w:val="bottom"/>
          </w:tcPr>
          <w:p>
            <w:pPr>
              <w:spacing w:after="0"/>
              <w:rPr>
                <w:sz w:val="15"/>
                <w:szCs w:val="15"/>
                <w:color w:val="auto"/>
              </w:rPr>
            </w:pPr>
          </w:p>
        </w:tc>
        <w:tc>
          <w:tcPr>
            <w:tcW w:w="9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Market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Adjustment</w:t>
            </w:r>
          </w:p>
        </w:tc>
        <w:tc>
          <w:tcPr>
            <w:tcW w:w="300" w:type="dxa"/>
            <w:vAlign w:val="bottom"/>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70"/>
              </w:rPr>
              <w:t>(Stated</w:t>
            </w:r>
          </w:p>
        </w:tc>
        <w:tc>
          <w:tcPr>
            <w:tcW w:w="1020" w:type="dxa"/>
            <w:vAlign w:val="bottom"/>
            <w:gridSpan w:val="4"/>
          </w:tcPr>
          <w:p>
            <w:pPr>
              <w:jc w:val="right"/>
              <w:ind w:right="4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2007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$ 3,381,946</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 (2,911,793)</w:t>
            </w:r>
          </w:p>
        </w:tc>
        <w:tc>
          <w:tcPr>
            <w:tcW w:w="10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95"/>
              </w:rPr>
              <w:t>$ 11,118,479</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$ 20,712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(401,648)</w:t>
            </w:r>
          </w:p>
        </w:tc>
        <w:tc>
          <w:tcPr>
            <w:tcW w:w="104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2"/>
              </w:rPr>
              <w:t>$ (787,813)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3,877,035</w:t>
            </w:r>
          </w:p>
        </w:tc>
        <w:tc>
          <w:tcPr>
            <w:tcW w:w="0" w:type="dxa"/>
            <w:vAlign w:val="bottom"/>
          </w:tcPr>
          <w:p>
            <w:pPr>
              <w:spacing w:after="0"/>
              <w:rPr>
                <w:sz w:val="1"/>
                <w:szCs w:val="1"/>
                <w:color w:val="auto"/>
              </w:rPr>
            </w:pPr>
          </w:p>
        </w:tc>
      </w:tr>
      <w:tr>
        <w:trPr>
          <w:trHeight w:val="222"/>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2,439,306</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2,439,306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marked to market, net of tax</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(4,063)</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(14,660)</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(14,660)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 net of tax</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(6,485)</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(6,485)</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actuarial net loss, net of tax</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98"/>
              <w:spacing w:after="0"/>
              <w:rPr>
                <w:sz w:val="20"/>
                <w:szCs w:val="20"/>
                <w:color w:val="auto"/>
              </w:rPr>
            </w:pPr>
            <w:r>
              <w:rPr>
                <w:rFonts w:ascii="Times New Roman" w:cs="Times New Roman" w:eastAsia="Times New Roman" w:hAnsi="Times New Roman"/>
                <w:sz w:val="18"/>
                <w:szCs w:val="18"/>
                <w:color w:val="auto"/>
              </w:rPr>
              <w:t>16,254</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16,254</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(4,090)</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(4,090)</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(414,759)</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repurchase plan</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(504,677)</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39,943</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Proceeds from shares sold to optionees, less shares</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exchanged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146,475</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187,873</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Shares granted to directors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cost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on conversion of debentures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172,599</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223,821</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benefits on stock options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Balance, June 30, 2007</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3,863,029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(2,985,608</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$ 13,143,026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$ 16,649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(395,969</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 (802,473</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2,426,262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2"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COMMON STOCK</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3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220" w:type="dxa"/>
            <w:vAlign w:val="bottom"/>
          </w:tcPr>
          <w:p>
            <w:pPr>
              <w:spacing w:after="0"/>
              <w:rPr>
                <w:sz w:val="14"/>
                <w:szCs w:val="14"/>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300" w:type="dxa"/>
            <w:vAlign w:val="bottom"/>
          </w:tcPr>
          <w:p>
            <w:pPr>
              <w:spacing w:after="0"/>
              <w:rPr>
                <w:sz w:val="14"/>
                <w:szCs w:val="14"/>
                <w:color w:val="auto"/>
              </w:rPr>
            </w:pPr>
          </w:p>
        </w:tc>
        <w:tc>
          <w:tcPr>
            <w:tcW w:w="13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2007</w:t>
            </w:r>
          </w:p>
        </w:tc>
        <w:tc>
          <w:tcPr>
            <w:tcW w:w="1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1,334,212,164</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(156,318,705)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1,177,893,459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5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1,007,211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repurchase plan</w:t>
            </w:r>
          </w:p>
        </w:tc>
        <w:tc>
          <w:tcPr>
            <w:tcW w:w="15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(7,380,700)</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(7,380,700)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Shares sold to optionees, less shares exchanged</w:t>
            </w:r>
          </w:p>
        </w:tc>
        <w:tc>
          <w:tcPr>
            <w:tcW w:w="15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9,561,242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9,561,242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granted to directors</w:t>
            </w:r>
          </w:p>
        </w:tc>
        <w:tc>
          <w:tcPr>
            <w:tcW w:w="15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20,000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on conversion of debentures</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10,961,399</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2007</w:t>
            </w:r>
          </w:p>
        </w:tc>
        <w:tc>
          <w:tcPr>
            <w:tcW w:w="1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4"/>
              </w:rPr>
              <w:t>1,334,212,164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(142,149,553)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1,192,062,611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2"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7"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The accompanying unaudited consolidated financial statements, which include the accounts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six-month period ended June 30, 2007 are not necessarily indicative of the results that may be expected for the full year ending December 31, 2007. The December 31, 2006 balance sheet information has been derived from the audited 2006 financial statements. For further information, refer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and notes thereto, included in the Schlumberger Annual Report on Form 10-K for the fiscal year ended December 31, 2006, filed with the Securities and Exchange Commission on February 16, 2007.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items from the prior year have been reclassified to conform to the current year presentation.</w:t>
      </w:r>
    </w:p>
    <w:p>
      <w:pPr>
        <w:spacing w:after="0" w:line="291"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from basic earnings per share to diluted earnings per share: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2007</w:t>
            </w: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347"/>
              <w:spacing w:after="0"/>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20" w:type="dxa"/>
            <w:vAlign w:val="bottom"/>
          </w:tcPr>
          <w:p>
            <w:pPr>
              <w:spacing w:after="0"/>
              <w:rPr>
                <w:sz w:val="12"/>
                <w:szCs w:val="12"/>
                <w:color w:val="auto"/>
              </w:rPr>
            </w:pPr>
          </w:p>
        </w:tc>
        <w:tc>
          <w:tcPr>
            <w:tcW w:w="900" w:type="dxa"/>
            <w:vAlign w:val="bottom"/>
            <w:gridSpan w:val="3"/>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52"/>
        </w:trPr>
        <w:tc>
          <w:tcPr>
            <w:tcW w:w="52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55"/>
              <w:spacing w:after="0" w:line="152" w:lineRule="exact"/>
              <w:rPr>
                <w:sz w:val="20"/>
                <w:szCs w:val="20"/>
                <w:color w:val="auto"/>
              </w:rPr>
            </w:pPr>
            <w:r>
              <w:rPr>
                <w:rFonts w:ascii="Times New Roman" w:cs="Times New Roman" w:eastAsia="Times New Roman" w:hAnsi="Times New Roman"/>
                <w:sz w:val="14"/>
                <w:szCs w:val="14"/>
                <w:b w:val="1"/>
                <w:bCs w:val="1"/>
                <w:color w:val="auto"/>
                <w:w w:val="95"/>
              </w:rPr>
              <w:t>Net Income</w:t>
            </w:r>
          </w:p>
        </w:tc>
        <w:tc>
          <w:tcPr>
            <w:tcW w:w="200" w:type="dxa"/>
            <w:vAlign w:val="bottom"/>
          </w:tcPr>
          <w:p>
            <w:pPr>
              <w:spacing w:after="0"/>
              <w:rPr>
                <w:sz w:val="13"/>
                <w:szCs w:val="13"/>
                <w:color w:val="auto"/>
              </w:rPr>
            </w:pPr>
          </w:p>
        </w:tc>
        <w:tc>
          <w:tcPr>
            <w:tcW w:w="9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220" w:type="dxa"/>
            <w:vAlign w:val="bottom"/>
          </w:tcPr>
          <w:p>
            <w:pPr>
              <w:spacing w:after="0"/>
              <w:rPr>
                <w:sz w:val="13"/>
                <w:szCs w:val="13"/>
                <w:color w:val="auto"/>
              </w:rPr>
            </w:pPr>
          </w:p>
        </w:tc>
        <w:tc>
          <w:tcPr>
            <w:tcW w:w="900" w:type="dxa"/>
            <w:vAlign w:val="bottom"/>
            <w:gridSpan w:val="3"/>
          </w:tcPr>
          <w:p>
            <w:pPr>
              <w:jc w:val="center"/>
              <w:ind w:right="152"/>
              <w:spacing w:after="0" w:line="152" w:lineRule="exact"/>
              <w:rPr>
                <w:sz w:val="20"/>
                <w:szCs w:val="20"/>
                <w:color w:val="auto"/>
              </w:rPr>
            </w:pPr>
            <w:r>
              <w:rPr>
                <w:rFonts w:ascii="Times New Roman" w:cs="Times New Roman" w:eastAsia="Times New Roman" w:hAnsi="Times New Roman"/>
                <w:sz w:val="14"/>
                <w:szCs w:val="14"/>
                <w:b w:val="1"/>
                <w:bCs w:val="1"/>
                <w:color w:val="auto"/>
                <w:w w:val="95"/>
              </w:rPr>
              <w:t>per Share</w:t>
            </w:r>
          </w:p>
        </w:tc>
        <w:tc>
          <w:tcPr>
            <w:tcW w:w="120" w:type="dxa"/>
            <w:vAlign w:val="bottom"/>
          </w:tcPr>
          <w:p>
            <w:pPr>
              <w:spacing w:after="0"/>
              <w:rPr>
                <w:sz w:val="13"/>
                <w:szCs w:val="13"/>
                <w:color w:val="auto"/>
              </w:rPr>
            </w:pPr>
          </w:p>
        </w:tc>
        <w:tc>
          <w:tcPr>
            <w:tcW w:w="840" w:type="dxa"/>
            <w:vAlign w:val="bottom"/>
          </w:tcPr>
          <w:p>
            <w:pPr>
              <w:jc w:val="right"/>
              <w:ind w:right="56"/>
              <w:spacing w:after="0" w:line="152" w:lineRule="exact"/>
              <w:rPr>
                <w:sz w:val="20"/>
                <w:szCs w:val="20"/>
                <w:color w:val="auto"/>
              </w:rPr>
            </w:pPr>
            <w:r>
              <w:rPr>
                <w:rFonts w:ascii="Times New Roman" w:cs="Times New Roman" w:eastAsia="Times New Roman" w:hAnsi="Times New Roman"/>
                <w:sz w:val="14"/>
                <w:szCs w:val="14"/>
                <w:b w:val="1"/>
                <w:bCs w:val="1"/>
                <w:color w:val="auto"/>
                <w:w w:val="98"/>
              </w:rPr>
              <w:t>Net Income</w:t>
            </w:r>
          </w:p>
        </w:tc>
        <w:tc>
          <w:tcPr>
            <w:tcW w:w="220" w:type="dxa"/>
            <w:vAlign w:val="bottom"/>
          </w:tcPr>
          <w:p>
            <w:pPr>
              <w:spacing w:after="0"/>
              <w:rPr>
                <w:sz w:val="13"/>
                <w:szCs w:val="13"/>
                <w:color w:val="auto"/>
              </w:rPr>
            </w:pPr>
          </w:p>
        </w:tc>
        <w:tc>
          <w:tcPr>
            <w:tcW w:w="8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220" w:type="dxa"/>
            <w:vAlign w:val="bottom"/>
          </w:tcPr>
          <w:p>
            <w:pPr>
              <w:spacing w:after="0"/>
              <w:rPr>
                <w:sz w:val="13"/>
                <w:szCs w:val="13"/>
                <w:color w:val="auto"/>
              </w:rPr>
            </w:pPr>
          </w:p>
        </w:tc>
        <w:tc>
          <w:tcPr>
            <w:tcW w:w="740" w:type="dxa"/>
            <w:vAlign w:val="bottom"/>
            <w:gridSpan w:val="3"/>
          </w:tcPr>
          <w:p>
            <w:pPr>
              <w:ind w:left="80"/>
              <w:spacing w:after="0" w:line="152"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vMerge w:val="restart"/>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68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(Stated</w:t>
            </w:r>
          </w:p>
        </w:tc>
        <w:tc>
          <w:tcPr>
            <w:tcW w:w="220" w:type="dxa"/>
            <w:vAlign w:val="bottom"/>
            <w:vMerge w:val="continue"/>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thousands</w:t>
            </w:r>
          </w:p>
        </w:tc>
        <w:tc>
          <w:tcPr>
            <w:tcW w:w="2280" w:type="dxa"/>
            <w:vAlign w:val="bottom"/>
            <w:gridSpan w:val="5"/>
          </w:tcPr>
          <w:p>
            <w:pPr>
              <w:jc w:val="right"/>
              <w:ind w:right="707"/>
              <w:spacing w:after="0" w:line="149" w:lineRule="exact"/>
              <w:rPr>
                <w:sz w:val="20"/>
                <w:szCs w:val="20"/>
                <w:color w:val="auto"/>
              </w:rPr>
            </w:pPr>
            <w:r>
              <w:rPr>
                <w:rFonts w:ascii="Times New Roman" w:cs="Times New Roman" w:eastAsia="Times New Roman" w:hAnsi="Times New Roman"/>
                <w:sz w:val="14"/>
                <w:szCs w:val="14"/>
                <w:b w:val="1"/>
                <w:bCs w:val="1"/>
                <w:color w:val="auto"/>
                <w:w w:val="93"/>
              </w:rPr>
              <w:t>except per share amounts)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1,258,479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1,184,243</w:t>
            </w:r>
          </w:p>
        </w:tc>
        <w:tc>
          <w:tcPr>
            <w:tcW w:w="46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b w:val="1"/>
                <w:bCs w:val="1"/>
                <w:u w:val="single" w:color="auto"/>
                <w:color w:val="auto"/>
              </w:rPr>
              <w:t>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856,900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1,184,357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Assumed conversion of</w:t>
            </w:r>
          </w:p>
        </w:tc>
        <w:tc>
          <w:tcPr>
            <w:tcW w:w="12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6,568</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34,440</w:t>
            </w: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debentures</w:t>
            </w: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38,210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Asssumed exercise of stock options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1,265,047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1,240,911</w:t>
            </w:r>
          </w:p>
        </w:tc>
        <w:tc>
          <w:tcPr>
            <w:tcW w:w="46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b w:val="1"/>
                <w:bCs w:val="1"/>
                <w:u w:val="single" w:color="auto"/>
                <w:color w:val="auto"/>
              </w:rPr>
              <w:t>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864,097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1,246,077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3"/>
              </w:rPr>
              <w:t>Shares</w:t>
            </w:r>
          </w:p>
        </w:tc>
        <w:tc>
          <w:tcPr>
            <w:tcW w:w="220" w:type="dxa"/>
            <w:vAlign w:val="bottom"/>
          </w:tcPr>
          <w:p>
            <w:pPr>
              <w:spacing w:after="0"/>
              <w:rPr>
                <w:sz w:val="13"/>
                <w:szCs w:val="13"/>
                <w:color w:val="auto"/>
              </w:rPr>
            </w:pPr>
          </w:p>
        </w:tc>
        <w:tc>
          <w:tcPr>
            <w:tcW w:w="900" w:type="dxa"/>
            <w:vAlign w:val="bottom"/>
            <w:gridSpan w:val="3"/>
          </w:tcPr>
          <w:p>
            <w:pPr>
              <w:jc w:val="center"/>
              <w:ind w:right="152"/>
              <w:spacing w:after="0" w:line="152" w:lineRule="exact"/>
              <w:rPr>
                <w:sz w:val="20"/>
                <w:szCs w:val="20"/>
                <w:color w:val="auto"/>
              </w:rPr>
            </w:pPr>
            <w:r>
              <w:rPr>
                <w:rFonts w:ascii="Times New Roman" w:cs="Times New Roman" w:eastAsia="Times New Roman" w:hAnsi="Times New Roman"/>
                <w:sz w:val="14"/>
                <w:szCs w:val="14"/>
                <w:b w:val="1"/>
                <w:bCs w:val="1"/>
                <w:color w:val="auto"/>
                <w:w w:val="95"/>
              </w:rPr>
              <w:t>Earnings</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162"/>
        </w:trPr>
        <w:tc>
          <w:tcPr>
            <w:tcW w:w="5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20" w:type="dxa"/>
            <w:vAlign w:val="bottom"/>
          </w:tcPr>
          <w:p>
            <w:pPr>
              <w:spacing w:after="0"/>
              <w:rPr>
                <w:sz w:val="14"/>
                <w:szCs w:val="14"/>
                <w:color w:val="auto"/>
              </w:rPr>
            </w:pPr>
          </w:p>
        </w:tc>
        <w:tc>
          <w:tcPr>
            <w:tcW w:w="8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5"/>
              </w:rPr>
              <w:t>Net Income</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220" w:type="dxa"/>
            <w:vAlign w:val="bottom"/>
          </w:tcPr>
          <w:p>
            <w:pPr>
              <w:spacing w:after="0"/>
              <w:rPr>
                <w:sz w:val="14"/>
                <w:szCs w:val="14"/>
                <w:color w:val="auto"/>
              </w:rPr>
            </w:pPr>
          </w:p>
        </w:tc>
        <w:tc>
          <w:tcPr>
            <w:tcW w:w="900" w:type="dxa"/>
            <w:vAlign w:val="bottom"/>
            <w:gridSpan w:val="3"/>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5"/>
              </w:rPr>
              <w:t>per Share</w:t>
            </w:r>
          </w:p>
        </w:tc>
        <w:tc>
          <w:tcPr>
            <w:tcW w:w="120" w:type="dxa"/>
            <w:vAlign w:val="bottom"/>
          </w:tcPr>
          <w:p>
            <w:pPr>
              <w:spacing w:after="0"/>
              <w:rPr>
                <w:sz w:val="14"/>
                <w:szCs w:val="14"/>
                <w:color w:val="auto"/>
              </w:rPr>
            </w:pPr>
          </w:p>
        </w:tc>
        <w:tc>
          <w:tcPr>
            <w:tcW w:w="8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8"/>
              </w:rPr>
              <w:t>Net Income</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22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68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(Stated</w:t>
            </w:r>
          </w:p>
        </w:tc>
        <w:tc>
          <w:tcPr>
            <w:tcW w:w="220" w:type="dxa"/>
            <w:vAlign w:val="bottom"/>
            <w:vMerge w:val="continue"/>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thousands</w:t>
            </w:r>
          </w:p>
        </w:tc>
        <w:tc>
          <w:tcPr>
            <w:tcW w:w="2280" w:type="dxa"/>
            <w:vAlign w:val="bottom"/>
            <w:gridSpan w:val="5"/>
          </w:tcPr>
          <w:p>
            <w:pPr>
              <w:jc w:val="right"/>
              <w:ind w:right="707"/>
              <w:spacing w:after="0" w:line="149" w:lineRule="exact"/>
              <w:rPr>
                <w:sz w:val="20"/>
                <w:szCs w:val="20"/>
                <w:color w:val="auto"/>
              </w:rPr>
            </w:pPr>
            <w:r>
              <w:rPr>
                <w:rFonts w:ascii="Times New Roman" w:cs="Times New Roman" w:eastAsia="Times New Roman" w:hAnsi="Times New Roman"/>
                <w:sz w:val="14"/>
                <w:szCs w:val="14"/>
                <w:b w:val="1"/>
                <w:bCs w:val="1"/>
                <w:color w:val="auto"/>
                <w:w w:val="93"/>
              </w:rPr>
              <w:t>except per share amounts)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2,439,306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1,181,348</w:t>
            </w:r>
          </w:p>
        </w:tc>
        <w:tc>
          <w:tcPr>
            <w:tcW w:w="46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b w:val="1"/>
                <w:bCs w:val="1"/>
                <w:u w:val="single" w:color="auto"/>
                <w:color w:val="auto"/>
              </w:rPr>
              <w:t>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1,579,411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1,182,351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Assumed conversion of debentures</w:t>
            </w:r>
          </w:p>
        </w:tc>
        <w:tc>
          <w:tcPr>
            <w:tcW w:w="12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13,765</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35,437</w:t>
            </w: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14,394</w:t>
            </w: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38,210</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Asssumed exercise of stock options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2,453,071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1,237,814</w:t>
            </w:r>
          </w:p>
        </w:tc>
        <w:tc>
          <w:tcPr>
            <w:tcW w:w="46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b w:val="1"/>
                <w:bCs w:val="1"/>
                <w:u w:val="single" w:color="auto"/>
                <w:color w:val="auto"/>
              </w:rPr>
              <w:t>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1,593,805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1,243,386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88"/>
              </w:rPr>
              <w:t>8</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During the second quarter of 2007, $396 million of the $975 million 1.5% Series A Convertible Debentures due June 1, 2023 were converted by holders into approximately 11 million shares of Schlumberger common stock.</w:t>
      </w:r>
    </w:p>
    <w:p>
      <w:pPr>
        <w:spacing w:after="0" w:line="120"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number of outstanding options to purchase shares of common stock which were not included in the computation of diluted earnings per share because to do so would have had an antidilutive effect, were as follows:</w:t>
      </w:r>
    </w:p>
    <w:p>
      <w:pPr>
        <w:spacing w:after="0" w:line="158" w:lineRule="exact"/>
        <w:rPr>
          <w:sz w:val="20"/>
          <w:szCs w:val="20"/>
          <w:color w:val="auto"/>
        </w:rPr>
      </w:pPr>
    </w:p>
    <w:p>
      <w:pPr>
        <w:ind w:left="9480"/>
        <w:spacing w:after="0"/>
        <w:tabs>
          <w:tab w:leader="none" w:pos="10560" w:val="left"/>
        </w:tabs>
        <w:rPr>
          <w:sz w:val="20"/>
          <w:szCs w:val="20"/>
          <w:color w:val="auto"/>
        </w:rPr>
      </w:pPr>
      <w:r>
        <w:rPr>
          <w:rFonts w:ascii="Times New Roman" w:cs="Times New Roman" w:eastAsia="Times New Roman" w:hAnsi="Times New Roman"/>
          <w:sz w:val="14"/>
          <w:szCs w:val="14"/>
          <w:b w:val="1"/>
          <w:bCs w:val="1"/>
          <w:color w:val="auto"/>
        </w:rPr>
        <w:t>2007</w:t>
      </w:r>
      <w:r>
        <w:rPr>
          <w:sz w:val="20"/>
          <w:szCs w:val="20"/>
          <w:color w:val="auto"/>
        </w:rPr>
        <w:tab/>
      </w:r>
      <w:r>
        <w:rPr>
          <w:rFonts w:ascii="Times New Roman" w:cs="Times New Roman" w:eastAsia="Times New Roman" w:hAnsi="Times New Roman"/>
          <w:sz w:val="14"/>
          <w:szCs w:val="14"/>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2540</wp:posOffset>
            </wp:positionV>
            <wp:extent cx="308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2540</wp:posOffset>
            </wp:positionV>
            <wp:extent cx="317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ind w:left="9620"/>
        <w:spacing w:after="0"/>
        <w:rPr>
          <w:sz w:val="20"/>
          <w:szCs w:val="20"/>
          <w:color w:val="auto"/>
        </w:rPr>
      </w:pPr>
      <w:r>
        <w:rPr>
          <w:rFonts w:ascii="Times New Roman" w:cs="Times New Roman" w:eastAsia="Times New Roman" w:hAnsi="Times New Roman"/>
          <w:sz w:val="14"/>
          <w:szCs w:val="14"/>
          <w:b w:val="1"/>
          <w:bCs w:val="1"/>
          <w:color w:val="auto"/>
        </w:rPr>
        <w:t>(Stated in millions)</w:t>
      </w:r>
    </w:p>
    <w:p>
      <w:pPr>
        <w:spacing w:after="0" w:line="9"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47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Six months</w:t>
            </w:r>
          </w:p>
        </w:tc>
        <w:tc>
          <w:tcPr>
            <w:tcW w:w="474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0.1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bl>
    <w:p>
      <w:pPr>
        <w:spacing w:after="0" w:line="253"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Charges and Credits</w:t>
      </w:r>
    </w:p>
    <w:p>
      <w:pPr>
        <w:spacing w:after="0" w:line="90"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2006</w:t>
      </w:r>
    </w:p>
    <w:p>
      <w:pPr>
        <w:spacing w:after="0" w:line="9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Second quarter of 2006:</w:t>
      </w:r>
    </w:p>
    <w:p>
      <w:pPr>
        <w:spacing w:after="0" w:line="90" w:lineRule="exact"/>
        <w:rPr>
          <w:rFonts w:ascii="Times New Roman" w:cs="Times New Roman" w:eastAsia="Times New Roman" w:hAnsi="Times New Roman"/>
          <w:sz w:val="18"/>
          <w:szCs w:val="18"/>
          <w:b w:val="1"/>
          <w:bCs w:val="1"/>
          <w:color w:val="auto"/>
        </w:rPr>
      </w:pPr>
    </w:p>
    <w:p>
      <w:pPr>
        <w:ind w:left="900" w:right="40" w:hanging="325"/>
        <w:spacing w:after="0" w:line="255" w:lineRule="auto"/>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Schlumberger acquired the 30% minority interest in WesternGeco held by Baker Hughes Incorporated for $2.4 billion in cash during the second quarter of 2006. In connection with this transaction, a pretax and after-tax charge of $21 million was recorded, representing the portion of the purchase price that was allocated to in-process research and development. Schlumberger recorded an additional $6 million of in-process research and development charges, primarily related to a small acquisition which was also completed in the second quarter of 2006. These amounts were determined by identifying research and development projects that had not yet reached technological feasibility at the time of the acquisition. These charges are classified in </w:t>
      </w:r>
      <w:r>
        <w:rPr>
          <w:rFonts w:ascii="Times New Roman" w:cs="Times New Roman" w:eastAsia="Times New Roman" w:hAnsi="Times New Roman"/>
          <w:sz w:val="18"/>
          <w:szCs w:val="18"/>
          <w:i w:val="1"/>
          <w:iCs w:val="1"/>
          <w:color w:val="auto"/>
        </w:rPr>
        <w:t>Research &amp; engineering</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p>
    <w:p>
      <w:pPr>
        <w:spacing w:after="0" w:line="58" w:lineRule="exact"/>
        <w:rPr>
          <w:rFonts w:ascii="Times New Roman" w:cs="Times New Roman" w:eastAsia="Times New Roman" w:hAnsi="Times New Roman"/>
          <w:sz w:val="18"/>
          <w:szCs w:val="18"/>
          <w:color w:val="auto"/>
        </w:rPr>
      </w:pPr>
    </w:p>
    <w:p>
      <w:pPr>
        <w:ind w:left="900" w:hanging="325"/>
        <w:spacing w:after="0" w:line="334" w:lineRule="auto"/>
        <w:tabs>
          <w:tab w:leader="none" w:pos="90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Schlumberger recorded a pretax and after-tax loss of $9 million relating to the liquidation of certain investments in connection with the funding of the previously mentioned WesternGeco transaction. These losses are classified in </w:t>
      </w:r>
      <w:r>
        <w:rPr>
          <w:rFonts w:ascii="Times New Roman" w:cs="Times New Roman" w:eastAsia="Times New Roman" w:hAnsi="Times New Roman"/>
          <w:sz w:val="16"/>
          <w:szCs w:val="16"/>
          <w:i w:val="1"/>
          <w:iCs w:val="1"/>
          <w:color w:val="auto"/>
        </w:rPr>
        <w:t>Interest &amp; other income</w:t>
      </w:r>
      <w:r>
        <w:rPr>
          <w:rFonts w:ascii="Times New Roman" w:cs="Times New Roman" w:eastAsia="Times New Roman" w:hAnsi="Times New Roman"/>
          <w:sz w:val="16"/>
          <w:szCs w:val="16"/>
          <w:color w:val="auto"/>
        </w:rPr>
        <w:t xml:space="preserve"> in the </w:t>
      </w:r>
      <w:r>
        <w:rPr>
          <w:rFonts w:ascii="Times New Roman" w:cs="Times New Roman" w:eastAsia="Times New Roman" w:hAnsi="Times New Roman"/>
          <w:sz w:val="16"/>
          <w:szCs w:val="16"/>
          <w:i w:val="1"/>
          <w:iCs w:val="1"/>
          <w:color w:val="auto"/>
        </w:rPr>
        <w:t>Consolidated Statement of Income.</w:t>
      </w:r>
    </w:p>
    <w:p>
      <w:pPr>
        <w:spacing w:after="0" w:line="1" w:lineRule="exact"/>
        <w:rPr>
          <w:rFonts w:ascii="Times New Roman" w:cs="Times New Roman" w:eastAsia="Times New Roman" w:hAnsi="Times New Roman"/>
          <w:sz w:val="16"/>
          <w:szCs w:val="16"/>
          <w:color w:val="auto"/>
        </w:rPr>
      </w:pPr>
    </w:p>
    <w:p>
      <w:pPr>
        <w:ind w:left="900" w:right="460" w:hanging="325"/>
        <w:spacing w:after="0" w:line="275" w:lineRule="auto"/>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settlement of the WesternGeco visa matter described in Note 13, a pretax charge of $10 million ($7 million after-tax and minority interest) was recorded and is classified in </w:t>
      </w:r>
      <w:r>
        <w:rPr>
          <w:rFonts w:ascii="Times New Roman" w:cs="Times New Roman" w:eastAsia="Times New Roman" w:hAnsi="Times New Roman"/>
          <w:sz w:val="18"/>
          <w:szCs w:val="18"/>
          <w:i w:val="1"/>
          <w:iCs w:val="1"/>
          <w:color w:val="auto"/>
        </w:rPr>
        <w:t>Cost of goods sold &amp; services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2006 Charges and Credits: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Minority</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79"/>
              </w:rPr>
              <w:t>(Stated</w:t>
            </w: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80" w:type="dxa"/>
            <w:vAlign w:val="bottom"/>
          </w:tcPr>
          <w:p>
            <w:pPr>
              <w:spacing w:after="0"/>
              <w:rPr>
                <w:sz w:val="14"/>
                <w:szCs w:val="14"/>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90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and Credits</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WesternGeco in-process R&amp;D charges</w:t>
            </w:r>
          </w:p>
        </w:tc>
        <w:tc>
          <w:tcPr>
            <w:tcW w:w="4220" w:type="dxa"/>
            <w:vAlign w:val="bottom"/>
            <w:gridSpan w:val="2"/>
          </w:tcPr>
          <w:p>
            <w:pPr>
              <w:ind w:left="4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liquidation of investments to fund</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WesternGeco transaction</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WesternGeco visa settlement</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in-process R&amp;D charges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Charges</w:t>
            </w:r>
          </w:p>
        </w:tc>
        <w:tc>
          <w:tcPr>
            <w:tcW w:w="4220" w:type="dxa"/>
            <w:vAlign w:val="bottom"/>
            <w:gridSpan w:val="2"/>
            <w:shd w:val="clear" w:color="auto" w:fill="CCEEFF"/>
          </w:tcPr>
          <w:p>
            <w:pPr>
              <w:ind w:left="40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80" w:type="dxa"/>
            <w:vAlign w:val="bottom"/>
            <w:vMerge w:val="restart"/>
          </w:tcPr>
          <w:p>
            <w:pPr>
              <w:jc w:val="right"/>
              <w:ind w:right="2792"/>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9" w:name="page10"/>
    <w:bookmarkEnd w:id="9"/>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did not record any Charges and Credits during the first six months of 2007.</w:t>
      </w:r>
    </w:p>
    <w:p>
      <w:pPr>
        <w:spacing w:after="0" w:line="291"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9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During 2007, Schlumberger made certain acquisitions and minority interest investments, none of which were significant on an individual basis, for an aggregate amount of $143 million.</w:t>
      </w:r>
    </w:p>
    <w:p>
      <w:pPr>
        <w:spacing w:after="0" w:line="239"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Affiliated Companies</w:t>
      </w:r>
    </w:p>
    <w:p>
      <w:pPr>
        <w:spacing w:after="0" w:line="9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The MI-SWACO drilling fluids joint venture is owned 40% by Schlumberger and 60% by Smith International, Inc. Schlumberger records income from this joint venture using the equity method of accounting. The Schlumberger investment in the joint venture at June 30, 2007 was $1.054 billion and at December 31, 2006 was $970 million. Schlumberger’s equity income from this joint venture, which is recorded one month in arrears, was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9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2"/>
              </w:rPr>
              <w:t>2006</w:t>
            </w:r>
          </w:p>
        </w:tc>
      </w:tr>
      <w:tr>
        <w:trPr>
          <w:trHeight w:val="142"/>
        </w:trPr>
        <w:tc>
          <w:tcPr>
            <w:tcW w:w="49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4"/>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(Stated in millions)</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Six Months</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received cash distributions from the joint venture of $28 million in the first six months of 2007.</w:t>
      </w:r>
    </w:p>
    <w:p>
      <w:pPr>
        <w:spacing w:after="0" w:line="171"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The Schlumberger joint venture agreement with Smith International, Inc. contains a provision under which either party to the joint venture may offer to sell their entire interest in the venture to the other party at a cash purchase price per percentage interest specified in an offer notice. If the offer to sell is not accepted, the offering party will be obligated to purchase the entire interest of the other party at the same price per percentage interest as the price specified in the offer notice.</w:t>
      </w:r>
    </w:p>
    <w:p>
      <w:pPr>
        <w:spacing w:after="0" w:line="217"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inventory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940" w:type="dxa"/>
            <w:vAlign w:val="bottom"/>
            <w:gridSpan w:val="2"/>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Jun. 30</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65"/>
        </w:trPr>
        <w:tc>
          <w:tcPr>
            <w:tcW w:w="370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5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2007</w:t>
            </w:r>
          </w:p>
        </w:tc>
        <w:tc>
          <w:tcPr>
            <w:tcW w:w="420" w:type="dxa"/>
            <w:vAlign w:val="bottom"/>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(Stated</w:t>
            </w:r>
          </w:p>
        </w:tc>
        <w:tc>
          <w:tcPr>
            <w:tcW w:w="960" w:type="dxa"/>
            <w:vAlign w:val="bottom"/>
            <w:gridSpan w:val="2"/>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&amp; field materials</w:t>
            </w:r>
          </w:p>
        </w:tc>
        <w:tc>
          <w:tcPr>
            <w:tcW w:w="6260" w:type="dxa"/>
            <w:vAlign w:val="bottom"/>
            <w:gridSpan w:val="3"/>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$ 1,421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6260" w:type="dxa"/>
            <w:vAlign w:val="bottom"/>
            <w:gridSpan w:val="3"/>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128</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6260" w:type="dxa"/>
            <w:vAlign w:val="bottom"/>
            <w:gridSpan w:val="3"/>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127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1,676</w:t>
            </w:r>
          </w:p>
        </w:tc>
        <w:tc>
          <w:tcPr>
            <w:tcW w:w="4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reserves for obsolescence</w:t>
            </w:r>
          </w:p>
        </w:tc>
        <w:tc>
          <w:tcPr>
            <w:tcW w:w="6260" w:type="dxa"/>
            <w:vAlign w:val="bottom"/>
            <w:gridSpan w:val="3"/>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156</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$ 1,520</w:t>
            </w:r>
          </w:p>
        </w:tc>
        <w:tc>
          <w:tcPr>
            <w:tcW w:w="4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$ 1,247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320" w:type="dxa"/>
            <w:vAlign w:val="bottom"/>
            <w:vMerge w:val="restart"/>
          </w:tcPr>
          <w:p>
            <w:pPr>
              <w:jc w:val="right"/>
              <w:ind w:right="3592"/>
              <w:spacing w:after="0"/>
              <w:rPr>
                <w:sz w:val="20"/>
                <w:szCs w:val="20"/>
                <w:color w:val="auto"/>
              </w:rPr>
            </w:pPr>
            <w:r>
              <w:rPr>
                <w:rFonts w:ascii="Times New Roman" w:cs="Times New Roman" w:eastAsia="Times New Roman" w:hAnsi="Times New Roman"/>
                <w:sz w:val="18"/>
                <w:szCs w:val="18"/>
                <w:color w:val="auto"/>
              </w:rPr>
              <w:t>10</w:t>
            </w: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272" w:right="359" w:bottom="1440" w:gutter="0" w:footer="0" w:header="0"/>
        </w:sectPr>
      </w:pPr>
    </w:p>
    <w:bookmarkStart w:id="10" w:name="page11"/>
    <w:bookmarkEnd w:id="10"/>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fixed assets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Jun. 30</w:t>
            </w:r>
          </w:p>
        </w:tc>
        <w:tc>
          <w:tcPr>
            <w:tcW w:w="6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 31</w:t>
            </w: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74"/>
              </w:rPr>
              <w:t>(Stated</w:t>
            </w:r>
          </w:p>
        </w:tc>
        <w:tc>
          <w:tcPr>
            <w:tcW w:w="40" w:type="dxa"/>
            <w:vAlign w:val="bottom"/>
          </w:tcPr>
          <w:p>
            <w:pPr>
              <w:spacing w:after="0"/>
              <w:rPr>
                <w:sz w:val="12"/>
                <w:szCs w:val="12"/>
                <w:color w:val="auto"/>
              </w:rPr>
            </w:pPr>
          </w:p>
        </w:tc>
        <w:tc>
          <w:tcPr>
            <w:tcW w:w="1020" w:type="dxa"/>
            <w:vAlign w:val="bottom"/>
            <w:gridSpan w:val="4"/>
          </w:tcPr>
          <w:p>
            <w:pPr>
              <w:jc w:val="center"/>
              <w:ind w:right="134"/>
              <w:spacing w:after="0" w:line="142" w:lineRule="exact"/>
              <w:rPr>
                <w:sz w:val="20"/>
                <w:szCs w:val="20"/>
                <w:color w:val="auto"/>
              </w:rPr>
            </w:pPr>
            <w:r>
              <w:rPr>
                <w:rFonts w:ascii="Times New Roman" w:cs="Times New Roman" w:eastAsia="Times New Roman" w:hAnsi="Times New Roman"/>
                <w:sz w:val="14"/>
                <w:szCs w:val="14"/>
                <w:b w:val="1"/>
                <w:bCs w:val="1"/>
                <w:color w:val="auto"/>
                <w:w w:val="95"/>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24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$ 15,116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$ 13,912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60" w:type="dxa"/>
            <w:vAlign w:val="bottom"/>
          </w:tcPr>
          <w:p>
            <w:pPr>
              <w:spacing w:after="0"/>
              <w:rPr>
                <w:sz w:val="19"/>
                <w:szCs w:val="19"/>
                <w:color w:val="auto"/>
              </w:rPr>
            </w:pPr>
          </w:p>
        </w:tc>
        <w:tc>
          <w:tcPr>
            <w:tcW w:w="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8,834</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4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6,282</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 expense relating to fixed assets were as follows:</w:t>
            </w:r>
          </w:p>
        </w:tc>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420" w:type="dxa"/>
            <w:vAlign w:val="bottom"/>
            <w:gridSpan w:val="3"/>
            <w:vMerge w:val="continue"/>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2007</w:t>
            </w:r>
          </w:p>
        </w:tc>
        <w:tc>
          <w:tcPr>
            <w:tcW w:w="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9"/>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2120" w:type="dxa"/>
            <w:vAlign w:val="bottom"/>
            <w:gridSpan w:val="3"/>
            <w:shd w:val="clear" w:color="auto" w:fill="CCEEFF"/>
          </w:tcPr>
          <w:p>
            <w:pPr>
              <w:ind w:left="20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4"/>
            <w:shd w:val="clear" w:color="auto" w:fill="CCEEFF"/>
          </w:tcPr>
          <w:p>
            <w:pPr>
              <w:jc w:val="center"/>
              <w:ind w:left="62"/>
              <w:spacing w:after="0"/>
              <w:rPr>
                <w:sz w:val="20"/>
                <w:szCs w:val="20"/>
                <w:color w:val="auto"/>
              </w:rPr>
            </w:pPr>
            <w:r>
              <w:rPr>
                <w:rFonts w:ascii="Times New Roman" w:cs="Times New Roman" w:eastAsia="Times New Roman" w:hAnsi="Times New Roman"/>
                <w:sz w:val="18"/>
                <w:szCs w:val="18"/>
                <w:b w:val="1"/>
                <w:bCs w:val="1"/>
                <w:color w:val="auto"/>
                <w:w w:val="96"/>
              </w:rPr>
              <w:t>365</w:t>
            </w:r>
          </w:p>
        </w:tc>
        <w:tc>
          <w:tcPr>
            <w:tcW w:w="3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Six Months</w:t>
            </w:r>
          </w:p>
        </w:tc>
        <w:tc>
          <w:tcPr>
            <w:tcW w:w="212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4"/>
          </w:tcPr>
          <w:p>
            <w:pPr>
              <w:jc w:val="center"/>
              <w:ind w:left="62"/>
              <w:spacing w:after="0"/>
              <w:rPr>
                <w:sz w:val="20"/>
                <w:szCs w:val="20"/>
                <w:color w:val="auto"/>
              </w:rPr>
            </w:pPr>
            <w:r>
              <w:rPr>
                <w:rFonts w:ascii="Times New Roman" w:cs="Times New Roman" w:eastAsia="Times New Roman" w:hAnsi="Times New Roman"/>
                <w:sz w:val="18"/>
                <w:szCs w:val="18"/>
                <w:b w:val="1"/>
                <w:bCs w:val="1"/>
                <w:color w:val="auto"/>
                <w:w w:val="96"/>
              </w:rPr>
              <w:t>713</w:t>
            </w:r>
          </w:p>
        </w:tc>
        <w:tc>
          <w:tcPr>
            <w:tcW w:w="380" w:type="dxa"/>
            <w:vAlign w:val="bottom"/>
          </w:tcPr>
          <w:p>
            <w:pPr>
              <w:spacing w:after="0"/>
              <w:rPr>
                <w:sz w:val="20"/>
                <w:szCs w:val="20"/>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3"/>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Multiclient Seismic Data</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change in the carrying amount of multiclient seismic data is as follows:</w:t>
            </w: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(Stated in millions)</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2006</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center"/>
              <w:ind w:left="14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in period</w:t>
            </w: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Charged to cost of goods sold &amp; services</w:t>
            </w:r>
          </w:p>
        </w:tc>
        <w:tc>
          <w:tcPr>
            <w:tcW w:w="1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1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Balance at June 30, 2007</w:t>
            </w: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business segment for the six months ended June 30, 2007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Oilfield</w:t>
            </w:r>
          </w:p>
        </w:tc>
        <w:tc>
          <w:tcPr>
            <w:tcW w:w="46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6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Services</w:t>
            </w:r>
          </w:p>
        </w:tc>
        <w:tc>
          <w:tcPr>
            <w:tcW w:w="140" w:type="dxa"/>
            <w:vAlign w:val="bottom"/>
          </w:tcPr>
          <w:p>
            <w:pPr>
              <w:spacing w:after="0"/>
              <w:rPr>
                <w:sz w:val="14"/>
                <w:szCs w:val="14"/>
                <w:color w:val="auto"/>
              </w:rPr>
            </w:pPr>
          </w:p>
        </w:tc>
        <w:tc>
          <w:tcPr>
            <w:tcW w:w="4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70"/>
              </w:rPr>
              <w:t>(Stated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2"/>
              </w:rPr>
              <w:t>Geco</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92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2006</w:t>
            </w:r>
          </w:p>
        </w:tc>
        <w:tc>
          <w:tcPr>
            <w:tcW w:w="4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$4,049</w:t>
            </w:r>
          </w:p>
        </w:tc>
        <w:tc>
          <w:tcPr>
            <w:tcW w:w="5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48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2007</w:t>
            </w:r>
          </w:p>
        </w:tc>
        <w:tc>
          <w:tcPr>
            <w:tcW w:w="4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$ 4,116</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180" w:type="dxa"/>
            <w:vAlign w:val="bottom"/>
            <w:vMerge w:val="restart"/>
          </w:tcPr>
          <w:p>
            <w:pPr>
              <w:jc w:val="right"/>
              <w:ind w:right="2412"/>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60" w:type="dxa"/>
            <w:vAlign w:val="bottom"/>
          </w:tcPr>
          <w:p>
            <w:pPr>
              <w:spacing w:after="0"/>
              <w:rPr>
                <w:sz w:val="24"/>
                <w:szCs w:val="24"/>
                <w:color w:val="auto"/>
              </w:rPr>
            </w:pPr>
          </w:p>
        </w:tc>
        <w:tc>
          <w:tcPr>
            <w:tcW w:w="41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2" w:right="699" w:bottom="1440" w:gutter="0" w:footer="0" w:header="0"/>
        </w:sectPr>
      </w:pPr>
    </w:p>
    <w:bookmarkStart w:id="11" w:name="page12"/>
    <w:bookmarkEnd w:id="1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Intangible assets principally comprise software, technology and customer relationships. The gross book value and accumulated amortization of intangible assets were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 30, 2007</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 31, 2006</w:t>
            </w: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20" w:type="dxa"/>
            <w:vAlign w:val="bottom"/>
            <w:gridSpan w:val="3"/>
          </w:tcPr>
          <w:p>
            <w:pPr>
              <w:ind w:left="80"/>
              <w:spacing w:after="0" w:line="125"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500" w:type="dxa"/>
            <w:vAlign w:val="bottom"/>
          </w:tcPr>
          <w:p>
            <w:pPr>
              <w:spacing w:after="0"/>
              <w:rPr>
                <w:sz w:val="10"/>
                <w:szCs w:val="10"/>
                <w:color w:val="auto"/>
              </w:rPr>
            </w:pPr>
          </w:p>
        </w:tc>
        <w:tc>
          <w:tcPr>
            <w:tcW w:w="500" w:type="dxa"/>
            <w:vAlign w:val="bottom"/>
            <w:gridSpan w:val="2"/>
          </w:tcPr>
          <w:p>
            <w:pPr>
              <w:ind w:left="80"/>
              <w:spacing w:after="0" w:line="125" w:lineRule="exact"/>
              <w:rPr>
                <w:sz w:val="20"/>
                <w:szCs w:val="20"/>
                <w:color w:val="auto"/>
              </w:rPr>
            </w:pPr>
            <w:r>
              <w:rPr>
                <w:rFonts w:ascii="Times New Roman" w:cs="Times New Roman" w:eastAsia="Times New Roman" w:hAnsi="Times New Roman"/>
                <w:sz w:val="14"/>
                <w:szCs w:val="14"/>
                <w:b w:val="1"/>
                <w:bCs w:val="1"/>
                <w:color w:val="auto"/>
              </w:rPr>
              <w:t>Gross</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Book</w:t>
            </w:r>
          </w:p>
        </w:tc>
        <w:tc>
          <w:tcPr>
            <w:tcW w:w="2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Book</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Book</w:t>
            </w:r>
          </w:p>
        </w:tc>
        <w:tc>
          <w:tcPr>
            <w:tcW w:w="5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Accumulated</w:t>
            </w:r>
          </w:p>
        </w:tc>
        <w:tc>
          <w:tcPr>
            <w:tcW w:w="500" w:type="dxa"/>
            <w:vAlign w:val="bottom"/>
          </w:tcPr>
          <w:p>
            <w:pPr>
              <w:spacing w:after="0"/>
              <w:rPr>
                <w:sz w:val="12"/>
                <w:szCs w:val="12"/>
                <w:color w:val="auto"/>
              </w:rPr>
            </w:pPr>
          </w:p>
        </w:tc>
        <w:tc>
          <w:tcPr>
            <w:tcW w:w="3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Book</w:t>
            </w:r>
          </w:p>
        </w:tc>
        <w:tc>
          <w:tcPr>
            <w:tcW w:w="0" w:type="dxa"/>
            <w:vAlign w:val="bottom"/>
          </w:tcPr>
          <w:p>
            <w:pPr>
              <w:spacing w:after="0"/>
              <w:rPr>
                <w:sz w:val="1"/>
                <w:szCs w:val="1"/>
                <w:color w:val="auto"/>
              </w:rPr>
            </w:pPr>
          </w:p>
        </w:tc>
      </w:tr>
      <w:tr>
        <w:trPr>
          <w:trHeight w:val="165"/>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4"/>
              </w:rPr>
              <w:t>Amortization</w:t>
            </w:r>
          </w:p>
        </w:tc>
        <w:tc>
          <w:tcPr>
            <w:tcW w:w="500" w:type="dxa"/>
            <w:vAlign w:val="bottom"/>
          </w:tcPr>
          <w:p>
            <w:pPr>
              <w:spacing w:after="0"/>
              <w:rPr>
                <w:sz w:val="14"/>
                <w:szCs w:val="14"/>
                <w:color w:val="auto"/>
              </w:rPr>
            </w:pPr>
          </w:p>
        </w:tc>
        <w:tc>
          <w:tcPr>
            <w:tcW w:w="3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380" w:type="dxa"/>
            <w:vAlign w:val="bottom"/>
            <w:gridSpan w:val="4"/>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(Stated in millions)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381</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216</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416</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3"/>
              </w:rPr>
              <w:t>1,251</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339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912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1,335</w:t>
            </w: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charged to income was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9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2"/>
              </w:rPr>
              <w:t>2006</w:t>
            </w:r>
          </w:p>
        </w:tc>
      </w:tr>
      <w:tr>
        <w:trPr>
          <w:trHeight w:val="142"/>
        </w:trPr>
        <w:tc>
          <w:tcPr>
            <w:tcW w:w="49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4"/>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(Stated in millions)</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Six Months</w:t>
            </w:r>
          </w:p>
        </w:tc>
        <w:tc>
          <w:tcPr>
            <w:tcW w:w="3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62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amortization period for all intangible assets is approximately 12 years.</w:t>
      </w:r>
    </w:p>
    <w:p>
      <w:pPr>
        <w:spacing w:after="0" w:line="171"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Based on the net book value of intangible assets at June 30, 2007, amortization charged to income for the subsequent five years is estimated to be: remainder of 2007—$62 million; 2008—$114 million; 2009—$91 million; 2010—$81 million; 2011—$76 million and 2012—$74 million.</w:t>
      </w:r>
    </w:p>
    <w:p>
      <w:pPr>
        <w:spacing w:after="0" w:line="239"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has three types of stock-based compensation programs: stock options, restricted stock and a discounted stock purchase plan (“DSPP”).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stock-based compensation expense recognized in income:</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1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w w:val="94"/>
              </w:rPr>
              <w:t>Second Quarter</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2007</w:t>
            </w: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4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(Stated</w:t>
            </w:r>
          </w:p>
        </w:tc>
        <w:tc>
          <w:tcPr>
            <w:tcW w:w="780" w:type="dxa"/>
            <w:vAlign w:val="bottom"/>
            <w:gridSpan w:val="3"/>
          </w:tcPr>
          <w:p>
            <w:pPr>
              <w:jc w:val="right"/>
              <w:ind w:right="46"/>
              <w:spacing w:after="0" w:line="142" w:lineRule="exact"/>
              <w:rPr>
                <w:sz w:val="20"/>
                <w:szCs w:val="20"/>
                <w:color w:val="auto"/>
              </w:rPr>
            </w:pPr>
            <w:r>
              <w:rPr>
                <w:rFonts w:ascii="Times New Roman" w:cs="Times New Roman" w:eastAsia="Times New Roman" w:hAnsi="Times New Roman"/>
                <w:sz w:val="14"/>
                <w:szCs w:val="14"/>
                <w:b w:val="1"/>
                <w:bCs w:val="1"/>
                <w:color w:val="auto"/>
                <w:w w:val="95"/>
              </w:rPr>
              <w:t>in millions)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4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23</w:t>
            </w: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99"/>
              </w:rPr>
              <w:t>22</w:t>
            </w: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4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DSPP</w:t>
            </w:r>
          </w:p>
        </w:tc>
        <w:tc>
          <w:tcPr>
            <w:tcW w:w="4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77"/>
              </w:rPr>
              <w:t>34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70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4480" w:type="dxa"/>
            <w:vAlign w:val="bottom"/>
            <w:vMerge w:val="restart"/>
          </w:tcPr>
          <w:p>
            <w:pPr>
              <w:jc w:val="right"/>
              <w:ind w:right="2192"/>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4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272" w:right="39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book income subject to US and non-US income taxes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20" w:type="dxa"/>
            <w:vAlign w:val="bottom"/>
          </w:tcPr>
          <w:p>
            <w:pPr>
              <w:spacing w:after="0"/>
              <w:rPr>
                <w:sz w:val="14"/>
                <w:szCs w:val="14"/>
                <w:color w:val="auto"/>
              </w:rPr>
            </w:pPr>
          </w:p>
        </w:tc>
        <w:tc>
          <w:tcPr>
            <w:tcW w:w="15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6"/>
              </w:rPr>
              <w:t>Six Months</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2007</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66"/>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(Stated</w:t>
            </w:r>
          </w:p>
        </w:tc>
        <w:tc>
          <w:tcPr>
            <w:tcW w:w="940" w:type="dxa"/>
            <w:vAlign w:val="bottom"/>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474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360</w:t>
            </w:r>
          </w:p>
        </w:tc>
        <w:tc>
          <w:tcPr>
            <w:tcW w:w="116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959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Outside United States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1,145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2,215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1,619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1,141</w:t>
            </w:r>
          </w:p>
        </w:tc>
        <w:tc>
          <w:tcPr>
            <w:tcW w:w="2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$ 3,174</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$ 2,163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net deferred tax assets were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6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6"/>
              </w:rPr>
              <w:t>Jun. 30</w:t>
            </w:r>
          </w:p>
        </w:tc>
        <w:tc>
          <w:tcPr>
            <w:tcW w:w="100" w:type="dxa"/>
            <w:vAlign w:val="bottom"/>
          </w:tcPr>
          <w:p>
            <w:pPr>
              <w:spacing w:after="0"/>
              <w:rPr>
                <w:sz w:val="24"/>
                <w:szCs w:val="24"/>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Dec. 31</w:t>
            </w: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2007</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6"/>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and other long-term benefits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$ 406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employee benefits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inventory and other</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losses</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$ 577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deferred tax assets relating to net operating losses at June 30, 2007 and December 31, 2006 are net of valuation allowances in certain countries of $209 million and $218 million, respectively. The deferred tax assets presented above are also net of valuation allowances relating to a capital loss carryforward of $151 million which expires in 2009 and 2010, and a foreign tax credit carryforward of $55 million which expires in 2009 through 2012.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consolidated income tax expense were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6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5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gridSpan w:val="4"/>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(Stated in millions)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States—Federal</w:t>
            </w:r>
          </w:p>
        </w:tc>
        <w:tc>
          <w:tcPr>
            <w:tcW w:w="3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6"/>
              </w:rPr>
              <w:t>138</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4"/>
              </w:rPr>
              <w:t>$132</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$328</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United States—State</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w:t>
            </w: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Outside United States</w:t>
            </w:r>
          </w:p>
        </w:tc>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206</w:t>
            </w:r>
          </w:p>
        </w:tc>
        <w:tc>
          <w:tcPr>
            <w:tcW w:w="540" w:type="dxa"/>
            <w:vAlign w:val="bottom"/>
          </w:tcPr>
          <w:p>
            <w:pPr>
              <w:spacing w:after="0"/>
              <w:rPr>
                <w:sz w:val="18"/>
                <w:szCs w:val="18"/>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6"/>
              </w:rPr>
              <w:t>355</w:t>
            </w: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304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759</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7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United States—Federal</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w:t>
            </w:r>
          </w:p>
        </w:tc>
        <w:tc>
          <w:tcPr>
            <w:tcW w:w="9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1"/>
              </w:rPr>
              <w:t>$ (22)</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1"/>
              </w:rPr>
              <w:t>$ (25)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United States—State</w:t>
            </w:r>
          </w:p>
        </w:tc>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Outside United States</w:t>
            </w:r>
          </w:p>
        </w:tc>
        <w:tc>
          <w:tcPr>
            <w:tcW w:w="3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5</w:t>
            </w:r>
          </w:p>
        </w:tc>
        <w:tc>
          <w:tcPr>
            <w:tcW w:w="9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Valuation allowance</w:t>
            </w:r>
          </w:p>
        </w:tc>
        <w:tc>
          <w:tcPr>
            <w:tcW w:w="3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(10)</w:t>
            </w: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6</w:t>
            </w:r>
          </w:p>
        </w:tc>
        <w:tc>
          <w:tcPr>
            <w:tcW w:w="9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1"/>
              </w:rPr>
              <w:t>$ (26)</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1"/>
              </w:rPr>
              <w:t>$ (24)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taxes on income</w:t>
            </w:r>
          </w:p>
        </w:tc>
        <w:tc>
          <w:tcPr>
            <w:tcW w:w="37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361</w:t>
            </w:r>
          </w:p>
        </w:tc>
        <w:tc>
          <w:tcPr>
            <w:tcW w:w="5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278</w:t>
            </w:r>
          </w:p>
        </w:tc>
        <w:tc>
          <w:tcPr>
            <w:tcW w:w="5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735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720" w:type="dxa"/>
            <w:vAlign w:val="bottom"/>
            <w:vMerge w:val="restart"/>
          </w:tcPr>
          <w:p>
            <w:pPr>
              <w:jc w:val="right"/>
              <w:ind w:right="1932"/>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4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72" w:right="27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US statutory federal tax rate (35%) to the consolidated effective tax rate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6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20" w:type="dxa"/>
            <w:vAlign w:val="bottom"/>
          </w:tcPr>
          <w:p>
            <w:pPr>
              <w:spacing w:after="0"/>
              <w:rPr>
                <w:sz w:val="14"/>
                <w:szCs w:val="14"/>
                <w:color w:val="auto"/>
              </w:rPr>
            </w:pPr>
          </w:p>
        </w:tc>
        <w:tc>
          <w:tcPr>
            <w:tcW w:w="13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2007</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35%</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US state income taxes</w:t>
            </w:r>
          </w:p>
        </w:tc>
        <w:tc>
          <w:tcPr>
            <w:tcW w:w="9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1</w:t>
            </w: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US income taxed at different rates</w:t>
            </w: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(11)</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Effect of equity method investment</w:t>
            </w: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(1)</w:t>
            </w: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 production and other deductions/credits</w:t>
            </w:r>
          </w:p>
        </w:tc>
        <w:tc>
          <w:tcPr>
            <w:tcW w:w="9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w:t>
            </w: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Charges and credits</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6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8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22%</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July 2006, the Financial Accounting Standards Board (FASB) issued FASB Interpretation No. 48, </w:t>
      </w:r>
      <w:r>
        <w:rPr>
          <w:rFonts w:ascii="Times New Roman" w:cs="Times New Roman" w:eastAsia="Times New Roman" w:hAnsi="Times New Roman"/>
          <w:sz w:val="18"/>
          <w:szCs w:val="18"/>
          <w:i w:val="1"/>
          <w:iCs w:val="1"/>
          <w:color w:val="auto"/>
        </w:rPr>
        <w:t>Accounting for Uncertainty in Income Taxes –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Interpretation of FASB Statement No. 109 </w:t>
      </w:r>
      <w:r>
        <w:rPr>
          <w:rFonts w:ascii="Times New Roman" w:cs="Times New Roman" w:eastAsia="Times New Roman" w:hAnsi="Times New Roman"/>
          <w:sz w:val="18"/>
          <w:szCs w:val="18"/>
          <w:color w:val="auto"/>
        </w:rPr>
        <w:t>(FIN 48), which clarifies the accounting for uncertain tax positions. This interpretation requires companies to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their financial statements the impact of a tax position, if that position is more likely than not of being sustained on audit, based on the technical merits of the position. Schlumberger adopted the provisions of FIN 48 effective January 1, 2007. The adoption of FIN 48 did not have any impact on the total liabilities or stockholders’ equity of Schlumberger.</w:t>
      </w:r>
    </w:p>
    <w:p>
      <w:pPr>
        <w:spacing w:after="0" w:line="134"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color w:val="auto"/>
        </w:rPr>
        <w:t xml:space="preserve">Included in the Schlumberger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at January 1, 2007 is approximately $764 million of liabilities associated with uncertain tax positions in the over 100 jurisdictions in which Schlumberger conducts business. This amount includes $94 million of accrued interest and penalties. Approximately $739 million of unrecognized tax benefits, if recognized, would impact the Schlumberger effective tax rate.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Schlumberger classifies interest and penalties relating to uncertain tax positions within </w:t>
      </w:r>
      <w:r>
        <w:rPr>
          <w:rFonts w:ascii="Times New Roman" w:cs="Times New Roman" w:eastAsia="Times New Roman" w:hAnsi="Times New Roman"/>
          <w:sz w:val="18"/>
          <w:szCs w:val="18"/>
          <w:i w:val="1"/>
          <w:iCs w:val="1"/>
          <w:color w:val="auto"/>
        </w:rPr>
        <w:t>Taxes on income</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i w:val="1"/>
          <w:iCs w:val="1"/>
          <w:color w:val="auto"/>
        </w:rPr>
        <w:t>Consolidated Statement of Income</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5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2002 - 2006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2001 - 2006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w:t>
            </w:r>
          </w:p>
        </w:tc>
        <w:tc>
          <w:tcPr>
            <w:tcW w:w="5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2003 - 2006</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2001 - 2006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5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2004 - 2006</w:t>
            </w:r>
          </w:p>
        </w:tc>
      </w:tr>
      <w:tr>
        <w:trPr>
          <w:trHeight w:val="228"/>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2003 - 2006</w:t>
            </w:r>
          </w:p>
        </w:tc>
      </w:tr>
    </w:tbl>
    <w:p>
      <w:pPr>
        <w:spacing w:after="0" w:line="13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certain of the jurisdictions noted above, Schlumberger operates through more than one legal entity, each of which has different open years subject to examination. The table above presents the open years subject to examination for the most material of the legal entities in each jurisdiction. Additionally, it is important to note that years are technically not closed until the statute of limitations in each jurisdiction expires. In the jurisdictions noted above, the statute of limitations can extend beyond the open years subject to examination.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272" w:right="27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Due to the breadth of the operations of Schlumberger, numerous tax audits may be ongoing throughout the world at any point in time.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w:t>
      </w:r>
    </w:p>
    <w:p>
      <w:pPr>
        <w:spacing w:after="0" w:line="256"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90"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includes accruals for estimated future expenditures, relating to contractual obligations associated with business divestitures that have been completed. It is possible that the ultimate expenditures may differ from the amounts recorded. In the opinion of management, such differences are not expected to be material relative to consolidated liquidity, financial position or future results of operations.</w:t>
      </w:r>
    </w:p>
    <w:p>
      <w:pPr>
        <w:spacing w:after="0" w:line="1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Consolidated Balance Sheet</w:t>
      </w:r>
      <w:r>
        <w:rPr>
          <w:rFonts w:ascii="Times New Roman" w:cs="Times New Roman" w:eastAsia="Times New Roman" w:hAnsi="Times New Roman"/>
          <w:sz w:val="18"/>
          <w:szCs w:val="18"/>
          <w:color w:val="auto"/>
        </w:rPr>
        <w:t xml:space="preserve"> includes accruals for estimated future costs associated with certain environmental remediation activities related to the past use or disposal of hazardous materials where it is probable that Schlumberger has incurred a liability and such amount can be reasonably estimated. Substantially all such costs relate to divested operations and to facilities or locations that are no longer in operation. Due to a number of uncertainties, including uncertainty of timing, the scope of remediation, future technology, regulatory changes, natural resource or property damage claims and other factors, it is possible that the ultimate remediation costs may exceed the amounts estimated. However, in the opinion of management, any such additional costs are not expected to be material relative to consolidated liquidity, financial position or future results of operations.</w:t>
      </w:r>
    </w:p>
    <w:p>
      <w:pPr>
        <w:spacing w:after="0" w:line="14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December 2004, WesternGeco L.L.C. and Schlumberger Technology Corporation received federal grand jury subpoenas issued by the United States District Court for the Southern District of Texas. The subpoenas sought documents relating to possible fraud in obtaining visas for foreign crewmembers working on vessels operating on the Outer Continental Shelf of the Gulf of Mexico. On June 16, 2006, WesternGeco L.L.C. entered into an agreement with the United States Attorney’s Office for the Southern District of Texas resolving the issues raised in the federal investigation. Under the terms of the agreement, WesternGeco L.L.C. accepted responsibility for U.S. visa violations and agreed to pay a monetary penalty of $18 million and reimburse the United States Government for $1.6 million in investigation expenses. Additionally, WesternGeco L.L.C. entered into a twelve-month Deferred Prosecution Agreement (“DPA”), during which time its Gulf of Mexico activities were subject to monitoring by the United States Government. At the conclusion of this twelve-month period on June 16, 2007, WesternGeco L.L.C. was determined to have complied with the terms of the DPA. As a result, the DPA expired and no prosecution arising from the investigation will be brought. Moreover, WesternGeco has developed and implemented a comprehensive visa and immigration compliance program to prevent a recurrence of improper visa practices.</w:t>
      </w:r>
    </w:p>
    <w:p>
      <w:pPr>
        <w:spacing w:after="0" w:line="141" w:lineRule="exact"/>
        <w:rPr>
          <w:sz w:val="20"/>
          <w:szCs w:val="20"/>
          <w:color w:val="auto"/>
        </w:rPr>
      </w:pPr>
    </w:p>
    <w:p>
      <w:pPr>
        <w:ind w:right="300"/>
        <w:spacing w:after="0" w:line="301" w:lineRule="auto"/>
        <w:rPr>
          <w:sz w:val="20"/>
          <w:szCs w:val="20"/>
          <w:color w:val="auto"/>
        </w:rPr>
      </w:pPr>
      <w:r>
        <w:rPr>
          <w:rFonts w:ascii="Times New Roman" w:cs="Times New Roman" w:eastAsia="Times New Roman" w:hAnsi="Times New Roman"/>
          <w:sz w:val="16"/>
          <w:szCs w:val="16"/>
          <w:color w:val="auto"/>
        </w:rPr>
        <w:t>Schlumberger and its subsidiaries are party to various other legal proceedings from time to time. A liability is accrued when a loss is both probable and can be reasonably estimated. At this time the ultimate disposition of these proceedings is not presently determinable and therefore, it is not possible to estimate the amount of loss or range of possible losses that might result from an adverse judgment or settlement in any of these matters. However, in the opinion of Schlumberger, any liability that might ensue would not be material in relation to the consolidated liquidity, financial position or future results of operations.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2"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operates two business segments: Oilfield Services and WesternGeco.</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9"/>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SECOND QUARTER 2007</w:t>
            </w:r>
          </w:p>
        </w:tc>
        <w:tc>
          <w:tcPr>
            <w:tcW w:w="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 xml:space="preserve">SECOND QUARTER 2006 </w:t>
            </w:r>
            <w:r>
              <w:rPr>
                <w:rFonts w:ascii="Times New Roman" w:cs="Times New Roman" w:eastAsia="Times New Roman" w:hAnsi="Times New Roman"/>
                <w:sz w:val="22"/>
                <w:szCs w:val="22"/>
                <w:b w:val="1"/>
                <w:bCs w:val="1"/>
                <w:color w:val="auto"/>
                <w:w w:val="98"/>
                <w:vertAlign w:val="superscript"/>
              </w:rPr>
              <w:t>(1)</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3"/>
          </w:tcPr>
          <w:p>
            <w:pPr>
              <w:jc w:val="right"/>
              <w:ind w:right="180"/>
              <w:spacing w:after="0" w:line="125"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12"/>
              <w:spacing w:after="0" w:line="125" w:lineRule="exact"/>
              <w:rPr>
                <w:sz w:val="20"/>
                <w:szCs w:val="20"/>
                <w:color w:val="auto"/>
              </w:rPr>
            </w:pPr>
            <w:r>
              <w:rPr>
                <w:rFonts w:ascii="Times New Roman" w:cs="Times New Roman" w:eastAsia="Times New Roman" w:hAnsi="Times New Roman"/>
                <w:sz w:val="14"/>
                <w:szCs w:val="14"/>
                <w:b w:val="1"/>
                <w:bCs w:val="1"/>
                <w:color w:val="auto"/>
                <w:w w:val="94"/>
              </w:rPr>
              <w:t>Income</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2"/>
              <w:spacing w:after="0" w:line="125" w:lineRule="exact"/>
              <w:rPr>
                <w:sz w:val="20"/>
                <w:szCs w:val="20"/>
                <w:color w:val="auto"/>
              </w:rPr>
            </w:pPr>
            <w:r>
              <w:rPr>
                <w:rFonts w:ascii="Times New Roman" w:cs="Times New Roman" w:eastAsia="Times New Roman" w:hAnsi="Times New Roman"/>
                <w:sz w:val="14"/>
                <w:szCs w:val="14"/>
                <w:b w:val="1"/>
                <w:bCs w:val="1"/>
                <w:color w:val="auto"/>
                <w:w w:val="90"/>
              </w:rPr>
              <w:t>Income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after tax</w:t>
            </w:r>
          </w:p>
        </w:tc>
        <w:tc>
          <w:tcPr>
            <w:tcW w:w="10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Minority</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after tax</w:t>
            </w: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Minority</w:t>
            </w:r>
          </w:p>
        </w:tc>
        <w:tc>
          <w:tcPr>
            <w:tcW w:w="100" w:type="dxa"/>
            <w:vAlign w:val="bottom"/>
          </w:tcPr>
          <w:p>
            <w:pPr>
              <w:spacing w:after="0"/>
              <w:rPr>
                <w:sz w:val="12"/>
                <w:szCs w:val="12"/>
                <w:color w:val="auto"/>
              </w:rPr>
            </w:pPr>
          </w:p>
        </w:tc>
        <w:tc>
          <w:tcPr>
            <w:tcW w:w="5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10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Revenue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4"/>
              </w:rPr>
              <w:t>&amp; MI</w:t>
            </w:r>
          </w:p>
        </w:tc>
        <w:tc>
          <w:tcPr>
            <w:tcW w:w="100" w:type="dxa"/>
            <w:vAlign w:val="bottom"/>
          </w:tcPr>
          <w:p>
            <w:pPr>
              <w:spacing w:after="0"/>
              <w:rPr>
                <w:sz w:val="14"/>
                <w:szCs w:val="14"/>
                <w:color w:val="auto"/>
              </w:rPr>
            </w:pP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8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60" w:type="dxa"/>
            <w:vAlign w:val="bottom"/>
          </w:tcPr>
          <w:p>
            <w:pPr>
              <w:spacing w:after="0"/>
              <w:rPr>
                <w:sz w:val="14"/>
                <w:szCs w:val="14"/>
                <w:color w:val="auto"/>
              </w:rPr>
            </w:pPr>
          </w:p>
        </w:tc>
        <w:tc>
          <w:tcPr>
            <w:tcW w:w="760" w:type="dxa"/>
            <w:vAlign w:val="bottom"/>
            <w:gridSpan w:val="2"/>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&amp; MI</w:t>
            </w: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4"/>
              </w:rPr>
              <w:t>&amp; MI</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&amp; MI</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(Stated</w:t>
            </w: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1"/>
              </w:rPr>
              <w:t>millions)</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Oilfield Services</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1,339</w:t>
            </w:r>
          </w:p>
        </w:tc>
        <w:tc>
          <w:tcPr>
            <w:tcW w:w="2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2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2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24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1,266</w:t>
            </w:r>
          </w:p>
        </w:tc>
        <w:tc>
          <w:tcPr>
            <w:tcW w:w="24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2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1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Latin America</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Europe/CIS/W. Africa</w:t>
            </w: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Middle East &amp; Asia</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Elims/Other</w:t>
            </w: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1,134</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1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WesternGeco</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Elims &amp; Other</w:t>
            </w: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3"/>
                <w:szCs w:val="13"/>
                <w:color w:val="auto"/>
              </w:rPr>
            </w:pPr>
          </w:p>
        </w:tc>
        <w:tc>
          <w:tcPr>
            <w:tcW w:w="760" w:type="dxa"/>
            <w:vAlign w:val="bottom"/>
            <w:gridSpan w:val="2"/>
          </w:tcPr>
          <w:p>
            <w:pPr>
              <w:jc w:val="right"/>
              <w:ind w:right="132"/>
              <w:spacing w:after="0" w:line="155" w:lineRule="exact"/>
              <w:rPr>
                <w:sz w:val="20"/>
                <w:szCs w:val="20"/>
                <w:color w:val="auto"/>
              </w:rPr>
            </w:pPr>
            <w:r>
              <w:rPr>
                <w:rFonts w:ascii="Times New Roman" w:cs="Times New Roman" w:eastAsia="Times New Roman" w:hAnsi="Times New Roman"/>
                <w:sz w:val="14"/>
                <w:szCs w:val="14"/>
                <w:color w:val="auto"/>
              </w:rPr>
              <w:t>(78)</w:t>
            </w:r>
          </w:p>
        </w:tc>
        <w:tc>
          <w:tcPr>
            <w:tcW w:w="140" w:type="dxa"/>
            <w:vAlign w:val="bottom"/>
          </w:tcPr>
          <w:p>
            <w:pPr>
              <w:spacing w:after="0"/>
              <w:rPr>
                <w:sz w:val="13"/>
                <w:szCs w:val="13"/>
                <w:color w:val="auto"/>
              </w:rPr>
            </w:pPr>
          </w:p>
        </w:tc>
        <w:tc>
          <w:tcPr>
            <w:tcW w:w="60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3"/>
                <w:szCs w:val="13"/>
                <w:color w:val="auto"/>
              </w:rPr>
            </w:pPr>
          </w:p>
        </w:tc>
        <w:tc>
          <w:tcPr>
            <w:tcW w:w="66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(58)</w:t>
            </w:r>
          </w:p>
        </w:tc>
        <w:tc>
          <w:tcPr>
            <w:tcW w:w="200" w:type="dxa"/>
            <w:vAlign w:val="bottom"/>
          </w:tcPr>
          <w:p>
            <w:pPr>
              <w:spacing w:after="0"/>
              <w:rPr>
                <w:sz w:val="13"/>
                <w:szCs w:val="13"/>
                <w:color w:val="auto"/>
              </w:rPr>
            </w:pPr>
          </w:p>
        </w:tc>
        <w:tc>
          <w:tcPr>
            <w:tcW w:w="58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3"/>
                <w:szCs w:val="13"/>
                <w:color w:val="auto"/>
              </w:rPr>
            </w:pPr>
          </w:p>
        </w:tc>
        <w:tc>
          <w:tcPr>
            <w:tcW w:w="520" w:type="dxa"/>
            <w:vAlign w:val="bottom"/>
            <w:gridSpan w:val="2"/>
          </w:tcPr>
          <w:p>
            <w:pPr>
              <w:jc w:val="right"/>
              <w:ind w:right="100"/>
              <w:spacing w:after="0" w:line="155"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5,639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1,290</w:t>
            </w:r>
          </w:p>
        </w:tc>
        <w:tc>
          <w:tcPr>
            <w:tcW w:w="28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4,687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935</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line="20" w:lineRule="exact"/>
              <w:rPr>
                <w:sz w:val="1"/>
                <w:szCs w:val="1"/>
                <w:color w:val="auto"/>
              </w:rPr>
            </w:pPr>
          </w:p>
        </w:tc>
      </w:tr>
      <w:tr>
        <w:trPr>
          <w:trHeight w:val="143"/>
        </w:trPr>
        <w:tc>
          <w:tcPr>
            <w:tcW w:w="4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 xml:space="preserve">Interest Expense </w:t>
            </w:r>
            <w:r>
              <w:rPr>
                <w:rFonts w:ascii="Times New Roman" w:cs="Times New Roman" w:eastAsia="Times New Roman" w:hAnsi="Times New Roman"/>
                <w:sz w:val="20"/>
                <w:szCs w:val="20"/>
                <w:color w:val="auto"/>
                <w:vertAlign w:val="superscript"/>
              </w:rPr>
              <w:t>(2)</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(66)</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 xml:space="preserve">Charges and Credits </w:t>
            </w:r>
            <w:r>
              <w:rPr>
                <w:rFonts w:ascii="Times New Roman" w:cs="Times New Roman" w:eastAsia="Times New Roman" w:hAnsi="Times New Roman"/>
                <w:sz w:val="20"/>
                <w:szCs w:val="20"/>
                <w:color w:val="auto"/>
                <w:vertAlign w:val="superscript"/>
              </w:rPr>
              <w:t>(3)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80" w:hanging="452"/>
        <w:spacing w:after="0" w:line="255" w:lineRule="auto"/>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2007, a GeoMarket* that had been included in the Middle East &amp; Asia Area was reassigned to the Europe/CIS/W.Africa Area. Certain activities have also been reallocated between Oilfield Services and WesternGeco. Prior period data has been reclassified to conform to the current organizational structure.</w:t>
      </w: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interest expense included in the segment results ($1 million in 2007; $2 million in 2006).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Charges and Credits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2"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8"/>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2007</w:t>
            </w: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8"/>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xml:space="preserve">SIX MONTHS 2006 </w:t>
            </w:r>
            <w:r>
              <w:rPr>
                <w:rFonts w:ascii="Times New Roman" w:cs="Times New Roman" w:eastAsia="Times New Roman" w:hAnsi="Times New Roman"/>
                <w:sz w:val="22"/>
                <w:szCs w:val="22"/>
                <w:b w:val="1"/>
                <w:bCs w:val="1"/>
                <w:color w:val="auto"/>
                <w:vertAlign w:val="superscript"/>
              </w:rPr>
              <w:t>(1)</w:t>
            </w: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Income</w:t>
            </w: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2"/>
              <w:spacing w:after="0" w:line="125" w:lineRule="exact"/>
              <w:rPr>
                <w:sz w:val="20"/>
                <w:szCs w:val="20"/>
                <w:color w:val="auto"/>
              </w:rPr>
            </w:pPr>
            <w:r>
              <w:rPr>
                <w:rFonts w:ascii="Times New Roman" w:cs="Times New Roman" w:eastAsia="Times New Roman" w:hAnsi="Times New Roman"/>
                <w:sz w:val="14"/>
                <w:szCs w:val="14"/>
                <w:b w:val="1"/>
                <w:bCs w:val="1"/>
                <w:color w:val="auto"/>
                <w:w w:val="90"/>
              </w:rPr>
              <w:t>Income</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ind w:right="12"/>
              <w:spacing w:after="0" w:line="125" w:lineRule="exact"/>
              <w:rPr>
                <w:sz w:val="20"/>
                <w:szCs w:val="20"/>
                <w:color w:val="auto"/>
              </w:rPr>
            </w:pPr>
            <w:r>
              <w:rPr>
                <w:rFonts w:ascii="Times New Roman" w:cs="Times New Roman" w:eastAsia="Times New Roman" w:hAnsi="Times New Roman"/>
                <w:sz w:val="14"/>
                <w:szCs w:val="14"/>
                <w:b w:val="1"/>
                <w:bCs w:val="1"/>
                <w:color w:val="auto"/>
                <w:w w:val="90"/>
              </w:rPr>
              <w:t>Income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Minority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Tax</w:t>
            </w:r>
          </w:p>
        </w:tc>
        <w:tc>
          <w:tcPr>
            <w:tcW w:w="8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after tax</w:t>
            </w:r>
          </w:p>
        </w:tc>
        <w:tc>
          <w:tcPr>
            <w:tcW w:w="5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3"/>
              </w:rPr>
              <w:t>Minority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Tax</w:t>
            </w:r>
          </w:p>
        </w:tc>
        <w:tc>
          <w:tcPr>
            <w:tcW w:w="10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before tax</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tcPr>
          <w:p>
            <w:pPr>
              <w:spacing w:after="0"/>
              <w:rPr>
                <w:sz w:val="14"/>
                <w:szCs w:val="14"/>
                <w:color w:val="auto"/>
              </w:rPr>
            </w:pP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88"/>
              </w:rPr>
              <w:t>&amp; MI</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0" w:type="dxa"/>
            <w:vAlign w:val="bottom"/>
          </w:tcPr>
          <w:p>
            <w:pPr>
              <w:spacing w:after="0"/>
              <w:rPr>
                <w:sz w:val="14"/>
                <w:szCs w:val="14"/>
                <w:color w:val="auto"/>
              </w:rPr>
            </w:pPr>
          </w:p>
        </w:tc>
        <w:tc>
          <w:tcPr>
            <w:tcW w:w="760" w:type="dxa"/>
            <w:vAlign w:val="bottom"/>
            <w:gridSpan w:val="3"/>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&amp; MI</w:t>
            </w: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88"/>
              </w:rPr>
              <w:t>&amp; MI</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&amp; MI</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(Stated</w:t>
            </w:r>
          </w:p>
        </w:tc>
        <w:tc>
          <w:tcPr>
            <w:tcW w:w="20" w:type="dxa"/>
            <w:vAlign w:val="bottom"/>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1"/>
              </w:rPr>
              <w:t>millions)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Oilfield Services</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North America</w:t>
            </w:r>
          </w:p>
        </w:tc>
        <w:tc>
          <w:tcPr>
            <w:tcW w:w="1320" w:type="dxa"/>
            <w:vAlign w:val="bottom"/>
            <w:gridSpan w:val="2"/>
          </w:tcPr>
          <w:p>
            <w:pPr>
              <w:ind w:left="1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2,713</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2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848</w:t>
            </w:r>
          </w:p>
        </w:tc>
        <w:tc>
          <w:tcPr>
            <w:tcW w:w="24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2,492</w:t>
            </w:r>
          </w:p>
        </w:tc>
        <w:tc>
          <w:tcPr>
            <w:tcW w:w="160" w:type="dxa"/>
            <w:vAlign w:val="bottom"/>
          </w:tcPr>
          <w:p>
            <w:pPr>
              <w:spacing w:after="0"/>
              <w:rPr>
                <w:sz w:val="12"/>
                <w:szCs w:val="12"/>
                <w:color w:val="auto"/>
              </w:rPr>
            </w:pPr>
          </w:p>
        </w:tc>
        <w:tc>
          <w:tcPr>
            <w:tcW w:w="1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160" w:type="dxa"/>
            <w:vAlign w:val="bottom"/>
          </w:tcPr>
          <w:p>
            <w:pPr>
              <w:spacing w:after="0"/>
              <w:rPr>
                <w:sz w:val="12"/>
                <w:szCs w:val="12"/>
                <w:color w:val="auto"/>
              </w:rPr>
            </w:pPr>
          </w:p>
        </w:tc>
        <w:tc>
          <w:tcPr>
            <w:tcW w:w="18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Latin America</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1,489</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Europe/CIS/W. Africa</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3,131</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449</w:t>
            </w: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Middle East &amp; Asia</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2,303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802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Elims/Other</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9,733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2,918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7,837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1,615</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2,093</w:t>
            </w:r>
          </w:p>
        </w:tc>
        <w:tc>
          <w:tcPr>
            <w:tcW w:w="0" w:type="dxa"/>
            <w:vAlign w:val="bottom"/>
          </w:tcPr>
          <w:p>
            <w:pPr>
              <w:spacing w:after="0"/>
              <w:rPr>
                <w:sz w:val="1"/>
                <w:szCs w:val="1"/>
                <w:color w:val="auto"/>
              </w:rPr>
            </w:pPr>
          </w:p>
        </w:tc>
      </w:tr>
      <w:tr>
        <w:trPr>
          <w:trHeight w:val="20"/>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WesternGeco</w:t>
            </w: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60" w:type="dxa"/>
            <w:vAlign w:val="bottom"/>
            <w:gridSpan w:val="3"/>
            <w:vMerge w:val="continue"/>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1,370</w:t>
            </w:r>
          </w:p>
        </w:tc>
        <w:tc>
          <w:tcPr>
            <w:tcW w:w="8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347</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3"/>
                <w:szCs w:val="13"/>
                <w:color w:val="auto"/>
              </w:rPr>
            </w:pPr>
          </w:p>
        </w:tc>
        <w:tc>
          <w:tcPr>
            <w:tcW w:w="52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482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1,093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182</w:t>
            </w:r>
          </w:p>
        </w:tc>
        <w:tc>
          <w:tcPr>
            <w:tcW w:w="180" w:type="dxa"/>
            <w:vAlign w:val="bottom"/>
          </w:tcPr>
          <w:p>
            <w:pPr>
              <w:spacing w:after="0"/>
              <w:rPr>
                <w:sz w:val="13"/>
                <w:szCs w:val="13"/>
                <w:color w:val="auto"/>
              </w:rPr>
            </w:pPr>
          </w:p>
        </w:tc>
        <w:tc>
          <w:tcPr>
            <w:tcW w:w="3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Elims &amp; Other</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52"/>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w w:val="98"/>
              </w:rPr>
              <w:t>11,103</w:t>
            </w: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2,504</w:t>
            </w:r>
          </w:p>
        </w:tc>
        <w:tc>
          <w:tcPr>
            <w:tcW w:w="240" w:type="dxa"/>
            <w:vAlign w:val="bottom"/>
          </w:tcPr>
          <w:p>
            <w:pPr>
              <w:spacing w:after="0"/>
              <w:rPr>
                <w:sz w:val="13"/>
                <w:szCs w:val="13"/>
                <w:color w:val="auto"/>
              </w:rPr>
            </w:pPr>
          </w:p>
        </w:tc>
        <w:tc>
          <w:tcPr>
            <w:tcW w:w="2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735</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8,926</w:t>
            </w:r>
          </w:p>
        </w:tc>
        <w:tc>
          <w:tcPr>
            <w:tcW w:w="160" w:type="dxa"/>
            <w:vAlign w:val="bottom"/>
          </w:tcPr>
          <w:p>
            <w:pPr>
              <w:spacing w:after="0"/>
              <w:rPr>
                <w:sz w:val="13"/>
                <w:szCs w:val="13"/>
                <w:color w:val="auto"/>
              </w:rPr>
            </w:pPr>
          </w:p>
        </w:tc>
        <w:tc>
          <w:tcPr>
            <w:tcW w:w="18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color w:val="auto"/>
              </w:rPr>
              <w:t>1,668</w:t>
            </w:r>
          </w:p>
        </w:tc>
        <w:tc>
          <w:tcPr>
            <w:tcW w:w="1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30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535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84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Interest Income</w:t>
            </w: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68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 xml:space="preserve">Interest Expense </w:t>
            </w:r>
            <w:r>
              <w:rPr>
                <w:rFonts w:ascii="Times New Roman" w:cs="Times New Roman" w:eastAsia="Times New Roman" w:hAnsi="Times New Roman"/>
                <w:sz w:val="20"/>
                <w:szCs w:val="20"/>
                <w:color w:val="auto"/>
                <w:vertAlign w:val="superscript"/>
              </w:rPr>
              <w:t>(2)</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152"/>
              <w:spacing w:after="0"/>
              <w:rPr>
                <w:sz w:val="20"/>
                <w:szCs w:val="20"/>
                <w:color w:val="auto"/>
              </w:rPr>
            </w:pPr>
            <w:r>
              <w:rPr>
                <w:rFonts w:ascii="Times New Roman" w:cs="Times New Roman" w:eastAsia="Times New Roman" w:hAnsi="Times New Roman"/>
                <w:sz w:val="14"/>
                <w:szCs w:val="14"/>
                <w:color w:val="auto"/>
              </w:rPr>
              <w:t>(133)</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 xml:space="preserve">Charges and Credits </w:t>
            </w:r>
            <w:r>
              <w:rPr>
                <w:rFonts w:ascii="Times New Roman" w:cs="Times New Roman" w:eastAsia="Times New Roman" w:hAnsi="Times New Roman"/>
                <w:sz w:val="20"/>
                <w:szCs w:val="20"/>
                <w:color w:val="auto"/>
                <w:vertAlign w:val="superscript"/>
              </w:rPr>
              <w:t>(3)</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3,174</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2,163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right="160" w:hanging="452"/>
        <w:spacing w:after="0" w:line="255" w:lineRule="auto"/>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2007, a GeoMarket that had been included in the Middle East &amp; Asia Area was reassigned to the Europe/CIS/W.Africa Area. Certain activities have also been reallocated between Oilfield Services and WesternGeco. Prior period data has been reclassified to conform to the current organizational structure.</w:t>
      </w: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interest expense included in the segment results ($2 million in 2007; $3 million in 2006).</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Charges and Credits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2" w:right="239" w:bottom="1440" w:gutter="0" w:footer="0" w:header="0"/>
        </w:sectPr>
      </w:pPr>
    </w:p>
    <w:bookmarkStart w:id="17" w:name="page18"/>
    <w:bookmarkEnd w:id="17"/>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(Schlumberger N.V., Incorporated in the Netherlands Antilles)</w:t>
      </w:r>
    </w:p>
    <w:p>
      <w:pPr>
        <w:spacing w:after="0" w:line="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and Subsidiary Companies</w:t>
      </w:r>
    </w:p>
    <w:p>
      <w:pPr>
        <w:spacing w:after="0" w:line="7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left="460" w:hanging="452"/>
        <w:spacing w:after="0"/>
        <w:tabs>
          <w:tab w:leader="none" w:pos="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Other Postretirement Benefits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pension cost for the Schlumberger US plans included the following components: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0" w:type="dxa"/>
            <w:vAlign w:val="bottom"/>
          </w:tcPr>
          <w:p>
            <w:pPr>
              <w:spacing w:after="0"/>
              <w:rPr>
                <w:sz w:val="14"/>
                <w:szCs w:val="1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2007</w:t>
            </w: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spacing w:after="0"/>
              <w:rPr>
                <w:sz w:val="12"/>
                <w:szCs w:val="12"/>
                <w:color w:val="auto"/>
              </w:rPr>
            </w:pPr>
          </w:p>
        </w:tc>
        <w:tc>
          <w:tcPr>
            <w:tcW w:w="2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74"/>
              </w:rPr>
              <w:t>(Stated</w:t>
            </w:r>
          </w:p>
        </w:tc>
        <w:tc>
          <w:tcPr>
            <w:tcW w:w="88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cost—benefits earned during period</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$ 28</w:t>
            </w:r>
          </w:p>
        </w:tc>
        <w:tc>
          <w:tcPr>
            <w:tcW w:w="2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28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(35)</w:t>
            </w: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(73)</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pension cost</w:t>
            </w: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2"/>
              </w:rPr>
              <w:t>$ 37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pension cost for the Schlumberger UK plan included the following components:</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7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6"/>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2007</w:t>
            </w: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gridSpan w:val="2"/>
          </w:tcPr>
          <w:p>
            <w:pPr>
              <w:spacing w:after="0"/>
              <w:rPr>
                <w:sz w:val="12"/>
                <w:szCs w:val="12"/>
                <w:color w:val="auto"/>
              </w:rPr>
            </w:pPr>
          </w:p>
        </w:tc>
        <w:tc>
          <w:tcPr>
            <w:tcW w:w="2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74"/>
              </w:rPr>
              <w:t>(Stated</w:t>
            </w:r>
          </w:p>
        </w:tc>
        <w:tc>
          <w:tcPr>
            <w:tcW w:w="88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cost—benefits earned during period</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$ 17</w:t>
            </w:r>
          </w:p>
        </w:tc>
        <w:tc>
          <w:tcPr>
            <w:tcW w:w="2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 &amp; 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pension cost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$ 19</w:t>
            </w:r>
          </w:p>
        </w:tc>
        <w:tc>
          <w:tcPr>
            <w:tcW w:w="2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postretirement benefit cost for the Schlumberger US plans included the following components:</w:t>
            </w: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7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6"/>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4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52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3"/>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52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w w:val="74"/>
              </w:rPr>
              <w:t>(Stated</w:t>
            </w:r>
          </w:p>
        </w:tc>
        <w:tc>
          <w:tcPr>
            <w:tcW w:w="88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cost—benefits earned during period</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5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2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$ 13</w:t>
            </w:r>
          </w:p>
        </w:tc>
        <w:tc>
          <w:tcPr>
            <w:tcW w:w="28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accumulated postretirement benefit obligation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6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loss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(7)</w:t>
            </w:r>
          </w:p>
        </w:tc>
        <w:tc>
          <w:tcPr>
            <w:tcW w:w="6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(14)</w:t>
            </w:r>
          </w:p>
        </w:tc>
        <w:tc>
          <w:tcPr>
            <w:tcW w:w="2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7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Net postretirement benefit cost</w:t>
            </w: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jc w:val="right"/>
              <w:ind w:right="1852"/>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7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272" w:right="699" w:bottom="1440" w:gutter="0" w:footer="0" w:header="0"/>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Item2:</w:t>
            </w:r>
          </w:p>
        </w:tc>
        <w:tc>
          <w:tcPr>
            <w:tcW w:w="7000" w:type="dxa"/>
            <w:vAlign w:val="bottom"/>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78"/>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BUSINESS REVIEW</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53"/>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3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69"/>
        </w:trPr>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42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2"/>
                <w:szCs w:val="12"/>
                <w:b w:val="1"/>
                <w:bCs w:val="1"/>
                <w:color w:val="auto"/>
              </w:rPr>
              <w:t>2006</w:t>
            </w:r>
            <w:r>
              <w:rPr>
                <w:rFonts w:ascii="Times New Roman" w:cs="Times New Roman" w:eastAsia="Times New Roman" w:hAnsi="Times New Roman"/>
                <w:sz w:val="19"/>
                <w:szCs w:val="19"/>
                <w:b w:val="1"/>
                <w:bCs w:val="1"/>
                <w:color w:val="auto"/>
                <w:vertAlign w:val="superscript"/>
              </w:rPr>
              <w:t>(1)</w:t>
            </w:r>
          </w:p>
        </w:tc>
        <w:tc>
          <w:tcPr>
            <w:tcW w:w="4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 chg</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2"/>
              </w:rPr>
              <w:t>2007</w:t>
            </w:r>
          </w:p>
        </w:tc>
        <w:tc>
          <w:tcPr>
            <w:tcW w:w="42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2"/>
                <w:szCs w:val="12"/>
                <w:b w:val="1"/>
                <w:bCs w:val="1"/>
                <w:color w:val="auto"/>
              </w:rPr>
              <w:t>2006</w:t>
            </w:r>
            <w:r>
              <w:rPr>
                <w:rFonts w:ascii="Times New Roman" w:cs="Times New Roman" w:eastAsia="Times New Roman" w:hAnsi="Times New Roman"/>
                <w:sz w:val="19"/>
                <w:szCs w:val="19"/>
                <w:b w:val="1"/>
                <w:bCs w:val="1"/>
                <w:color w:val="auto"/>
                <w:vertAlign w:val="superscript"/>
              </w:rPr>
              <w:t>(1)</w:t>
            </w:r>
          </w:p>
        </w:tc>
        <w:tc>
          <w:tcPr>
            <w:tcW w:w="42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3"/>
              </w:rPr>
              <w:t>% chg</w:t>
            </w:r>
          </w:p>
        </w:tc>
        <w:tc>
          <w:tcPr>
            <w:tcW w:w="14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4"/>
              </w:rPr>
              <w:t>(Stated</w:t>
            </w:r>
          </w:p>
        </w:tc>
        <w:tc>
          <w:tcPr>
            <w:tcW w:w="960" w:type="dxa"/>
            <w:vAlign w:val="bottom"/>
            <w:gridSpan w:val="3"/>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Oilfield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4,974</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3"/>
              </w:rPr>
              <w:t>4,126</w:t>
            </w:r>
          </w:p>
        </w:tc>
        <w:tc>
          <w:tcPr>
            <w:tcW w:w="84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9,733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7,837</w:t>
            </w: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46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Segment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1,513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3"/>
              </w:rPr>
              <w:t>1,134</w:t>
            </w:r>
          </w:p>
        </w:tc>
        <w:tc>
          <w:tcPr>
            <w:tcW w:w="84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2,918</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2,093</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82"/>
        </w:trPr>
        <w:tc>
          <w:tcPr>
            <w:tcW w:w="592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WesternGeco</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563</w:t>
            </w:r>
          </w:p>
        </w:tc>
        <w:tc>
          <w:tcPr>
            <w:tcW w:w="840" w:type="dxa"/>
            <w:vAlign w:val="bottom"/>
            <w:gridSpan w:val="2"/>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1,370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1,093</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6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Pretax Segment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169</w:t>
            </w:r>
          </w:p>
        </w:tc>
        <w:tc>
          <w:tcPr>
            <w:tcW w:w="840" w:type="dxa"/>
            <w:vAlign w:val="bottom"/>
            <w:gridSpan w:val="2"/>
          </w:tcPr>
          <w:p>
            <w:pPr>
              <w:jc w:val="right"/>
              <w:ind w:right="252"/>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4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461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83" w:lineRule="exact"/>
        <w:rPr>
          <w:sz w:val="20"/>
          <w:szCs w:val="20"/>
          <w:color w:val="auto"/>
        </w:rPr>
      </w:pPr>
    </w:p>
    <w:p>
      <w:pPr>
        <w:ind w:left="460" w:right="140" w:hanging="452"/>
        <w:spacing w:after="0" w:line="262" w:lineRule="auto"/>
        <w:tabs>
          <w:tab w:leader="none" w:pos="4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2007, a GeoMarket that had been included in the Middle East &amp; Asia Area was reassigned to the Europe/CIS/W.Africa Area. Certain activities have also been reallocated between Oilfield Services and WesternGeco. Prior period data has been reclassified to conform to the current organizational structure.</w:t>
      </w:r>
    </w:p>
    <w:p>
      <w:pPr>
        <w:spacing w:after="0" w:line="132"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 xml:space="preserve">Pretax operating income represents the business segments’ income before taxes and minority interest. The pretax operating income excludes corporate expenses, interest income, interest expense, amortization of certain intangible assets, interest on postretirement medical benefits and stock-based compensation costs and the </w:t>
      </w:r>
      <w:r>
        <w:rPr>
          <w:rFonts w:ascii="Times New Roman" w:cs="Times New Roman" w:eastAsia="Times New Roman" w:hAnsi="Times New Roman"/>
          <w:sz w:val="16"/>
          <w:szCs w:val="16"/>
          <w:i w:val="1"/>
          <w:iCs w:val="1"/>
          <w:color w:val="auto"/>
        </w:rPr>
        <w:t xml:space="preserve">Charges and Credits </w:t>
      </w:r>
      <w:r>
        <w:rPr>
          <w:rFonts w:ascii="Times New Roman" w:cs="Times New Roman" w:eastAsia="Times New Roman" w:hAnsi="Times New Roman"/>
          <w:sz w:val="16"/>
          <w:szCs w:val="16"/>
          <w:color w:val="auto"/>
        </w:rPr>
        <w:t>described in detail in Note 3 to the</w:t>
      </w:r>
      <w:r>
        <w:rPr>
          <w:rFonts w:ascii="Times New Roman" w:cs="Times New Roman" w:eastAsia="Times New Roman" w:hAnsi="Times New Roman"/>
          <w:sz w:val="16"/>
          <w:szCs w:val="16"/>
          <w:i w:val="1"/>
          <w:iCs w:val="1"/>
          <w:color w:val="auto"/>
        </w:rPr>
        <w:t xml:space="preserve"> Consolidated Financial Statements</w:t>
      </w:r>
      <w:r>
        <w:rPr>
          <w:rFonts w:ascii="Times New Roman" w:cs="Times New Roman" w:eastAsia="Times New Roman" w:hAnsi="Times New Roman"/>
          <w:sz w:val="16"/>
          <w:szCs w:val="16"/>
          <w:color w:val="auto"/>
        </w:rPr>
        <w:t>, as these items are not allocated to the segments.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Second Quarter 2007 Compared to Second Quarter 2006</w:t>
      </w:r>
    </w:p>
    <w:p>
      <w:pPr>
        <w:spacing w:after="0" w:line="9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 xml:space="preserve">Revenue for the second quarter of 2007 was $5.64 billion versus $4.69 billion for the same period last year. Income before income taxes and minority interest was $1.62 billion in 2007 compared to $1.14 billion in 2006. The 2006 results included pretax charges of $46 million. These </w:t>
      </w:r>
      <w:r>
        <w:rPr>
          <w:rFonts w:ascii="Times New Roman" w:cs="Times New Roman" w:eastAsia="Times New Roman" w:hAnsi="Times New Roman"/>
          <w:sz w:val="18"/>
          <w:szCs w:val="18"/>
          <w:i w:val="1"/>
          <w:iCs w:val="1"/>
          <w:color w:val="auto"/>
        </w:rPr>
        <w:t>Charges and Credits</w:t>
      </w:r>
      <w:r>
        <w:rPr>
          <w:rFonts w:ascii="Times New Roman" w:cs="Times New Roman" w:eastAsia="Times New Roman" w:hAnsi="Times New Roman"/>
          <w:sz w:val="18"/>
          <w:szCs w:val="18"/>
          <w:color w:val="auto"/>
        </w:rPr>
        <w:t xml:space="preserve"> are described in detail in Note 3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OILFIELD SERVICES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Second-quarter revenue of $4.97 billion was 5% higher sequentially and 21% higher year-on-year. Sequential revenue increases were highest in the US land, Brunei/Malaysia/Philippines, North Sea, Arabian and Eastern Mediterranean GeoMarkets. In addition, double-digit growth rates were experienced in the East and North Russia, Indonesia, China/Japan/Korea and Qatar GeoMarkets. Across all Areas demand was particularly strong for Drilling &amp; Measurements, Schlumberger Information Solutions (SIS), Artificial Lift Systems, Wireline and Well Services technologies.</w:t>
      </w:r>
    </w:p>
    <w:p>
      <w:pPr>
        <w:spacing w:after="0" w:line="13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Pretax operating income of $1.51 billion increased 8% sequentially and 33% year-on-year. The sequential increase was mainly driven by higher activity and a favorable technology mix in the Brunei/Malaysia/Philippines, Venezuela/Trinidad &amp; Tobago, US land, Eastern Mediterranean, Gulf Coast, Arabian, North Africa and China/Japan/Korea GeoMarkets, and by a favorable technology mix and higher product sales in the North Sea. These resulted in Oilfield Services pretax operating margins reaching 30.4%, a sequential increase of 90 basis points (bps).</w:t>
      </w:r>
    </w:p>
    <w:p>
      <w:pPr>
        <w:spacing w:after="0" w:line="13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During the quarter, Integrated Project Management (IPM) saw increased demand for services in the Peru/Colombia/Ecuador and North Russia GeoMarkets. Since the beginning of the year, IPM has been awarded an impressive $3.8 billion of new and extended contracts that cover project management, technology deployment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2" w:right="259" w:bottom="1440" w:gutter="0" w:footer="0" w:header="0"/>
        </w:sectPr>
      </w:pPr>
    </w:p>
    <w:bookmarkStart w:id="19" w:name="page20"/>
    <w:bookmarkEnd w:id="19"/>
    <w:p>
      <w:pPr>
        <w:ind w:right="34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third-party services in regions of Latin America, Russia, North Africa, Europe and Malaysia. Building on long-term customer relationships, these awards have increased contracted IPM work through the end of the decade to a total of $4.8 billion.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92"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Revenue of $1.34 billion decreased 3% sequentially but increased 6% year-on-year. Pretax operating income of $417 million decreased 3% sequentially but increased 11% year-on-year.</w:t>
      </w:r>
    </w:p>
    <w:p>
      <w:pPr>
        <w:spacing w:after="0" w:line="12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Sequentially, revenue in the US land GeoMarkets grew through increased activity following the lifting of seasonal land access restrictions, and continuing service intensity for Wireline, Drilling &amp; Measurements and Well Services technologies on horizontal wells in unconventional gas reservoirs. Growth was also recorded in the US Gulf Coast driven by higher demand for Drilling &amp; Measurements, Well Services and Well Testing technologies in deep-water reservoirs; and in Alaska as a result of higher exploration-related demand for Wireline, Well Testing and Well Services technologies. In addition, higher SIS product sales were recorded across the US GeoMarkets. However, growth in the US was more than offset by the significant activity slowdown in Western Canada that resulted from the early onset of the spring break-up, together with the lower prices for natural gas.</w:t>
      </w:r>
    </w:p>
    <w:p>
      <w:pPr>
        <w:spacing w:after="0" w:line="139"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Year-on-year revenue growth was led by the US land GeoMarkets, driven by strong exploration activity and higher service intensity in unconventional gas reservoirs. Demand was particularly strong for Well Services, Drilling &amp; Measurements and Wireline technologies. In addition, the US Gulf Coast and Alaska GeoMarkets recorded growth due to exploration-driven activities. This growth across the US was partially offset by the slowdown in Canada where revenues declined in line with rig count reductions reflecting the extended seasonal spring break-up and unfavorable customer sentiment driven by deteriorating economics.</w:t>
      </w:r>
    </w:p>
    <w:p>
      <w:pPr>
        <w:spacing w:after="0" w:line="139" w:lineRule="exact"/>
        <w:rPr>
          <w:sz w:val="20"/>
          <w:szCs w:val="20"/>
          <w:color w:val="auto"/>
        </w:rPr>
      </w:pPr>
    </w:p>
    <w:p>
      <w:pPr>
        <w:ind w:right="220"/>
        <w:spacing w:after="0" w:line="310" w:lineRule="auto"/>
        <w:rPr>
          <w:sz w:val="20"/>
          <w:szCs w:val="20"/>
          <w:color w:val="auto"/>
        </w:rPr>
      </w:pPr>
      <w:r>
        <w:rPr>
          <w:rFonts w:ascii="Times New Roman" w:cs="Times New Roman" w:eastAsia="Times New Roman" w:hAnsi="Times New Roman"/>
          <w:sz w:val="16"/>
          <w:szCs w:val="16"/>
          <w:color w:val="auto"/>
        </w:rPr>
        <w:t>Sequentially, pretax operating margins for the Area declined slightly by 21 bps to reach 31.2% primarily due to the activity slowdown in Canada and to pricing erosion in pressure pumping stimulation services in North America due to increases in equipment capacity. However, this decline was significantly offset by higher operating leverage in the US land GeoMarkets and a favorable exploration-driven activity mix in the US Gulf Coast and Alaska GeoMarkets.</w:t>
      </w:r>
    </w:p>
    <w:p>
      <w:pPr>
        <w:spacing w:after="0" w:line="97"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Year-on-year pretax operating margins grew by 148 bps resulting from a favorable activity mix driven by exploration activity in the US Gulf Coast and Alaska, and improved efficiency in US land. This growth was partially offset by the activity slowdown in Canada and pricing erosion resulting from excess pressure pumping capacity for stimulation services.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Latin America</w:t>
      </w:r>
    </w:p>
    <w:p>
      <w:pPr>
        <w:spacing w:after="0" w:line="9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Revenue of $761 million increased 5% sequentially and 14% year-on-year. Pretax operating income of $179 million increased 10% sequentially and 40% year-on-year.</w:t>
      </w:r>
    </w:p>
    <w:p>
      <w:pPr>
        <w:spacing w:after="0" w:line="120"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During the quarter, the two remaining contracts associated with the drilling barges in Venezuela were finalized. The resulting recognition of certain previously deferred revenues and related costs had a marginal impact on the Area’s sequential revenue and pretax operating income growth.</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Sequential revenue growth was driven by increased demand for Wireline and Well Testing technologies together with higher Artificial Lift Systems product sales in the Venezuela/Trinidad &amp; Tobago GeoMarket; strong demand for Wireline, Well Services and Well Testing technologies together with SIS and Completions product sales in Latin America South; continued strong exploration-driven Wireline activity and increased demand for IPM services in Peru/Colombia/Ecuador; and stronger Well Services activity in Mexico.</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274" w:right="259" w:bottom="1440" w:gutter="0" w:footer="0" w:header="0"/>
        </w:sectPr>
      </w:pPr>
    </w:p>
    <w:bookmarkStart w:id="20" w:name="page21"/>
    <w:bookmarkEnd w:id="20"/>
    <w:p>
      <w:pPr>
        <w:ind w:right="10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Year-on-year revenue increased due to higher Well Testing &amp; Well Services activities in the Venezuela/Trinidad &amp; Tobago GeoMarket, together with higher IPM activities in Peru/Colombia/Ecuador and by increased exploration activity in Latin America South.</w:t>
      </w:r>
    </w:p>
    <w:p>
      <w:pPr>
        <w:spacing w:after="0" w:line="120"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Sequential pretax operating margins increased by 118 bps to reach 23.6% as a result of the more favorable activity mix in Venezuela/Trinidad &amp; Tobago and Peru/Colombia/Ecuador. This performance was partially offset by start-up costs for projects in Mexico.</w:t>
      </w:r>
    </w:p>
    <w:p>
      <w:pPr>
        <w:spacing w:after="0" w:line="120" w:lineRule="exact"/>
        <w:rPr>
          <w:sz w:val="20"/>
          <w:szCs w:val="20"/>
          <w:color w:val="auto"/>
        </w:rPr>
      </w:pPr>
    </w:p>
    <w:p>
      <w:pPr>
        <w:spacing w:after="0" w:line="339" w:lineRule="auto"/>
        <w:rPr>
          <w:sz w:val="20"/>
          <w:szCs w:val="20"/>
          <w:color w:val="auto"/>
        </w:rPr>
      </w:pPr>
      <w:r>
        <w:rPr>
          <w:rFonts w:ascii="Times New Roman" w:cs="Times New Roman" w:eastAsia="Times New Roman" w:hAnsi="Times New Roman"/>
          <w:sz w:val="16"/>
          <w:szCs w:val="16"/>
          <w:color w:val="auto"/>
        </w:rPr>
        <w:t>Year-on-year pretax operating margins expanded by a robust 432 bps driven by pricing gains in Venezuela/Trinidad &amp; Tobago, a favorable revenue mix in Mexico reflecting the shift in revenue mix away from lower margin third-party billings, and increased higher margin Wireline activity in Latin America South.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Europe/CIS/West Africa</w:t>
      </w:r>
    </w:p>
    <w:p>
      <w:pPr>
        <w:spacing w:after="0" w:line="9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Revenue of $1.61 billion increased 6% sequentially and 30% year-on-year. Pretax operating income of $462 million increased 7% sequentially and 46% year-on-year.</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Sequential revenue growth was driven by the higher rig count in the East Russia, Continental Europe, Libya and North Africa GeoMarkets; strong demand for exploration-related Wireline, Drilling &amp; Measurements and Well Testing technologies together with higher Artificial Lift Systems and Completions product sales in the North Sea; and increased demand for Well Services technologies, higher Artificial Lift Systems product sales and higher IPM activity in North Russia. This growth was partially offset by seasonal weather-related effects in South Russia.</w:t>
      </w:r>
    </w:p>
    <w:p>
      <w:pPr>
        <w:spacing w:after="0" w:line="13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Year-on-year revenue increase was driven by higher rig count in the West and South Africa, Continental Europe and Nigeria GeoMarkets, increased exploration-driven activity in the North Sea together with higher demand for Drilling &amp; Measurements technologies across the Russian GeoMarkets.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Sequential pretax operating margins reached 28.7% driven primarily by a more favorable activity mix in the North Sea, North Africa and Russia GeoMarkets.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performance was partially dampened by the weather-related seasonal effects in South Russia.</w:t>
      </w:r>
    </w:p>
    <w:p>
      <w:pPr>
        <w:spacing w:after="0" w:line="15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Year-on-year pretax operating margins grew by 309 bps driven primarily by increased demand for higher margin Drilling &amp; Measurements technologies in the Caspian GeoMarket, increased demand for higher margin Wireline and Drilling &amp; Measurements technologies in Eastern Europe together with favorable activity mix in West &amp; South Africa and the North Sea. This was offset partially by a slight decline in the Russian GeoMarkets primarily due to pricing erosion resulting from pressure pumping capacity entering the market from Canada.</w:t>
      </w:r>
    </w:p>
    <w:p>
      <w:pPr>
        <w:spacing w:after="0" w:line="136" w:lineRule="exact"/>
        <w:rPr>
          <w:sz w:val="20"/>
          <w:szCs w:val="20"/>
          <w:color w:val="auto"/>
        </w:rPr>
      </w:pPr>
    </w:p>
    <w:p>
      <w:pPr>
        <w:ind w:right="840"/>
        <w:spacing w:after="0" w:line="275" w:lineRule="auto"/>
        <w:rPr>
          <w:sz w:val="20"/>
          <w:szCs w:val="20"/>
          <w:color w:val="auto"/>
        </w:rPr>
      </w:pPr>
      <w:r>
        <w:rPr>
          <w:rFonts w:ascii="Times New Roman" w:cs="Times New Roman" w:eastAsia="Times New Roman" w:hAnsi="Times New Roman"/>
          <w:sz w:val="18"/>
          <w:szCs w:val="18"/>
          <w:color w:val="auto"/>
        </w:rPr>
        <w:t>Schlumberger completed the acquisition of Tyumenpromgeofizika during the second quarter of 2007. Tyumenpromgeofizika provides a wide range of geophysical and wireline logging services in Western Siberia.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Middle East &amp; Asia</w:t>
      </w:r>
    </w:p>
    <w:p>
      <w:pPr>
        <w:spacing w:after="0" w:line="9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Revenue of $1.21 billion increased 11% sequentially and 32% year-on-year. Pretax operating income of $428 million increased 14% sequentially and 43% year-on-year.</w:t>
      </w:r>
    </w:p>
    <w:p>
      <w:pPr>
        <w:spacing w:after="0" w:line="120"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The sequential growth in revenue resulted from higher activity in the Brunei/Malaysia/Philippines, Indonesia, Qatar, Australia/Papua New Guinea and China/Japan/Korea GeoMarkets; stronger exploration-driven deep-water activity in Eastern Mediterranean; and higher demand for Wireline, Completions and Artificial Lift Systems technologies in the Arabian GeoMarket. This growth was partially offset by the lower rig count in Thailand/Vietnam.</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274" w:right="259" w:bottom="1440" w:gutter="0" w:footer="0" w:header="0"/>
        </w:sectPr>
      </w:pPr>
    </w:p>
    <w:bookmarkStart w:id="21" w:name="page22"/>
    <w:bookmarkEnd w:id="2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Year-on-year revenue increased due to higher rig count and increased demand for Well Services, Wireline and Well Testing technologies in the Arabian GeoMarket, increased application of new technologies in deep-water environments in the East Mediterranean GeoMarket, increased levels of exploration activity in the Australia/New Zealand/Papua New Guinea, Thailand/Vietnam and Qatar GeoMarkets, and higher rig count, pricing gains and increased demand for Drilling &amp; Measurements and Wireline technologies in India.</w:t>
      </w:r>
    </w:p>
    <w:p>
      <w:pPr>
        <w:spacing w:after="0" w:line="13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Pretax operating margins grew sequentially by 103 bps to reach 35.3%, driven by a more favorable deep-water exploration-driven activity mix in Brunei/Malaysia/Philippines, demand for higher-margin Wireline technology in China/Japan/Korea, and higher-margin Completions and Artificial Lift Systems product sales in the Arabian GeoMarket. This growth was offset by the slowdown in Thailand/Vietnam and lower deep-water activity in India.</w:t>
      </w:r>
    </w:p>
    <w:p>
      <w:pPr>
        <w:spacing w:after="0" w:line="13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Year-on-year pretax margins expanded by 271 bps due to a favorable exploration-driven technology mix in the Arabian, East Mediterranean, Thailand/Vietnam and India GeoMarkets.</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WESTERNGECO</w:t>
      </w:r>
    </w:p>
    <w:p>
      <w:pPr>
        <w:spacing w:after="0" w:line="173"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8"/>
          <w:szCs w:val="18"/>
          <w:color w:val="auto"/>
        </w:rPr>
        <w:t>Second-quarter revenue of $665 million was 6% lower sequentially but 18% higher compared to the same period last year. Pretax operating income of $216 million decreased 19% sequentially but increased 28% year-on-year.</w:t>
      </w:r>
    </w:p>
    <w:p>
      <w:pPr>
        <w:spacing w:after="0" w:line="12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Sequentially, Marine revenue increased due to higher production and pricing despite seasonal transits and scheduled dry dock inspections. Data Processing revenue also increased driven primarily by higher sales in North America, Europe, Africa and the Middle East, while Land revenue remained flat. However, the improvement in Marine and Data Processing revenues was more than offset by the normal seasonal decline in Multiclient revenues.</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Year-on-year revenue of $665 million increased 18%. This was driven primarily by higher Multiclient sales recorded with the commencement of the significantly pre-funded E-Octopus surveys, continued demand for the E-Cat and E-Dog deep-water reprocessing surveys and demand for surveys offshore Africa; higher Marine revenues driven by higher production and price increases; and higher Data Processing revenue in Africa and Asia. These increases were partially offset by lower Land activity in the Middle East and Africa.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Sequentially, pretax operating margins declined to 32.5% due to the lower Multiclient sales and to crew costs associated with certain Land projects.</w:t>
      </w:r>
    </w:p>
    <w:p>
      <w:pPr>
        <w:spacing w:after="0" w:line="171"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Year-on-year pretax operating income of $216 million increased 28% due to higher-margin sales in Multiclient, Marine and Data Processing. This was partially offset by higher costs associated with Land.</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Six Months 2007 Compared to Six Months 2006</w:t>
      </w:r>
    </w:p>
    <w:p>
      <w:pPr>
        <w:spacing w:after="0" w:line="92"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 xml:space="preserve">Revenue for the six-month period ended June 30, 2007 was $11.10 billion versus $8.93 billion for the same period last year. Income before income taxes and minority interest was $3.17 billion in 2007 compared to $2.16 billion in 2006. The 2006 results included pretax charges of $46 million. These </w:t>
      </w:r>
      <w:r>
        <w:rPr>
          <w:rFonts w:ascii="Times New Roman" w:cs="Times New Roman" w:eastAsia="Times New Roman" w:hAnsi="Times New Roman"/>
          <w:sz w:val="18"/>
          <w:szCs w:val="18"/>
          <w:i w:val="1"/>
          <w:iCs w:val="1"/>
          <w:color w:val="auto"/>
        </w:rPr>
        <w:t>Charges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Credits </w:t>
      </w:r>
      <w:r>
        <w:rPr>
          <w:rFonts w:ascii="Times New Roman" w:cs="Times New Roman" w:eastAsia="Times New Roman" w:hAnsi="Times New Roman"/>
          <w:sz w:val="18"/>
          <w:szCs w:val="18"/>
          <w:color w:val="auto"/>
        </w:rPr>
        <w:t>are described in detail in Note 3 to the</w:t>
      </w:r>
      <w:r>
        <w:rPr>
          <w:rFonts w:ascii="Times New Roman" w:cs="Times New Roman" w:eastAsia="Times New Roman" w:hAnsi="Times New Roman"/>
          <w:sz w:val="18"/>
          <w:szCs w:val="18"/>
          <w:i w:val="1"/>
          <w:iCs w:val="1"/>
          <w:color w:val="auto"/>
        </w:rPr>
        <w:t xml:space="preserve"> Consolidated Financial Statements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OILFIELD SERVICES</w:t>
      </w:r>
    </w:p>
    <w:p>
      <w:pPr>
        <w:spacing w:after="0" w:line="17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Six month revenue of $9.73 billion was 24% higher versus the same period last year. Pretax operating income of $2.92 billion increased 39% year-on-year. Year-on-year revenue growth was strongest in the Thailand/Vietnam, Australasia, Eastern Mediterranean, West &amp; South Africa, and Venezuela/Trinidad &amp; Tobago GeoMarkets. Double-digit growth was achieved in all Technologies.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4"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North America</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Revenue of $2.71 billion increased 9% versus the same period last year. Pretax operating income of $848 million increased 13% year-on-year. Growth was driven by a strong exploration season in Alaska and increased application of high-margin Drilling &amp; Measurements technologies in the deep-water environment of the Gulf Coast. In addition, GeoMarkets in US land generated solid growth from a combination of pressure pumping stimulation services pricing gains, and an increased volume of horizontal well drilling in unconventional gas plays. This was partially offset by declines in Canada with an extended spring break-up period and negative customer sentiment driven by deteriorating economics.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Latin America</w:t>
      </w:r>
    </w:p>
    <w:p>
      <w:pPr>
        <w:spacing w:after="0" w:line="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Revenue of $1.49 billion was 18% higher year-on-year. Pretax operating income of $342 million increased 53% versus the same period last year. Year-on-year increases were highest in the Venezuela/Trinidad &amp; Tobago GeoMarket with strong demand for Drilling &amp; Measurements technologies, increased Completion product sales, and rising Well Testing activity, coupled with the recognition of certain deferred revenues associated with the PRISA project. Additionally, Peru/Colombia/Ecuador recorded strong growth due to a ramp-up in IPM activity, followed by Latin America South with increased deep-water activity in Brazil, and Mexico with a surge in Well Services activity together with strong offshore Drilling &amp; Measurements activity.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Europe/CIS/West Africa</w:t>
      </w:r>
    </w:p>
    <w:p>
      <w:pPr>
        <w:spacing w:after="0" w:line="9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Revenue of $3.13 billion increased 37% year-on-year. Pretax operating income of $892 million increased 63% year-on-year. Growth was driven by increased activity and demand for new technologies in the West &amp; South Africa and North Africa GeoMarkets; by a surge in exploration activity in the North Sea; and by a higher rig count and increased demand for higher-margin Drilling &amp; Measurements technologies in the deep-water environment together with higher Completion product sales in Nigeria. Additionally, the Russian GeoMarkets witnessed a ramp-up in drilling programs across the region, boosted by the milder winter and by higher Artificial Lift product sales.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Middle East &amp; Asia</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Revenue of $2.30 billion was 33% higher year-on-year. Pretax operating income of $802 million was 46% higher versus the same period last year. Year-on-year increases were primarily driven by an increased demand for exploration-driven higher-margin services in the Thailand/Vietnam, Qatar and Australia/Papua New Guinea GeoMarkets, higher demand for Well Services and Wireline technologies in Eastern Mediterranean together with continued rig count increases and higher Artificial Lift and Completion products sales in the Arabian GeoMarket. This growth was partially offset by lower margin activities in Brunei/Malaysia/Philippines following the completion of certain deep-water projects.</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WESTERNGECO</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Six-month revenue for WesternGeco of $1.37 billion was 25% higher compared to the same period last year. Year-on-year revenue increased primarily in Multiclient, Marine and Data Processing. Multiclient sales increased predominantly in North America, reflecting a strong Multiclient market and the success of large reprocessing and wide-azimuth projects. The increase in Marine was due to higher pricing on both Q and conventional surveys. Data Processing was ahead driven by higher pricing and an improved ability to bundle data processing services with acquisition services.</w:t>
      </w:r>
    </w:p>
    <w:p>
      <w:pPr>
        <w:spacing w:after="0" w:line="136" w:lineRule="exact"/>
        <w:rPr>
          <w:sz w:val="20"/>
          <w:szCs w:val="20"/>
          <w:color w:val="auto"/>
        </w:rPr>
      </w:pPr>
    </w:p>
    <w:p>
      <w:pPr>
        <w:jc w:val="center"/>
        <w:ind w:right="40"/>
        <w:spacing w:after="0" w:line="447" w:lineRule="auto"/>
        <w:rPr>
          <w:sz w:val="20"/>
          <w:szCs w:val="20"/>
          <w:color w:val="auto"/>
        </w:rPr>
      </w:pPr>
      <w:r>
        <w:rPr>
          <w:rFonts w:ascii="Times New Roman" w:cs="Times New Roman" w:eastAsia="Times New Roman" w:hAnsi="Times New Roman"/>
          <w:sz w:val="18"/>
          <w:szCs w:val="18"/>
          <w:color w:val="auto"/>
        </w:rPr>
        <w:t>Pretax income of $482 million improved by $164 million year-on-year, reflecting strong multiclient margins and increased prices in Marine and Data Processing. 23</w:t>
      </w:r>
    </w:p>
    <w:p>
      <w:pPr>
        <w:sectPr>
          <w:pgSz w:w="11900" w:h="16838" w:orient="portrait"/>
          <w:cols w:equalWidth="0" w:num="1">
            <w:col w:w="11380"/>
          </w:cols>
          <w:pgMar w:left="240" w:top="272"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and Other Income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income consisted of the following for the second quarter and six months ended June 30, 2007 and 2006: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w w:val="94"/>
              </w:rPr>
              <w:t>Second Quarter</w:t>
            </w:r>
          </w:p>
        </w:tc>
        <w:tc>
          <w:tcPr>
            <w:tcW w:w="2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2007</w:t>
            </w:r>
          </w:p>
        </w:tc>
        <w:tc>
          <w:tcPr>
            <w:tcW w:w="48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46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8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2"/>
                <w:szCs w:val="12"/>
                <w:color w:val="auto"/>
              </w:rPr>
            </w:pP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4"/>
              </w:rPr>
              <w:t>(Stated</w:t>
            </w:r>
          </w:p>
        </w:tc>
        <w:tc>
          <w:tcPr>
            <w:tcW w:w="820" w:type="dxa"/>
            <w:vAlign w:val="bottom"/>
            <w:gridSpan w:val="3"/>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6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6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 net earnings of affiliated companies</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111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6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Loss on liquidation of investment to fund the WesternGeco transaction </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64</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181</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6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9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 xml:space="preserve">Refer to Note 3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xml:space="preserve"> for details.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92" w:lineRule="exact"/>
        <w:rPr>
          <w:sz w:val="20"/>
          <w:szCs w:val="20"/>
          <w:color w:val="auto"/>
        </w:rPr>
      </w:pPr>
    </w:p>
    <w:p>
      <w:pPr>
        <w:ind w:right="600"/>
        <w:spacing w:after="0" w:line="275" w:lineRule="auto"/>
        <w:rPr>
          <w:sz w:val="20"/>
          <w:szCs w:val="20"/>
          <w:color w:val="auto"/>
        </w:rPr>
      </w:pPr>
      <w:r>
        <w:rPr>
          <w:rFonts w:ascii="Times New Roman" w:cs="Times New Roman" w:eastAsia="Times New Roman" w:hAnsi="Times New Roman"/>
          <w:sz w:val="18"/>
          <w:szCs w:val="18"/>
          <w:color w:val="auto"/>
        </w:rPr>
        <w:t>Interest income increased $6 million in the second quarter of 2007 as compared to the second quarter of 2006. This increase is primarily attributable to an increase in the average investment balance.</w:t>
      </w:r>
    </w:p>
    <w:p>
      <w:pPr>
        <w:spacing w:after="0" w:line="12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Interest income increased $5 million for the six months ended June 30, 2007 as compared to the same period last year. This increase is primarily attributable to an increase in the average rate of return on invested funds.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Net Earnings of Affiliated Companies</w:t>
      </w:r>
    </w:p>
    <w:p>
      <w:pPr>
        <w:spacing w:after="0" w:line="92"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The increase in net earnings of affiliated companies is primarily due to the results of the drilling fluids joint venture that Schlumberger operates with Smith International, Inc.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Interest expense of $66 million in the second quarter of 2007 increased by $5 million compared to the same period last year. This increase is primarily attributable to an increase in the average debt balance.</w:t>
      </w:r>
    </w:p>
    <w:p>
      <w:pPr>
        <w:spacing w:after="0" w:line="12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Interest expense of $134 million in the first six months of 2007 increased by $25 million compared to the same period last year. This increase is attributable to an increase in the average debt balance combined with an increase in borrowing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2"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8"/>
          <w:szCs w:val="18"/>
          <w:color w:val="auto"/>
        </w:rPr>
        <w:t>Gross margin was 33.7% and 30.6% in the second quarters of 2007 and 2006, and 33.7% and 30.0% in the six-month periods ended June 30, 2007 and 2006, respectively. The increase in gross margin was driven by higher overall activity, a favorable technology mix and efficiency gains in Oilfield Services, together with higher Multiclient sales in WesternGeco.</w:t>
      </w:r>
    </w:p>
    <w:p>
      <w:pPr>
        <w:spacing w:after="0" w:line="132"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As a percentage of revenue, research &amp; engineering, marketing and general &amp; administrative expenses for the second quarters and six months ended June 30, 2007 and 2006 were as follows: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4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4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130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2"/>
        </w:trPr>
        <w:tc>
          <w:tcPr>
            <w:tcW w:w="34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6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2007</w:t>
            </w: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2006</w:t>
            </w:r>
          </w:p>
        </w:tc>
        <w:tc>
          <w:tcPr>
            <w:tcW w:w="140" w:type="dxa"/>
            <w:vAlign w:val="bottom"/>
          </w:tcPr>
          <w:p>
            <w:pPr>
              <w:spacing w:after="0"/>
              <w:rPr>
                <w:sz w:val="12"/>
                <w:szCs w:val="12"/>
                <w:color w:val="auto"/>
              </w:rPr>
            </w:pPr>
          </w:p>
        </w:tc>
      </w:tr>
      <w:tr>
        <w:trPr>
          <w:trHeight w:val="210"/>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&amp; engineering</w:t>
            </w:r>
          </w:p>
        </w:tc>
        <w:tc>
          <w:tcPr>
            <w:tcW w:w="47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3.1%</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3.6%</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3.1%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47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0.4%</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0.3%</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47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2.1%</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2.3%</w:t>
            </w:r>
          </w:p>
        </w:tc>
        <w:tc>
          <w:tcPr>
            <w:tcW w:w="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63"/>
        </w:trPr>
        <w:tc>
          <w:tcPr>
            <w:tcW w:w="3480" w:type="dxa"/>
            <w:vAlign w:val="bottom"/>
          </w:tcPr>
          <w:p>
            <w:pPr>
              <w:spacing w:after="0"/>
              <w:rPr>
                <w:sz w:val="24"/>
                <w:szCs w:val="24"/>
                <w:color w:val="auto"/>
              </w:rPr>
            </w:pPr>
          </w:p>
        </w:tc>
        <w:tc>
          <w:tcPr>
            <w:tcW w:w="3780" w:type="dxa"/>
            <w:vAlign w:val="bottom"/>
          </w:tcPr>
          <w:p>
            <w:pPr>
              <w:jc w:val="right"/>
              <w:ind w:right="1832"/>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00"/>
          </w:cols>
          <w:pgMar w:left="240" w:top="272"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Research and engineering expenditures, by segment for the second quarter and six months ended June 30, 2007 and 2006, were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Second Quarter</w:t>
            </w:r>
          </w:p>
        </w:tc>
        <w:tc>
          <w:tcPr>
            <w:tcW w:w="220" w:type="dxa"/>
            <w:vAlign w:val="bottom"/>
          </w:tcPr>
          <w:p>
            <w:pPr>
              <w:spacing w:after="0"/>
              <w:rPr>
                <w:sz w:val="14"/>
                <w:szCs w:val="14"/>
                <w:color w:val="auto"/>
              </w:rPr>
            </w:pPr>
          </w:p>
        </w:tc>
        <w:tc>
          <w:tcPr>
            <w:tcW w:w="11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2007</w:t>
            </w:r>
          </w:p>
        </w:tc>
        <w:tc>
          <w:tcPr>
            <w:tcW w:w="40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2"/>
                <w:szCs w:val="12"/>
                <w:color w:val="auto"/>
              </w:rPr>
            </w:pP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4"/>
              </w:rPr>
              <w:t>(Stated</w:t>
            </w:r>
          </w:p>
        </w:tc>
        <w:tc>
          <w:tcPr>
            <w:tcW w:w="7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Oilfield Services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$142</w:t>
            </w:r>
          </w:p>
        </w:tc>
        <w:tc>
          <w:tcPr>
            <w:tcW w:w="98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WesternGeco</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98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98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r>
      <w:tr>
        <w:trPr>
          <w:trHeight w:val="223"/>
        </w:trPr>
        <w:tc>
          <w:tcPr>
            <w:tcW w:w="7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175</w:t>
            </w: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342</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300</w:t>
            </w:r>
          </w:p>
        </w:tc>
        <w:tc>
          <w:tcPr>
            <w:tcW w:w="2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effective tax rate in the second quarter of 2007 was 22.3% compared to 24.4% in the second quarter of last year. The effective tax rate for the six months ended June 30, 2007 was 23.1% compared to 24.7% in the same period of the prior year. The decreases in the effective tax rate compared to prior year periods are primarily attributable to the geographic mix of earnings. Both Oilfield Services and WesternGeco had a lower proportion of pretax earnings in North America. Internationally, various GeoMarkets with lower tax rates contributed a greater percentage to pretax earnings. Furthermore, in North America in 2007 there was an increased impact from the deduction for domestic production activities and the </w:t>
      </w:r>
      <w:r>
        <w:rPr>
          <w:rFonts w:ascii="Times New Roman" w:cs="Times New Roman" w:eastAsia="Times New Roman" w:hAnsi="Times New Roman"/>
          <w:sz w:val="18"/>
          <w:szCs w:val="18"/>
          <w:i w:val="1"/>
          <w:iCs w:val="1"/>
          <w:color w:val="auto"/>
        </w:rPr>
        <w:t>Charges and Credits</w:t>
      </w:r>
      <w:r>
        <w:rPr>
          <w:rFonts w:ascii="Times New Roman" w:cs="Times New Roman" w:eastAsia="Times New Roman" w:hAnsi="Times New Roman"/>
          <w:sz w:val="18"/>
          <w:szCs w:val="18"/>
          <w:color w:val="auto"/>
        </w:rPr>
        <w:t xml:space="preserve"> in the second quarter of last year, described in Note 3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 were not tax deductible.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Minority Interest</w:t>
      </w:r>
    </w:p>
    <w:p>
      <w:pPr>
        <w:spacing w:after="0" w:line="92" w:lineRule="exact"/>
        <w:rPr>
          <w:sz w:val="20"/>
          <w:szCs w:val="20"/>
          <w:color w:val="auto"/>
        </w:rPr>
      </w:pPr>
    </w:p>
    <w:p>
      <w:pPr>
        <w:ind w:right="920"/>
        <w:spacing w:after="0" w:line="275" w:lineRule="auto"/>
        <w:rPr>
          <w:sz w:val="20"/>
          <w:szCs w:val="20"/>
          <w:color w:val="auto"/>
        </w:rPr>
      </w:pPr>
      <w:r>
        <w:rPr>
          <w:rFonts w:ascii="Times New Roman" w:cs="Times New Roman" w:eastAsia="Times New Roman" w:hAnsi="Times New Roman"/>
          <w:sz w:val="18"/>
          <w:szCs w:val="18"/>
          <w:color w:val="auto"/>
        </w:rPr>
        <w:t>Minority interest has decreased in 2007 compared to 2006 due to the fact that on April 28, 2006, Schlumberger acquired the 30% minority interest in WesternGeco from Baker Hughes for $2.4 billion in cash.</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92"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Stock-based compensation expense was $34 million in the second quarter of 2007 compared to $28 million in the second quarter of the prior year, and $70 million for the six months ended June 30, 2007 compared to $54 million for the six months ended June 30, 2006. Total stock-based compensation expense for all of fiscal 2006 was $114 million, and it is currently estimated to be $140 million in 2007.</w:t>
      </w:r>
    </w:p>
    <w:p>
      <w:pPr>
        <w:spacing w:after="0" w:line="132"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This increase in stock-based compensation expense primarily reflects the increase in the valuations of stock-based compensation awards due to the upward movement in the Schlumberger stock price as compared to prior years.</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274"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FLOW</w:t>
      </w:r>
    </w:p>
    <w:p>
      <w:pPr>
        <w:spacing w:after="0" w:line="9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Net Debt is gross debt less cash, short-term investments and fixed income investments held to maturity. Management believes that Net Debt provides useful information regarding the level of Schlumberger indebtedness. Details of Net Debt follow: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3"/>
          </w:tcPr>
          <w:p>
            <w:pPr>
              <w:jc w:val="center"/>
              <w:ind w:right="498"/>
              <w:spacing w:after="0"/>
              <w:rPr>
                <w:sz w:val="20"/>
                <w:szCs w:val="20"/>
                <w:color w:val="auto"/>
              </w:rPr>
            </w:pPr>
            <w:r>
              <w:rPr>
                <w:rFonts w:ascii="Times New Roman" w:cs="Times New Roman" w:eastAsia="Times New Roman" w:hAnsi="Times New Roman"/>
                <w:sz w:val="14"/>
                <w:szCs w:val="14"/>
                <w:b w:val="1"/>
                <w:bCs w:val="1"/>
                <w:color w:val="auto"/>
                <w:w w:val="96"/>
              </w:rPr>
              <w:t>Jun. 30</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Jun. 30</w:t>
            </w: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2007</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5"/>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Debt, beginning of period</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$(2,834)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2,439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Charges and credits, net of tax</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Excess of equity income over dividends received</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5"/>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(77)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line="216"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2"/>
                <w:szCs w:val="22"/>
                <w:color w:val="auto"/>
                <w:vertAlign w:val="superscript"/>
              </w:rPr>
              <w:t>(1)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Increase in working capital</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5"/>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(801)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US pension plan contributions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line="216" w:lineRule="exact"/>
              <w:rPr>
                <w:sz w:val="20"/>
                <w:szCs w:val="20"/>
                <w:color w:val="auto"/>
              </w:rPr>
            </w:pPr>
            <w:r>
              <w:rPr>
                <w:rFonts w:ascii="Times New Roman" w:cs="Times New Roman" w:eastAsia="Times New Roman" w:hAnsi="Times New Roman"/>
                <w:sz w:val="18"/>
                <w:szCs w:val="18"/>
                <w:color w:val="auto"/>
              </w:rPr>
              <w:t xml:space="preserve">Capital expenditures </w:t>
            </w:r>
            <w:r>
              <w:rPr>
                <w:rFonts w:ascii="Times New Roman" w:cs="Times New Roman" w:eastAsia="Times New Roman" w:hAnsi="Times New Roman"/>
                <w:sz w:val="22"/>
                <w:szCs w:val="22"/>
                <w:color w:val="auto"/>
                <w:vertAlign w:val="superscript"/>
              </w:rPr>
              <w:t>(1)</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5"/>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(1,417)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Stock repurchase program</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5"/>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(505)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Dividends paid</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(354)</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Acquisition of minority interest in WesternGeco</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business acquisitions and related payments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(147)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Conversion of debentures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Distribution to joint venture partner</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Translation effect on Net Debt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5"/>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(43)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gridSpan w:val="5"/>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(47)</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74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Net Debt, end of period</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(2,084</w:t>
            </w:r>
          </w:p>
        </w:tc>
        <w:tc>
          <w:tcPr>
            <w:tcW w:w="580" w:type="dxa"/>
            <w:vAlign w:val="bottom"/>
            <w:gridSpan w:val="2"/>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(3,168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80" w:type="dxa"/>
            <w:vAlign w:val="bottom"/>
            <w:tcBorders>
              <w:bottom w:val="single" w:sz="8" w:color="auto"/>
            </w:tcBorders>
            <w:gridSpan w:val="2"/>
          </w:tcPr>
          <w:p>
            <w:pPr>
              <w:spacing w:after="0"/>
              <w:rPr>
                <w:sz w:val="8"/>
                <w:szCs w:val="8"/>
                <w:color w:val="auto"/>
              </w:rPr>
            </w:pPr>
          </w:p>
        </w:tc>
        <w:tc>
          <w:tcPr>
            <w:tcW w:w="6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Includes Multiclient seismic data costs.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460" w:type="dxa"/>
            <w:vAlign w:val="bottom"/>
            <w:vMerge w:val="restart"/>
          </w:tcPr>
          <w:p>
            <w:pPr>
              <w:spacing w:after="0"/>
              <w:rPr>
                <w:sz w:val="24"/>
                <w:szCs w:val="24"/>
                <w:color w:val="auto"/>
              </w:rPr>
            </w:pPr>
          </w:p>
        </w:tc>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Components of Net Debt</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Jun. 30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3"/>
          </w:tcPr>
          <w:p>
            <w:pPr>
              <w:jc w:val="center"/>
              <w:ind w:right="498"/>
              <w:spacing w:after="0"/>
              <w:rPr>
                <w:sz w:val="20"/>
                <w:szCs w:val="20"/>
                <w:color w:val="auto"/>
              </w:rPr>
            </w:pPr>
            <w:r>
              <w:rPr>
                <w:rFonts w:ascii="Times New Roman" w:cs="Times New Roman" w:eastAsia="Times New Roman" w:hAnsi="Times New Roman"/>
                <w:sz w:val="14"/>
                <w:szCs w:val="14"/>
                <w:b w:val="1"/>
                <w:bCs w:val="1"/>
                <w:color w:val="auto"/>
                <w:w w:val="96"/>
              </w:rPr>
              <w:t>Jun. 30</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Dec. 31</w:t>
            </w:r>
          </w:p>
        </w:tc>
        <w:tc>
          <w:tcPr>
            <w:tcW w:w="0" w:type="dxa"/>
            <w:vAlign w:val="bottom"/>
          </w:tcPr>
          <w:p>
            <w:pPr>
              <w:spacing w:after="0"/>
              <w:rPr>
                <w:sz w:val="1"/>
                <w:szCs w:val="1"/>
                <w:color w:val="auto"/>
              </w:rPr>
            </w:pPr>
          </w:p>
        </w:tc>
      </w:tr>
      <w:tr>
        <w:trPr>
          <w:trHeight w:val="159"/>
        </w:trPr>
        <w:tc>
          <w:tcPr>
            <w:tcW w:w="460" w:type="dxa"/>
            <w:vAlign w:val="bottom"/>
            <w:vMerge w:val="continue"/>
          </w:tcPr>
          <w:p>
            <w:pPr>
              <w:spacing w:after="0"/>
              <w:rPr>
                <w:sz w:val="13"/>
                <w:szCs w:val="13"/>
                <w:color w:val="auto"/>
              </w:rPr>
            </w:pPr>
          </w:p>
        </w:tc>
        <w:tc>
          <w:tcPr>
            <w:tcW w:w="7020" w:type="dxa"/>
            <w:vAlign w:val="bottom"/>
            <w:tcBorders>
              <w:bottom w:val="single" w:sz="8" w:color="auto"/>
            </w:tcBorders>
            <w:gridSpan w:val="2"/>
            <w:vMerge w:val="continue"/>
          </w:tcPr>
          <w:p>
            <w:pPr>
              <w:spacing w:after="0"/>
              <w:rPr>
                <w:sz w:val="13"/>
                <w:szCs w:val="13"/>
                <w:color w:val="auto"/>
              </w:rPr>
            </w:pPr>
          </w:p>
        </w:tc>
        <w:tc>
          <w:tcPr>
            <w:tcW w:w="640" w:type="dxa"/>
            <w:vAlign w:val="bottom"/>
            <w:gridSpan w:val="2"/>
          </w:tcPr>
          <w:p>
            <w:pPr>
              <w:spacing w:after="0"/>
              <w:rPr>
                <w:sz w:val="13"/>
                <w:szCs w:val="13"/>
                <w:color w:val="auto"/>
              </w:rPr>
            </w:pPr>
          </w:p>
        </w:tc>
        <w:tc>
          <w:tcPr>
            <w:tcW w:w="540" w:type="dxa"/>
            <w:vAlign w:val="bottom"/>
            <w:tcBorders>
              <w:bottom w:val="single" w:sz="8" w:color="auto"/>
            </w:tcBorders>
          </w:tcPr>
          <w:p>
            <w:pPr>
              <w:jc w:val="right"/>
              <w:ind w:right="86"/>
              <w:spacing w:after="0" w:line="152" w:lineRule="exact"/>
              <w:rPr>
                <w:sz w:val="20"/>
                <w:szCs w:val="20"/>
                <w:color w:val="auto"/>
              </w:rPr>
            </w:pPr>
            <w:r>
              <w:rPr>
                <w:rFonts w:ascii="Times New Roman" w:cs="Times New Roman" w:eastAsia="Times New Roman" w:hAnsi="Times New Roman"/>
                <w:sz w:val="14"/>
                <w:szCs w:val="14"/>
                <w:b w:val="1"/>
                <w:bCs w:val="1"/>
                <w:color w:val="auto"/>
              </w:rPr>
              <w:t>2007</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540" w:type="dxa"/>
            <w:vAlign w:val="bottom"/>
            <w:tcBorders>
              <w:bottom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2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Borders>
              <w:bottom w:val="single" w:sz="8" w:color="auto"/>
            </w:tcBorders>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auto"/>
                <w:w w:val="99"/>
              </w:rPr>
              <w:t>2006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5"/>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(Stated in millions)</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short-term investments</w:t>
            </w:r>
          </w:p>
        </w:tc>
        <w:tc>
          <w:tcPr>
            <w:tcW w:w="134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$ 2,885</w:t>
            </w:r>
          </w:p>
        </w:tc>
        <w:tc>
          <w:tcPr>
            <w:tcW w:w="1520" w:type="dxa"/>
            <w:vAlign w:val="bottom"/>
            <w:gridSpan w:val="5"/>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rPr>
              <w:t>$ 2,108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income investments, held to maturity</w:t>
            </w:r>
          </w:p>
        </w:tc>
        <w:tc>
          <w:tcPr>
            <w:tcW w:w="13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323</w:t>
            </w:r>
          </w:p>
        </w:tc>
        <w:tc>
          <w:tcPr>
            <w:tcW w:w="1520" w:type="dxa"/>
            <w:vAlign w:val="bottom"/>
            <w:gridSpan w:val="5"/>
          </w:tcPr>
          <w:p>
            <w:pPr>
              <w:jc w:val="right"/>
              <w:ind w:right="478"/>
              <w:spacing w:after="0"/>
              <w:rPr>
                <w:sz w:val="20"/>
                <w:szCs w:val="20"/>
                <w:color w:val="auto"/>
              </w:rPr>
            </w:pPr>
            <w:r>
              <w:rPr>
                <w:rFonts w:ascii="Times New Roman" w:cs="Times New Roman" w:eastAsia="Times New Roman" w:hAnsi="Times New Roman"/>
                <w:sz w:val="18"/>
                <w:szCs w:val="18"/>
                <w:color w:val="auto"/>
              </w:rPr>
              <w:t>74</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 and current portion of long-term debt</w:t>
            </w:r>
          </w:p>
        </w:tc>
        <w:tc>
          <w:tcPr>
            <w:tcW w:w="13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(797)</w:t>
            </w:r>
          </w:p>
        </w:tc>
        <w:tc>
          <w:tcPr>
            <w:tcW w:w="1520" w:type="dxa"/>
            <w:vAlign w:val="bottom"/>
            <w:gridSpan w:val="5"/>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(1,213)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debentures</w:t>
            </w:r>
          </w:p>
        </w:tc>
        <w:tc>
          <w:tcPr>
            <w:tcW w:w="13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(1,029)</w:t>
            </w:r>
          </w:p>
        </w:tc>
        <w:tc>
          <w:tcPr>
            <w:tcW w:w="1520" w:type="dxa"/>
            <w:vAlign w:val="bottom"/>
            <w:gridSpan w:val="5"/>
          </w:tcPr>
          <w:p>
            <w:pPr>
              <w:jc w:val="right"/>
              <w:ind w:right="418"/>
              <w:spacing w:after="0"/>
              <w:rPr>
                <w:sz w:val="20"/>
                <w:szCs w:val="20"/>
                <w:color w:val="auto"/>
              </w:rPr>
            </w:pPr>
            <w:r>
              <w:rPr>
                <w:rFonts w:ascii="Times New Roman" w:cs="Times New Roman" w:eastAsia="Times New Roman" w:hAnsi="Times New Roman"/>
                <w:sz w:val="18"/>
                <w:szCs w:val="18"/>
                <w:color w:val="auto"/>
              </w:rPr>
              <w:t>(1,425)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13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(3,466)</w:t>
            </w:r>
          </w:p>
        </w:tc>
        <w:tc>
          <w:tcPr>
            <w:tcW w:w="1520" w:type="dxa"/>
            <w:vAlign w:val="bottom"/>
            <w:gridSpan w:val="5"/>
            <w:shd w:val="clear" w:color="auto" w:fill="CCEEFF"/>
          </w:tcPr>
          <w:p>
            <w:pPr>
              <w:jc w:val="right"/>
              <w:ind w:right="418"/>
              <w:spacing w:after="0"/>
              <w:rPr>
                <w:sz w:val="20"/>
                <w:szCs w:val="20"/>
                <w:color w:val="auto"/>
              </w:rPr>
            </w:pPr>
            <w:r>
              <w:rPr>
                <w:rFonts w:ascii="Times New Roman" w:cs="Times New Roman" w:eastAsia="Times New Roman" w:hAnsi="Times New Roman"/>
                <w:sz w:val="18"/>
                <w:szCs w:val="18"/>
                <w:color w:val="auto"/>
              </w:rPr>
              <w:t>(2,712)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3"/>
              </w:rPr>
              <w:t>$</w:t>
            </w:r>
            <w:r>
              <w:rPr>
                <w:rFonts w:ascii="Times New Roman" w:cs="Times New Roman" w:eastAsia="Times New Roman" w:hAnsi="Times New Roman"/>
                <w:sz w:val="18"/>
                <w:szCs w:val="18"/>
                <w:b w:val="1"/>
                <w:bCs w:val="1"/>
                <w:color w:val="auto"/>
                <w:w w:val="93"/>
              </w:rPr>
              <w:t>(2,084</w:t>
            </w:r>
          </w:p>
        </w:tc>
        <w:tc>
          <w:tcPr>
            <w:tcW w:w="1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0" w:type="dxa"/>
            <w:vAlign w:val="bottom"/>
            <w:gridSpan w:val="2"/>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(3,168</w:t>
            </w:r>
          </w:p>
        </w:tc>
        <w:tc>
          <w:tcPr>
            <w:tcW w:w="56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(2,834</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During the second quarter of 2007, $396 million of the $975 million 1.5% Series A Convertible Debentures due June 1, 2023 were converted by holders into approximately 11 million shares of Schlumberger common stock.</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first six months of 2007, cash provided by operations was $2.49 billion as net income plus non-cash items were partially offset by an increase in working capital requirements. Cash used by investing activities was $1.76 billion due mainly to the purchase of fixed assets ($1.29 billion). Cash used by financing activities was $750 million as the net repayments of debt ($348 million), payment of dividends to shareholders ($354 million) and stock repurchase program ($505 million) were partially offset by the proceeds from employee stock plans ($404 million).</w:t>
      </w:r>
    </w:p>
    <w:p>
      <w:pPr>
        <w:spacing w:after="0" w:line="136" w:lineRule="exact"/>
        <w:rPr>
          <w:sz w:val="20"/>
          <w:szCs w:val="20"/>
          <w:color w:val="auto"/>
        </w:rPr>
      </w:pPr>
    </w:p>
    <w:p>
      <w:pPr>
        <w:ind w:right="40"/>
        <w:spacing w:after="0" w:line="339" w:lineRule="auto"/>
        <w:rPr>
          <w:sz w:val="20"/>
          <w:szCs w:val="20"/>
          <w:color w:val="auto"/>
        </w:rPr>
      </w:pPr>
      <w:r>
        <w:rPr>
          <w:rFonts w:ascii="Times New Roman" w:cs="Times New Roman" w:eastAsia="Times New Roman" w:hAnsi="Times New Roman"/>
          <w:sz w:val="16"/>
          <w:szCs w:val="16"/>
          <w:color w:val="auto"/>
        </w:rPr>
        <w:t>On April 28, 2006, Schlumberger acquired the 30% minority interest in WesternGeco from Baker Hughes for $2.4 billion in cash. Approximately 50% of the purchase price was funded from Schlumberger cash and investments. The remaining 50% was financed through existing Schlumberger credit facilities.</w:t>
      </w:r>
    </w:p>
    <w:p>
      <w:pPr>
        <w:spacing w:after="0" w:line="6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240" w:top="272" w:right="579" w:bottom="1440" w:gutter="0" w:footer="0" w:header="0"/>
        </w:sectPr>
      </w:pPr>
    </w:p>
    <w:bookmarkStart w:id="26" w:name="page27"/>
    <w:bookmarkEnd w:id="26"/>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first six months of 2006, cash provided by operations was $1.80 billion, as net income, depreciation/amortization and deferred income taxes were partially offset by increases in customer receivables and a decrease in accounts payable and accrued liabilities, which included a US pension funding contribution of $200 million. Cash used by investing activities of $2.25 billion primarily was due to capital expenditures ($1.09 billion), the acquisition of the 30% minority interest in WesternGeco ($2.40 billion) and the sales of investments ($1.67 billion). Cash provided by financing activities was $423 million as the payment of dividends to shareholders ($271 million) and stock repurchase plan ($467 million) were only partially offset by the proceeds from employee stock plans ($305 million).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report and other statements we make contain forward-looking statements, which include any statements that are not historical facts, such as our expectations regarding business outlook; growth for Schlumberger as a whole and for each of Oilfield Services and WesternGeco (and for specified products or geographic areas within each segment); oil and natural gas demand and production growth; operating margins; operating and capital expenditures by Schlumberger and the oil and gas industry; effective tax rate; the business strategies of Schlumberger customers; stock-based compensation expense; the Schlumberger stock buy-back program; and future results of operations. These statements involve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and other factors detailed in our most recent Form10-K, this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5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92"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Schlumberger, see Item 7A, “Quantitative and Qualitative Disclosures About Market Risk,” of the Schlumberger Annual Report on Form 10-K for the year ended December 31, 2006. Schlumberger’s exposure to market risk has not changed materially since December 31, 2006.</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 evaluation was carried out under the supervision and with the participation of Schlumberger management, including the Chief Executive Officer (“CEO”) and Chief Financial Officer (“CFO”), of the effectiveness of the design and operation of Schlumberger’s disclosure controls and procedures, as of the end of the period covered by this quarterly report, pursuant to Rule 13a-15 of the Securities Exchange Act of 1934, as amended (the “Exchange Act”). Based on that evaluation, the CEO and CFO have concluded that Schlumberger’s disclosure controls and procedures were effective as of June 30, 2007 to ensure that information required to be disclosed by Schlumberger in the reports that it files or submits under the Exchange Act is recorded, processed, summarized and reported within the time periods specified in the Securities and Exchange Commission’s rules and forms and that information required to be disclosed is accumulated and communicated to management, including the CEO and CFO, to allow timely decisions regarding required disclosure. There has been no change in Schlumberger’s internal control over financial reporting that occurred during the quarter ended June 30, 2007 that has materially affected, or is reasonably likely to materially affect, Schlumberger’s internal control over financial reporting.</w:t>
      </w:r>
    </w:p>
    <w:p>
      <w:pPr>
        <w:spacing w:after="0" w:line="1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Mark of Schlumberger</w:t>
      </w:r>
    </w:p>
    <w:p>
      <w:pPr>
        <w:sectPr>
          <w:pgSz w:w="11900" w:h="16838" w:orient="portrait"/>
          <w:cols w:equalWidth="0" w:num="1">
            <w:col w:w="11380"/>
          </w:cols>
          <w:pgMar w:left="240" w:top="274" w:right="27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with respect to Item 1 is set forth under Note 13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i w:val="1"/>
          <w:iCs w:val="1"/>
          <w:color w:val="auto"/>
        </w:rPr>
        <w:t>Consolidated Financial Statements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urge you to carefully consider the risks described below and in the information contained in our Annual Report on Form 10-K for the year ended</w:t>
      </w:r>
    </w:p>
    <w:p>
      <w:pPr>
        <w:spacing w:after="0" w:line="23"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i w:val="1"/>
          <w:iCs w:val="1"/>
          <w:color w:val="auto"/>
        </w:rPr>
        <w:t>December 31, 2006 as well as other reports and materials that we file with the Securities and Exchange Commission. If any of the risks described were to occur, our business, financial condition, results of operations, cash flows or prospects could be materially adversely affected. In such case, the trading price of our common stock could decline and you could lose all or part of your investment. Additional risks and uncertainties not currently known to us or that we currently deem immaterial may also adversely affect our business and operations.</w:t>
      </w:r>
    </w:p>
    <w:p>
      <w:pPr>
        <w:spacing w:after="0" w:line="136"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b w:val="1"/>
          <w:bCs w:val="1"/>
          <w:color w:val="auto"/>
        </w:rPr>
        <w:t>Demand for the majority of our oilfield services is substantially dependent on the level of expenditures by the oil and gas industry. A substantial or an extended decline in oil or gas prices could result in lower expenditures by the oil and gas industry and reduce our operating revenue.</w:t>
      </w:r>
    </w:p>
    <w:p>
      <w:pPr>
        <w:spacing w:after="0" w:line="11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Demand for the majority of our oilfield services is substantially dependent on the level of expenditures by the oil and gas industry for the exploration, development and production of crude oil and natural gas reserves, which are sensitive to oil and natural gas prices and generally dependent on the industry’s view of future oil and gas prices. Oil and gas prices have historically been volatile and are affected by numerous factors, including:</w:t>
      </w:r>
    </w:p>
    <w:p>
      <w:pPr>
        <w:spacing w:after="0" w:line="51"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energy, which is affected by worldwide population growth and general economic and business conditions;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Organization of Petroleum Exporting Countries, or OPEC, to set and maintain production levels for oil;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gas production by non-OPEC countries;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uncertainty and socio-political unrest;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worldwide oil exploration and production activity;</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exploring for, producing and delivering oil and gas;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affecting energy consumption;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171"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color w:val="auto"/>
        </w:rPr>
        <w:t>The oil and gas industry has historically experienced periodic downturns, which have been characterized by diminished demand for our oilfield services and downward pressure on the prices we charge. A significant downturn in the oil and gas industry could result in a reduction in demand for oilfield services and could adversely impact our operating results.</w:t>
      </w:r>
    </w:p>
    <w:p>
      <w:pPr>
        <w:spacing w:after="0" w:line="13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A significant portion of our revenue is derived from our non-United States operations, which exposes us to risks inherent in doing business in each of the approximately 80 countries in which we operate.</w:t>
      </w:r>
    </w:p>
    <w:p>
      <w:pPr>
        <w:spacing w:after="0" w:line="118"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Our non-United States operations accounted for approximately 74% of our consolidated revenue in the first six months of 2007 and 73% for the same period in 2006. Operations in countries other than the United States are subject to various risks, including:</w:t>
      </w:r>
    </w:p>
    <w:p>
      <w:pPr>
        <w:spacing w:after="0" w:line="39"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unsettled political and economic conditions in certain areas;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possible expropriation or other governmental actions;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72" w:right="259" w:bottom="1440" w:gutter="0" w:footer="0" w:header="0"/>
        </w:sectPr>
      </w:pPr>
    </w:p>
    <w:bookmarkStart w:id="28" w:name="page29"/>
    <w:bookmarkEnd w:id="28"/>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social unrest, acts of terrorism, war or other armed conflict;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confiscatory taxation or other adverse tax policies;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deprivation of contract rights;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or embargoes imposed by the United States or other countries;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income or capital;</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controls;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devaluations.</w:t>
      </w:r>
    </w:p>
    <w:p>
      <w:pPr>
        <w:spacing w:after="0" w:line="171"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In addition, we are subject to risks associated with our operations in countries, including Iran, Syria, Sudan and Cuba, which are subject to trade and economic sanctions or other restrictions imposed by the United States or other governments or organizations.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of the risks described above could reduce our earnings and our cash available for operations.</w:t>
      </w:r>
    </w:p>
    <w:p>
      <w:pPr>
        <w:spacing w:after="0" w:line="171"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We are also subject to risks related to investment in our stock in connection with certain U.S. state divestment or investment limitation legislation applicable to companies with operations in these countries, and similar actions by some private investors, which could adversely affect the market for our common stock.</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compliance costs and liabilities could reduce our earnings and cash available for operations.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subject to increasingly stringent laws and regulations relating to importation and use of hazardous materials, radioactive materials and explosives, environmental protection, including laws and regulations governing air emissions, water discharges and waste management. We incur, and expect to continue to incur, capital and operating costs to comply with environmental laws and regulations. The technical requirements of these laws and regulations are becoming increasingly expensive, complex and stringent. These laws may provide for “strict liability” for damages to natural resources or threats to public health and safety. Strict liability can render a party liable for damage without regard to negligence or fault on the part of the party. Some environmental laws provide for joint and several strict liability for remediation of spills and releases of hazardous substances.</w:t>
      </w:r>
    </w:p>
    <w:p>
      <w:pPr>
        <w:spacing w:after="0" w:line="1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 We believe we are currently in substantial compliance with environmental laws and regulations.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subject to substantial liability claims, which would adversely affect our results and financial condition.</w:t>
      </w:r>
    </w:p>
    <w:p>
      <w:pPr>
        <w:spacing w:after="0" w:line="17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Certain equipment used in the delivery of oilfield services, such as directional drilling equipment, perforating systems, subsea completion equipment, radioactive materials and explosives and well completion systems, are used in hostile environments, such as exploration, development and production applications. An accident or 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274" w:right="259" w:bottom="1440" w:gutter="0" w:footer="0" w:header="0"/>
        </w:sectPr>
      </w:pPr>
    </w:p>
    <w:bookmarkStart w:id="29" w:name="page30"/>
    <w:bookmarkEnd w:id="2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of a product can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 are in excess of policy limits or are subject to substantial deductibles, could reduce our earnings and our cash available for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maintain technology leadership in the form of services and products could affect any competitive advantage we hold.</w:t>
      </w:r>
    </w:p>
    <w:p>
      <w:pPr>
        <w:spacing w:after="0" w:line="173"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8"/>
          <w:szCs w:val="18"/>
          <w:color w:val="auto"/>
        </w:rPr>
        <w:t>If we are unable to develop and produce competitive technology or deliver them to our clients in the form of services and products in a timely and cost-competitive manner in the various markets we serve, it could materially reduce our operating revenue and net income.</w:t>
      </w:r>
    </w:p>
    <w:p>
      <w:pPr>
        <w:spacing w:after="0" w:line="118"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b w:val="1"/>
          <w:bCs w:val="1"/>
          <w:color w:val="auto"/>
        </w:rPr>
        <w:t>Limitations on our ability to protect our intellectual property rights, including our trade secrets, could cause a loss in revenue and any competitive advantage we hold.</w:t>
      </w:r>
    </w:p>
    <w:p>
      <w:pPr>
        <w:spacing w:after="0" w:line="11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Some of our products or services, and the processes we use to produce or provide them, have been granted United States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litigation if another party claims that we have infringed upon its intellectual property rights.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product or service, which would reduce our operating revenue. Additionally, developing non-infringing technologies would increase our costs.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obtain and retain skilled technical personnel could impede our operations.</w:t>
      </w:r>
    </w:p>
    <w:p>
      <w:pPr>
        <w:spacing w:after="0" w:line="17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Severe weather conditions may affect our operations</w:t>
      </w:r>
    </w:p>
    <w:p>
      <w:pPr>
        <w:spacing w:after="0" w:line="173"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Our business may be materially affected by severe weather conditions in certain areas where we operate. This may entail the evacuation of personnel and stoppage of services. In addition, if particularly severe weather affects platforms or structures, this may result in a suspension of activities until the platforms or structures have been repaired. Any of these events may have a material adverse effect on our operating revenue.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74" w:right="259" w:bottom="1440" w:gutter="0" w:footer="0" w:header="0"/>
        </w:sectPr>
      </w:pPr>
    </w:p>
    <w:bookmarkStart w:id="30" w:name="page31"/>
    <w:bookmarkEnd w:id="30"/>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92" w:lineRule="exact"/>
        <w:rPr>
          <w:sz w:val="20"/>
          <w:szCs w:val="20"/>
          <w:color w:val="auto"/>
        </w:rPr>
      </w:pPr>
    </w:p>
    <w:p>
      <w:pPr>
        <w:ind w:right="440"/>
        <w:spacing w:after="0" w:line="262" w:lineRule="auto"/>
        <w:rPr>
          <w:sz w:val="20"/>
          <w:szCs w:val="20"/>
          <w:color w:val="auto"/>
        </w:rPr>
      </w:pPr>
      <w:r>
        <w:rPr>
          <w:rFonts w:ascii="Times New Roman" w:cs="Times New Roman" w:eastAsia="Times New Roman" w:hAnsi="Times New Roman"/>
          <w:sz w:val="18"/>
          <w:szCs w:val="18"/>
          <w:color w:val="auto"/>
        </w:rPr>
        <w:t>During the quarter ended June 30, 2007, Schlumberger issued 10,961,317 shares of its common stock upon conversion by holders of $396 million aggregate principal amount of its 1.5% Series A Convertible Debentures due June 1, 2023. Such shares were issued in a transaction exempt from registration under Section 3(a)(9) of the Securities Act of 1933, as amended.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9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On April 20, 2006, the Board of Directors of Schlumberger approved a share buy-back program of up to 40 million shares of Schlumberger common stock to be acquired in the open market before April 2010, subject to market conditions.</w:t>
      </w:r>
    </w:p>
    <w:p>
      <w:pPr>
        <w:spacing w:after="0" w:line="120"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Schlumberger common stock repurchase program activity for the three months ended June 30, 2007.</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6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Maximum number of</w:t>
            </w:r>
          </w:p>
        </w:tc>
      </w:tr>
      <w:tr>
        <w:trPr>
          <w:trHeight w:val="149"/>
        </w:trPr>
        <w:tc>
          <w:tcPr>
            <w:tcW w:w="52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780" w:type="dxa"/>
            <w:vAlign w:val="bottom"/>
          </w:tcPr>
          <w:p>
            <w:pPr>
              <w:spacing w:after="0"/>
              <w:rPr>
                <w:sz w:val="12"/>
                <w:szCs w:val="12"/>
                <w:color w:val="auto"/>
              </w:rPr>
            </w:pPr>
          </w:p>
        </w:tc>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96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purchased as</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that may yet</w:t>
            </w:r>
          </w:p>
        </w:tc>
      </w:tr>
      <w:tr>
        <w:trPr>
          <w:trHeight w:val="149"/>
        </w:trPr>
        <w:tc>
          <w:tcPr>
            <w:tcW w:w="52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shares</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96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be purchased under</w:t>
            </w:r>
          </w:p>
        </w:tc>
      </w:tr>
      <w:tr>
        <w:trPr>
          <w:trHeight w:val="165"/>
        </w:trPr>
        <w:tc>
          <w:tcPr>
            <w:tcW w:w="52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purchased</w:t>
            </w: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7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announced program</w:t>
            </w:r>
          </w:p>
        </w:tc>
        <w:tc>
          <w:tcPr>
            <w:tcW w:w="78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the program</w:t>
            </w:r>
          </w:p>
        </w:tc>
      </w:tr>
      <w:tr>
        <w:trPr>
          <w:trHeight w:val="142"/>
        </w:trPr>
        <w:tc>
          <w:tcPr>
            <w:tcW w:w="5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(Stated</w:t>
            </w:r>
          </w:p>
        </w:tc>
        <w:tc>
          <w:tcPr>
            <w:tcW w:w="7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except per share amounts)</w:t>
            </w:r>
          </w:p>
        </w:tc>
        <w:tc>
          <w:tcPr>
            <w:tcW w:w="1240" w:type="dxa"/>
            <w:vAlign w:val="bottom"/>
          </w:tcPr>
          <w:p>
            <w:pPr>
              <w:spacing w:after="0"/>
              <w:rPr>
                <w:sz w:val="12"/>
                <w:szCs w:val="12"/>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through April 30, 2007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9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69.69</w:t>
            </w:r>
          </w:p>
        </w:tc>
        <w:tc>
          <w:tcPr>
            <w:tcW w:w="19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169.1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21,088.0</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May 1 through May 31, 2007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9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75.71</w:t>
            </w:r>
          </w:p>
        </w:tc>
        <w:tc>
          <w:tcPr>
            <w:tcW w:w="19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982.6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20,105.4</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through June 30, 2007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9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81.96</w:t>
            </w:r>
          </w:p>
        </w:tc>
        <w:tc>
          <w:tcPr>
            <w:tcW w:w="19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1,050.0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19,055.4</w:t>
            </w:r>
          </w:p>
        </w:tc>
      </w:tr>
      <w:tr>
        <w:trPr>
          <w:trHeight w:val="223"/>
        </w:trPr>
        <w:tc>
          <w:tcPr>
            <w:tcW w:w="5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7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2,201.7</w:t>
            </w:r>
          </w:p>
        </w:tc>
        <w:tc>
          <w:tcPr>
            <w:tcW w:w="7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 Upon Senior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9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9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Exhibit 3.1—Articles of Incorporation of Schlumberger Limited (Schlumberger N.V.), as last amended on April 12, 2006 (incorporated by reference to Exhibit 3.1 to Schlumberger’s Quarterly Report on Form 10-Q for the fiscal quarter ended March 31, 2006).</w:t>
      </w:r>
    </w:p>
    <w:p>
      <w:pPr>
        <w:spacing w:after="0" w:line="120"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Exhibit 3.2—Amended and Restated Bylaws of Schlumberger Limited (Schlumberger N.V.) (incorporated by reference to Exhibit 3.1 to Schlumberger’s Current Report on Form 8-K filed on April 22, 2005).</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72" w:right="239" w:bottom="1440" w:gutter="0" w:footer="0" w:header="0"/>
        </w:sectPr>
      </w:pPr>
    </w:p>
    <w:bookmarkStart w:id="31" w:name="page32"/>
    <w:bookmarkEnd w:id="31"/>
    <w:p>
      <w:pPr>
        <w:ind w:left="-8" w:firstLine="8"/>
        <w:spacing w:after="0" w:line="275" w:lineRule="auto"/>
        <w:tabs>
          <w:tab w:leader="none" w:pos="1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31.1—Certification of Chief Executive Officer pursuant to Rule 13a-14(a) of the Securities Exchange Act of 1934, as amended, as adopted pursuant to Section 302 of the Sarbanes-Oxley Act of 2002.</w:t>
      </w:r>
    </w:p>
    <w:p>
      <w:pPr>
        <w:spacing w:after="0" w:line="119" w:lineRule="exact"/>
        <w:rPr>
          <w:rFonts w:ascii="Times New Roman" w:cs="Times New Roman" w:eastAsia="Times New Roman" w:hAnsi="Times New Roman"/>
          <w:sz w:val="18"/>
          <w:szCs w:val="18"/>
          <w:color w:val="auto"/>
        </w:rPr>
      </w:pPr>
    </w:p>
    <w:p>
      <w:pPr>
        <w:ind w:left="-8" w:right="420" w:firstLine="8"/>
        <w:spacing w:after="0" w:line="275" w:lineRule="auto"/>
        <w:tabs>
          <w:tab w:leader="none" w:pos="1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31.2—Certification of Chief Financial Officer pursuant to 13a-14(a) of the Securities Exchange Act of 1934, as amended, as adopted pursuant to Section 302 of the Sarbanes-Oxley Act of 2002.</w:t>
      </w:r>
    </w:p>
    <w:p>
      <w:pPr>
        <w:spacing w:after="0" w:line="120" w:lineRule="exact"/>
        <w:rPr>
          <w:sz w:val="20"/>
          <w:szCs w:val="20"/>
          <w:color w:val="auto"/>
        </w:rPr>
      </w:pPr>
    </w:p>
    <w:p>
      <w:pPr>
        <w:ind w:left="-8" w:right="60" w:firstLine="8"/>
        <w:spacing w:after="0" w:line="275" w:lineRule="auto"/>
        <w:tabs>
          <w:tab w:leader="none" w:pos="2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32.1—Certification of Chief Executive Officer pursuant to 18 U.S.C. Section 1350, as adopted pursuant to Section 906 of the Sarbanes-Oxley Act of 2002.</w:t>
      </w:r>
    </w:p>
    <w:p>
      <w:pPr>
        <w:spacing w:after="0" w:line="119" w:lineRule="exact"/>
        <w:rPr>
          <w:rFonts w:ascii="Times New Roman" w:cs="Times New Roman" w:eastAsia="Times New Roman" w:hAnsi="Times New Roman"/>
          <w:sz w:val="18"/>
          <w:szCs w:val="18"/>
          <w:color w:val="auto"/>
        </w:rPr>
      </w:pPr>
    </w:p>
    <w:p>
      <w:pPr>
        <w:ind w:left="-8" w:right="280" w:firstLine="8"/>
        <w:spacing w:after="0" w:line="275" w:lineRule="auto"/>
        <w:tabs>
          <w:tab w:leader="none" w:pos="2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32.2—Certification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46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7" w:lineRule="exact"/>
        <w:rPr>
          <w:sz w:val="20"/>
          <w:szCs w:val="20"/>
          <w:color w:val="auto"/>
        </w:rPr>
      </w:pPr>
    </w:p>
    <w:p>
      <w:pPr>
        <w:ind w:left="452" w:hanging="452"/>
        <w:spacing w:after="0"/>
        <w:tabs>
          <w:tab w:leader="none" w:pos="4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Form 10-Q.</w:t>
      </w:r>
    </w:p>
    <w:p>
      <w:pPr>
        <w:spacing w:after="0" w:line="21" w:lineRule="exact"/>
        <w:rPr>
          <w:sz w:val="20"/>
          <w:szCs w:val="20"/>
          <w:color w:val="auto"/>
        </w:rPr>
      </w:pPr>
    </w:p>
    <w:p>
      <w:pPr>
        <w:ind w:left="452" w:hanging="452"/>
        <w:spacing w:after="0"/>
        <w:tabs>
          <w:tab w:leader="none" w:pos="4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Form 10-Q.</w:t>
      </w:r>
    </w:p>
    <w:p>
      <w:pPr>
        <w:spacing w:after="0" w:line="145"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92"/>
          </w:cols>
          <w:pgMar w:left="248" w:top="274" w:right="359" w:bottom="1440" w:gutter="0" w:footer="0" w:header="0"/>
        </w:sectPr>
      </w:pPr>
    </w:p>
    <w:bookmarkStart w:id="32" w:name="page33"/>
    <w:bookmarkEnd w:id="32"/>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9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24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CHLUMBERGER</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IMITED</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226" w:lineRule="exact"/>
        <w:rPr>
          <w:sz w:val="20"/>
          <w:szCs w:val="20"/>
          <w:color w:val="auto"/>
        </w:rPr>
      </w:pPr>
    </w:p>
    <w:p>
      <w:pPr>
        <w:spacing w:after="0"/>
        <w:tabs>
          <w:tab w:leader="none" w:pos="6040" w:val="left"/>
          <w:tab w:leader="none" w:pos="6420" w:val="left"/>
        </w:tabs>
        <w:rPr>
          <w:sz w:val="20"/>
          <w:szCs w:val="20"/>
          <w:color w:val="auto"/>
        </w:rPr>
      </w:pPr>
      <w:r>
        <w:rPr>
          <w:rFonts w:ascii="Times New Roman" w:cs="Times New Roman" w:eastAsia="Times New Roman" w:hAnsi="Times New Roman"/>
          <w:sz w:val="18"/>
          <w:szCs w:val="18"/>
          <w:color w:val="auto"/>
        </w:rPr>
        <w:t>Date: July 25, 2007</w:t>
      </w:r>
      <w:r>
        <w:rPr>
          <w:sz w:val="20"/>
          <w:szCs w:val="20"/>
          <w:color w:val="auto"/>
        </w:rPr>
        <w:tab/>
      </w:r>
      <w:r>
        <w:rPr>
          <w:rFonts w:ascii="Times New Roman" w:cs="Times New Roman" w:eastAsia="Times New Roman" w:hAnsi="Times New Roman"/>
          <w:sz w:val="18"/>
          <w:szCs w:val="18"/>
          <w:color w:val="auto"/>
        </w:rPr>
        <w:t>/s/</w:t>
        <w:tab/>
        <w:t>H</w:t>
      </w:r>
      <w:r>
        <w:rPr>
          <w:rFonts w:ascii="Times New Roman" w:cs="Times New Roman" w:eastAsia="Times New Roman" w:hAnsi="Times New Roman"/>
          <w:sz w:val="14"/>
          <w:szCs w:val="14"/>
          <w:color w:val="auto"/>
        </w:rPr>
        <w:t>OWARD</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Howard Guild</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Accounting Officer and Duly Authorized Signatory</w:t>
      </w:r>
    </w:p>
    <w:p>
      <w:pPr>
        <w:spacing w:after="0" w:line="15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40"/>
          </w:cols>
          <w:pgMar w:left="240" w:top="272" w:right="7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Gould, certify that:</w:t>
      </w:r>
    </w:p>
    <w:p>
      <w:pPr>
        <w:spacing w:after="0" w:line="90"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Limited;</w:t>
      </w:r>
    </w:p>
    <w:p>
      <w:pPr>
        <w:spacing w:after="0" w:line="171" w:lineRule="exact"/>
        <w:rPr>
          <w:rFonts w:ascii="Times New Roman" w:cs="Times New Roman" w:eastAsia="Times New Roman" w:hAnsi="Times New Roman"/>
          <w:sz w:val="18"/>
          <w:szCs w:val="18"/>
          <w:color w:val="auto"/>
        </w:rPr>
      </w:pPr>
    </w:p>
    <w:p>
      <w:pPr>
        <w:ind w:right="240" w:firstLine="8"/>
        <w:spacing w:after="0" w:line="275" w:lineRule="auto"/>
        <w:tabs>
          <w:tab w:leader="none" w:pos="1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Times New Roman" w:cs="Times New Roman" w:eastAsia="Times New Roman" w:hAnsi="Times New Roman"/>
          <w:sz w:val="18"/>
          <w:szCs w:val="18"/>
          <w:color w:val="auto"/>
        </w:rPr>
      </w:pPr>
    </w:p>
    <w:p>
      <w:pPr>
        <w:ind w:right="320" w:firstLine="8"/>
        <w:spacing w:after="0" w:line="275" w:lineRule="auto"/>
        <w:tabs>
          <w:tab w:leader="none" w:pos="1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180" w:firstLine="8"/>
        <w:spacing w:after="0" w:line="262" w:lineRule="auto"/>
        <w:tabs>
          <w:tab w:leader="none" w:pos="1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8"/>
          <w:szCs w:val="18"/>
          <w:color w:val="auto"/>
        </w:rPr>
      </w:pPr>
    </w:p>
    <w:p>
      <w:pPr>
        <w:ind w:firstLine="464"/>
        <w:spacing w:after="0" w:line="262" w:lineRule="auto"/>
        <w:tabs>
          <w:tab w:leader="none" w:pos="6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Times New Roman" w:cs="Times New Roman" w:eastAsia="Times New Roman" w:hAnsi="Times New Roman"/>
          <w:sz w:val="18"/>
          <w:szCs w:val="18"/>
          <w:color w:val="auto"/>
        </w:rPr>
      </w:pPr>
    </w:p>
    <w:p>
      <w:pPr>
        <w:ind w:right="120" w:firstLine="464"/>
        <w:spacing w:after="0" w:line="262" w:lineRule="auto"/>
        <w:tabs>
          <w:tab w:leader="none" w:pos="64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Times New Roman" w:cs="Times New Roman" w:eastAsia="Times New Roman" w:hAnsi="Times New Roman"/>
          <w:sz w:val="18"/>
          <w:szCs w:val="18"/>
          <w:color w:val="auto"/>
        </w:rPr>
      </w:pPr>
    </w:p>
    <w:p>
      <w:pPr>
        <w:ind w:right="160" w:firstLine="464"/>
        <w:spacing w:after="0" w:line="275" w:lineRule="auto"/>
        <w:tabs>
          <w:tab w:leader="none" w:pos="6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Times New Roman" w:cs="Times New Roman" w:eastAsia="Times New Roman" w:hAnsi="Times New Roman"/>
          <w:sz w:val="18"/>
          <w:szCs w:val="18"/>
          <w:color w:val="auto"/>
        </w:rPr>
      </w:pPr>
    </w:p>
    <w:p>
      <w:pPr>
        <w:ind w:right="20" w:firstLine="464"/>
        <w:spacing w:after="0" w:line="262" w:lineRule="auto"/>
        <w:tabs>
          <w:tab w:leader="none" w:pos="64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80" w:firstLine="8"/>
        <w:spacing w:after="0" w:line="275" w:lineRule="auto"/>
        <w:tabs>
          <w:tab w:leader="none" w:pos="1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right="100" w:firstLine="464"/>
        <w:spacing w:after="0" w:line="275" w:lineRule="auto"/>
        <w:tabs>
          <w:tab w:leader="none" w:pos="63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8"/>
          <w:szCs w:val="18"/>
          <w:color w:val="auto"/>
        </w:rPr>
      </w:pPr>
    </w:p>
    <w:p>
      <w:pPr>
        <w:ind w:right="320" w:firstLine="464"/>
        <w:spacing w:after="0" w:line="275" w:lineRule="auto"/>
        <w:tabs>
          <w:tab w:leader="none" w:pos="64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7820" w:val="left"/>
          <w:tab w:leader="none" w:pos="8160" w:val="left"/>
        </w:tabs>
        <w:rPr>
          <w:sz w:val="20"/>
          <w:szCs w:val="20"/>
          <w:color w:val="auto"/>
        </w:rPr>
      </w:pPr>
      <w:r>
        <w:rPr>
          <w:rFonts w:ascii="Times New Roman" w:cs="Times New Roman" w:eastAsia="Times New Roman" w:hAnsi="Times New Roman"/>
          <w:sz w:val="18"/>
          <w:szCs w:val="18"/>
          <w:color w:val="auto"/>
        </w:rPr>
        <w:t>Date: July 25, 2007</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4"/>
          <w:szCs w:val="14"/>
          <w:color w:val="auto"/>
        </w:rPr>
        <w:t>A</w:t>
      </w:r>
      <w:r>
        <w:rPr>
          <w:rFonts w:ascii="Times New Roman" w:cs="Times New Roman" w:eastAsia="Times New Roman" w:hAnsi="Times New Roman"/>
          <w:sz w:val="22"/>
          <w:szCs w:val="22"/>
          <w:color w:val="auto"/>
          <w:vertAlign w:val="superscript"/>
        </w:rPr>
        <w:t>NDREW</w:t>
      </w:r>
      <w:r>
        <w:rPr>
          <w:rFonts w:ascii="Times New Roman" w:cs="Times New Roman" w:eastAsia="Times New Roman" w:hAnsi="Times New Roman"/>
          <w:sz w:val="14"/>
          <w:szCs w:val="14"/>
          <w:color w:val="auto"/>
        </w:rPr>
        <w:t xml:space="preserve"> G</w:t>
      </w:r>
      <w:r>
        <w:rPr>
          <w:rFonts w:ascii="Times New Roman" w:cs="Times New Roman" w:eastAsia="Times New Roman" w:hAnsi="Times New Roman"/>
          <w:sz w:val="22"/>
          <w:szCs w:val="22"/>
          <w:color w:val="auto"/>
          <w:vertAlign w:val="superscript"/>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-13970</wp:posOffset>
            </wp:positionV>
            <wp:extent cx="35502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jc w:val="center"/>
        <w:ind w:left="5820"/>
        <w:spacing w:after="0" w:line="229" w:lineRule="auto"/>
        <w:rPr>
          <w:sz w:val="20"/>
          <w:szCs w:val="20"/>
          <w:color w:val="auto"/>
        </w:rPr>
      </w:pPr>
      <w:r>
        <w:rPr>
          <w:rFonts w:ascii="Times New Roman" w:cs="Times New Roman" w:eastAsia="Times New Roman" w:hAnsi="Times New Roman"/>
          <w:sz w:val="14"/>
          <w:szCs w:val="14"/>
          <w:b w:val="1"/>
          <w:bCs w:val="1"/>
          <w:color w:val="auto"/>
        </w:rPr>
        <w:t>Andrew Gould</w:t>
      </w:r>
    </w:p>
    <w:p>
      <w:pPr>
        <w:jc w:val="center"/>
        <w:ind w:left="5820"/>
        <w:spacing w:after="0"/>
        <w:rPr>
          <w:sz w:val="20"/>
          <w:szCs w:val="20"/>
          <w:color w:val="auto"/>
        </w:rPr>
      </w:pPr>
      <w:r>
        <w:rPr>
          <w:rFonts w:ascii="Times New Roman" w:cs="Times New Roman" w:eastAsia="Times New Roman" w:hAnsi="Times New Roman"/>
          <w:sz w:val="14"/>
          <w:szCs w:val="14"/>
          <w:b w:val="1"/>
          <w:bCs w:val="1"/>
          <w:color w:val="auto"/>
        </w:rPr>
        <w:t>Chairman and Chief Executive Officer</w:t>
      </w:r>
    </w:p>
    <w:p>
      <w:pPr>
        <w:sectPr>
          <w:pgSz w:w="11900" w:h="16838" w:orient="portrait"/>
          <w:cols w:equalWidth="0" w:num="1">
            <w:col w:w="11420"/>
          </w:cols>
          <w:pgMar w:left="240" w:top="123"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Simon Ayat, certify that:</w:t>
      </w:r>
    </w:p>
    <w:p>
      <w:pPr>
        <w:spacing w:after="0" w:line="90"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Schlumberger Limited;</w:t>
      </w:r>
    </w:p>
    <w:p>
      <w:pPr>
        <w:spacing w:after="0" w:line="171" w:lineRule="exact"/>
        <w:rPr>
          <w:rFonts w:ascii="Times New Roman" w:cs="Times New Roman" w:eastAsia="Times New Roman" w:hAnsi="Times New Roman"/>
          <w:sz w:val="18"/>
          <w:szCs w:val="18"/>
          <w:color w:val="auto"/>
        </w:rPr>
      </w:pPr>
    </w:p>
    <w:p>
      <w:pPr>
        <w:ind w:right="240" w:firstLine="8"/>
        <w:spacing w:after="0" w:line="275" w:lineRule="auto"/>
        <w:tabs>
          <w:tab w:leader="none" w:pos="1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Times New Roman" w:cs="Times New Roman" w:eastAsia="Times New Roman" w:hAnsi="Times New Roman"/>
          <w:sz w:val="18"/>
          <w:szCs w:val="18"/>
          <w:color w:val="auto"/>
        </w:rPr>
      </w:pPr>
    </w:p>
    <w:p>
      <w:pPr>
        <w:ind w:right="320" w:firstLine="8"/>
        <w:spacing w:after="0" w:line="275" w:lineRule="auto"/>
        <w:tabs>
          <w:tab w:leader="none" w:pos="1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ind w:right="180" w:firstLine="8"/>
        <w:spacing w:after="0" w:line="262" w:lineRule="auto"/>
        <w:tabs>
          <w:tab w:leader="none" w:pos="1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Times New Roman" w:cs="Times New Roman" w:eastAsia="Times New Roman" w:hAnsi="Times New Roman"/>
          <w:sz w:val="18"/>
          <w:szCs w:val="18"/>
          <w:color w:val="auto"/>
        </w:rPr>
      </w:pPr>
    </w:p>
    <w:p>
      <w:pPr>
        <w:ind w:firstLine="464"/>
        <w:spacing w:after="0" w:line="262" w:lineRule="auto"/>
        <w:tabs>
          <w:tab w:leader="none" w:pos="63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Times New Roman" w:cs="Times New Roman" w:eastAsia="Times New Roman" w:hAnsi="Times New Roman"/>
          <w:sz w:val="18"/>
          <w:szCs w:val="18"/>
          <w:color w:val="auto"/>
        </w:rPr>
      </w:pPr>
    </w:p>
    <w:p>
      <w:pPr>
        <w:ind w:right="120" w:firstLine="464"/>
        <w:spacing w:after="0" w:line="262" w:lineRule="auto"/>
        <w:tabs>
          <w:tab w:leader="none" w:pos="64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Times New Roman" w:cs="Times New Roman" w:eastAsia="Times New Roman" w:hAnsi="Times New Roman"/>
          <w:sz w:val="18"/>
          <w:szCs w:val="18"/>
          <w:color w:val="auto"/>
        </w:rPr>
      </w:pPr>
    </w:p>
    <w:p>
      <w:pPr>
        <w:ind w:right="160" w:firstLine="464"/>
        <w:spacing w:after="0" w:line="275" w:lineRule="auto"/>
        <w:tabs>
          <w:tab w:leader="none" w:pos="63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Times New Roman" w:cs="Times New Roman" w:eastAsia="Times New Roman" w:hAnsi="Times New Roman"/>
          <w:sz w:val="18"/>
          <w:szCs w:val="18"/>
          <w:color w:val="auto"/>
        </w:rPr>
      </w:pPr>
    </w:p>
    <w:p>
      <w:pPr>
        <w:ind w:right="20" w:firstLine="464"/>
        <w:spacing w:after="0" w:line="262" w:lineRule="auto"/>
        <w:tabs>
          <w:tab w:leader="none" w:pos="64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Times New Roman" w:cs="Times New Roman" w:eastAsia="Times New Roman" w:hAnsi="Times New Roman"/>
          <w:sz w:val="18"/>
          <w:szCs w:val="18"/>
          <w:color w:val="auto"/>
        </w:rPr>
      </w:pPr>
    </w:p>
    <w:p>
      <w:pPr>
        <w:ind w:right="80" w:firstLine="8"/>
        <w:spacing w:after="0" w:line="275" w:lineRule="auto"/>
        <w:tabs>
          <w:tab w:leader="none" w:pos="1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right="100" w:firstLine="464"/>
        <w:spacing w:after="0" w:line="275" w:lineRule="auto"/>
        <w:tabs>
          <w:tab w:leader="none" w:pos="63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Times New Roman" w:cs="Times New Roman" w:eastAsia="Times New Roman" w:hAnsi="Times New Roman"/>
          <w:sz w:val="18"/>
          <w:szCs w:val="18"/>
          <w:color w:val="auto"/>
        </w:rPr>
      </w:pPr>
    </w:p>
    <w:p>
      <w:pPr>
        <w:ind w:right="320" w:firstLine="464"/>
        <w:spacing w:after="0" w:line="275" w:lineRule="auto"/>
        <w:tabs>
          <w:tab w:leader="none" w:pos="64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7940" w:val="left"/>
          <w:tab w:leader="none" w:pos="8280" w:val="left"/>
        </w:tabs>
        <w:rPr>
          <w:sz w:val="20"/>
          <w:szCs w:val="20"/>
          <w:color w:val="auto"/>
        </w:rPr>
      </w:pPr>
      <w:r>
        <w:rPr>
          <w:rFonts w:ascii="Times New Roman" w:cs="Times New Roman" w:eastAsia="Times New Roman" w:hAnsi="Times New Roman"/>
          <w:sz w:val="18"/>
          <w:szCs w:val="18"/>
          <w:color w:val="auto"/>
        </w:rPr>
        <w:t>Date: July 25, 2007</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4"/>
          <w:szCs w:val="14"/>
          <w:color w:val="auto"/>
        </w:rPr>
        <w:t>S</w:t>
      </w:r>
      <w:r>
        <w:rPr>
          <w:rFonts w:ascii="Times New Roman" w:cs="Times New Roman" w:eastAsia="Times New Roman" w:hAnsi="Times New Roman"/>
          <w:sz w:val="22"/>
          <w:szCs w:val="22"/>
          <w:color w:val="auto"/>
          <w:vertAlign w:val="superscript"/>
        </w:rPr>
        <w:t>IMON</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22"/>
          <w:szCs w:val="22"/>
          <w:color w:val="auto"/>
          <w:vertAlign w:val="superscript"/>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11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jc w:val="center"/>
        <w:ind w:left="6060"/>
        <w:spacing w:after="0" w:line="229" w:lineRule="auto"/>
        <w:rPr>
          <w:sz w:val="20"/>
          <w:szCs w:val="20"/>
          <w:color w:val="auto"/>
        </w:rPr>
      </w:pPr>
      <w:r>
        <w:rPr>
          <w:rFonts w:ascii="Times New Roman" w:cs="Times New Roman" w:eastAsia="Times New Roman" w:hAnsi="Times New Roman"/>
          <w:sz w:val="14"/>
          <w:szCs w:val="14"/>
          <w:b w:val="1"/>
          <w:bCs w:val="1"/>
          <w:color w:val="auto"/>
        </w:rPr>
        <w:t>Simon Ayat</w:t>
      </w:r>
    </w:p>
    <w:p>
      <w:pPr>
        <w:jc w:val="center"/>
        <w:ind w:left="6060"/>
        <w:spacing w:after="0" w:line="222" w:lineRule="auto"/>
        <w:rPr>
          <w:sz w:val="20"/>
          <w:szCs w:val="20"/>
          <w:color w:val="auto"/>
        </w:rPr>
      </w:pPr>
      <w:r>
        <w:rPr>
          <w:rFonts w:ascii="Times New Roman" w:cs="Times New Roman" w:eastAsia="Times New Roman" w:hAnsi="Times New Roman"/>
          <w:sz w:val="14"/>
          <w:szCs w:val="14"/>
          <w:b w:val="1"/>
          <w:bCs w:val="1"/>
          <w:color w:val="auto"/>
        </w:rPr>
        <w:t>Executive Vice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946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ectPr>
          <w:pgSz w:w="11900" w:h="16838" w:orient="portrait"/>
          <w:cols w:equalWidth="0" w:num="1">
            <w:col w:w="11420"/>
          </w:cols>
          <w:pgMar w:left="240" w:top="123"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9"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June 30, 2007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(1) The Report fully complies with the requirements of section 13(a) or 15(d) of the Securities Exchange Act of 1934, as amended (the “Exchange Act”),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12" w:lineRule="exact"/>
        <w:rPr>
          <w:sz w:val="20"/>
          <w:szCs w:val="20"/>
          <w:color w:val="auto"/>
        </w:rPr>
      </w:pPr>
    </w:p>
    <w:p>
      <w:pPr>
        <w:spacing w:after="0"/>
        <w:tabs>
          <w:tab w:leader="none" w:pos="6040" w:val="left"/>
          <w:tab w:leader="none" w:pos="6380" w:val="left"/>
        </w:tabs>
        <w:rPr>
          <w:sz w:val="20"/>
          <w:szCs w:val="20"/>
          <w:color w:val="auto"/>
        </w:rPr>
      </w:pPr>
      <w:r>
        <w:rPr>
          <w:rFonts w:ascii="Times New Roman" w:cs="Times New Roman" w:eastAsia="Times New Roman" w:hAnsi="Times New Roman"/>
          <w:sz w:val="18"/>
          <w:szCs w:val="18"/>
          <w:color w:val="auto"/>
        </w:rPr>
        <w:t>Date: July 25, 2007</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4"/>
          <w:szCs w:val="14"/>
          <w:color w:val="auto"/>
        </w:rPr>
        <w:t>A</w:t>
      </w:r>
      <w:r>
        <w:rPr>
          <w:rFonts w:ascii="Times New Roman" w:cs="Times New Roman" w:eastAsia="Times New Roman" w:hAnsi="Times New Roman"/>
          <w:sz w:val="22"/>
          <w:szCs w:val="22"/>
          <w:color w:val="auto"/>
          <w:vertAlign w:val="superscript"/>
        </w:rPr>
        <w:t>NDREW</w:t>
      </w:r>
      <w:r>
        <w:rPr>
          <w:rFonts w:ascii="Times New Roman" w:cs="Times New Roman" w:eastAsia="Times New Roman" w:hAnsi="Times New Roman"/>
          <w:sz w:val="14"/>
          <w:szCs w:val="14"/>
          <w:color w:val="auto"/>
        </w:rPr>
        <w:t xml:space="preserve"> G</w:t>
      </w:r>
      <w:r>
        <w:rPr>
          <w:rFonts w:ascii="Times New Roman" w:cs="Times New Roman" w:eastAsia="Times New Roman" w:hAnsi="Times New Roman"/>
          <w:sz w:val="22"/>
          <w:szCs w:val="22"/>
          <w:color w:val="auto"/>
          <w:vertAlign w:val="superscript"/>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6500"/>
        <w:spacing w:after="0"/>
        <w:rPr>
          <w:sz w:val="20"/>
          <w:szCs w:val="20"/>
          <w:color w:val="auto"/>
        </w:rPr>
      </w:pPr>
      <w:r>
        <w:rPr>
          <w:rFonts w:ascii="Times New Roman" w:cs="Times New Roman" w:eastAsia="Times New Roman" w:hAnsi="Times New Roman"/>
          <w:sz w:val="18"/>
          <w:szCs w:val="18"/>
          <w:color w:val="auto"/>
        </w:rPr>
        <w:t>Andrew Gould</w:t>
      </w:r>
    </w:p>
    <w:p>
      <w:pPr>
        <w:spacing w:after="0" w:line="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5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2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3"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9"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In connection with the Quarterly Report on Form 10-Q of Schlumberger N.V. (Schlumberger Limited) (the “Company”) for the quarterly period ended June 30, 2007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(1) The Report fully complies with the requirements of section 13(a) or 15(d) of the Securities Exchange Act of 1934, as amended (the “Exchange Act”),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 The information contained in the Report fairly presents, in all material respects, the financial condition and results of operations of the Company.</w:t>
      </w:r>
    </w:p>
    <w:p>
      <w:pPr>
        <w:spacing w:after="0" w:line="212" w:lineRule="exact"/>
        <w:rPr>
          <w:sz w:val="20"/>
          <w:szCs w:val="20"/>
          <w:color w:val="auto"/>
        </w:rPr>
      </w:pPr>
    </w:p>
    <w:p>
      <w:pPr>
        <w:spacing w:after="0"/>
        <w:tabs>
          <w:tab w:leader="none" w:pos="5800" w:val="left"/>
          <w:tab w:leader="none" w:pos="6160" w:val="left"/>
        </w:tabs>
        <w:rPr>
          <w:sz w:val="20"/>
          <w:szCs w:val="20"/>
          <w:color w:val="auto"/>
        </w:rPr>
      </w:pPr>
      <w:r>
        <w:rPr>
          <w:rFonts w:ascii="Times New Roman" w:cs="Times New Roman" w:eastAsia="Times New Roman" w:hAnsi="Times New Roman"/>
          <w:sz w:val="18"/>
          <w:szCs w:val="18"/>
          <w:color w:val="auto"/>
        </w:rPr>
        <w:t>Date: July 25, 2007</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4"/>
          <w:szCs w:val="14"/>
          <w:color w:val="auto"/>
        </w:rPr>
        <w:t>S</w:t>
      </w:r>
      <w:r>
        <w:rPr>
          <w:rFonts w:ascii="Times New Roman" w:cs="Times New Roman" w:eastAsia="Times New Roman" w:hAnsi="Times New Roman"/>
          <w:sz w:val="22"/>
          <w:szCs w:val="22"/>
          <w:color w:val="auto"/>
          <w:vertAlign w:val="superscript"/>
        </w:rPr>
        <w:t>IMON</w:t>
      </w:r>
      <w:r>
        <w:rPr>
          <w:rFonts w:ascii="Times New Roman" w:cs="Times New Roman" w:eastAsia="Times New Roman" w:hAnsi="Times New Roman"/>
          <w:sz w:val="14"/>
          <w:szCs w:val="14"/>
          <w:color w:val="auto"/>
        </w:rPr>
        <w:t xml:space="preserve"> A</w:t>
      </w:r>
      <w:r>
        <w:rPr>
          <w:rFonts w:ascii="Times New Roman" w:cs="Times New Roman" w:eastAsia="Times New Roman" w:hAnsi="Times New Roman"/>
          <w:sz w:val="22"/>
          <w:szCs w:val="22"/>
          <w:color w:val="auto"/>
          <w:vertAlign w:val="superscript"/>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-13970</wp:posOffset>
            </wp:positionV>
            <wp:extent cx="35502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ind w:left="6260"/>
        <w:spacing w:after="0"/>
        <w:rPr>
          <w:sz w:val="20"/>
          <w:szCs w:val="20"/>
          <w:color w:val="auto"/>
        </w:rPr>
      </w:pPr>
      <w:r>
        <w:rPr>
          <w:rFonts w:ascii="Times New Roman" w:cs="Times New Roman" w:eastAsia="Times New Roman" w:hAnsi="Times New Roman"/>
          <w:sz w:val="18"/>
          <w:szCs w:val="18"/>
          <w:color w:val="auto"/>
        </w:rPr>
        <w:t>Simon Ayat</w:t>
      </w:r>
    </w:p>
    <w:p>
      <w:pPr>
        <w:spacing w:after="0" w:line="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20"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Exchange Act of 1934.</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2"/>
    </w:lvl>
  </w:abstractNum>
  <w:abstractNum w:abstractNumId="2">
    <w:nsid w:val="7FDCC233"/>
    <w:multiLevelType w:val="hybridMultilevel"/>
    <w:lvl w:ilvl="0">
      <w:lvlJc w:val="left"/>
      <w:lvlText w:val="%1."/>
      <w:numFmt w:val="decimal"/>
      <w:start w:val="3"/>
    </w:lvl>
    <w:lvl w:ilvl="1">
      <w:lvlJc w:val="left"/>
      <w:lvlText w:val="•"/>
      <w:numFmt w:val="bullet"/>
      <w:start w:val="1"/>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1."/>
      <w:numFmt w:val="decimal"/>
      <w:start w:val="5"/>
    </w:lvl>
  </w:abstractNum>
  <w:abstractNum w:abstractNumId="5">
    <w:nsid w:val="6B68079A"/>
    <w:multiLevelType w:val="hybridMultilevel"/>
    <w:lvl w:ilvl="0">
      <w:lvlJc w:val="left"/>
      <w:lvlText w:val="%1."/>
      <w:numFmt w:val="decimal"/>
      <w:start w:val="6"/>
    </w:lvl>
  </w:abstractNum>
  <w:abstractNum w:abstractNumId="6">
    <w:nsid w:val="4E6AFB66"/>
    <w:multiLevelType w:val="hybridMultilevel"/>
    <w:lvl w:ilvl="0">
      <w:lvlJc w:val="left"/>
      <w:lvlText w:val="%1."/>
      <w:numFmt w:val="decimal"/>
      <w:start w:val="7"/>
    </w:lvl>
  </w:abstractNum>
  <w:abstractNum w:abstractNumId="7">
    <w:nsid w:val="25E45D32"/>
    <w:multiLevelType w:val="hybridMultilevel"/>
    <w:lvl w:ilvl="0">
      <w:lvlJc w:val="left"/>
      <w:lvlText w:val="%1."/>
      <w:numFmt w:val="decimal"/>
      <w:start w:val="9"/>
    </w:lvl>
  </w:abstractNum>
  <w:abstractNum w:abstractNumId="8">
    <w:nsid w:val="519B500D"/>
    <w:multiLevelType w:val="hybridMultilevel"/>
    <w:lvl w:ilvl="0">
      <w:lvlJc w:val="left"/>
      <w:lvlText w:val="%1."/>
      <w:numFmt w:val="decimal"/>
      <w:start w:val="10"/>
    </w:lvl>
  </w:abstractNum>
  <w:abstractNum w:abstractNumId="9">
    <w:nsid w:val="431BD7B7"/>
    <w:multiLevelType w:val="hybridMultilevel"/>
    <w:lvl w:ilvl="0">
      <w:lvlJc w:val="left"/>
      <w:lvlText w:val="%1."/>
      <w:numFmt w:val="decimal"/>
      <w:start w:val="11"/>
    </w:lvl>
  </w:abstractNum>
  <w:abstractNum w:abstractNumId="10">
    <w:nsid w:val="3F2DBA31"/>
    <w:multiLevelType w:val="hybridMultilevel"/>
    <w:lvl w:ilvl="0">
      <w:lvlJc w:val="left"/>
      <w:lvlText w:val="%1."/>
      <w:numFmt w:val="decimal"/>
      <w:start w:val="12"/>
    </w:lvl>
  </w:abstractNum>
  <w:abstractNum w:abstractNumId="11">
    <w:nsid w:val="7C83E458"/>
    <w:multiLevelType w:val="hybridMultilevel"/>
    <w:lvl w:ilvl="0">
      <w:lvlJc w:val="left"/>
      <w:lvlText w:val="%1."/>
      <w:numFmt w:val="decimal"/>
      <w:start w:val="13"/>
    </w:lvl>
  </w:abstractNum>
  <w:abstractNum w:abstractNumId="12">
    <w:nsid w:val="257130A3"/>
    <w:multiLevelType w:val="hybridMultilevel"/>
    <w:lvl w:ilvl="0">
      <w:lvlJc w:val="left"/>
      <w:lvlText w:val="%1."/>
      <w:numFmt w:val="decimal"/>
      <w:start w:val="14"/>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5"/>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2019-12-11T18:32:26Z</dcterms:created>
  <dcterms:modified xsi:type="dcterms:W3CDTF">2019-12-11T18:32:26Z</dcterms:modified>
</cp:coreProperties>
</file>