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(SCHLUMBERGER LIMITED)</w:t>
      </w: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3920" w:type="dxa"/>
            <w:vAlign w:val="bottom"/>
          </w:tcPr>
          <w:p>
            <w:pPr>
              <w:jc w:val="center"/>
              <w:ind w:right="1934"/>
              <w:spacing w:after="0"/>
              <w:rPr>
                <w:sz w:val="20"/>
                <w:szCs w:val="20"/>
                <w:color w:val="auto"/>
              </w:rPr>
            </w:pPr>
            <w:r>
              <w:rPr>
                <w:rFonts w:ascii="Arial" w:cs="Arial" w:eastAsia="Arial" w:hAnsi="Arial"/>
                <w:sz w:val="18"/>
                <w:szCs w:val="18"/>
                <w:b w:val="1"/>
                <w:bCs w:val="1"/>
                <w:color w:val="auto"/>
                <w:w w:val="91"/>
              </w:rPr>
              <w:t>Curaçao</w:t>
            </w:r>
          </w:p>
        </w:tc>
        <w:tc>
          <w:tcPr>
            <w:tcW w:w="2300" w:type="dxa"/>
            <w:vAlign w:val="bottom"/>
          </w:tcPr>
          <w:p>
            <w:pPr>
              <w:jc w:val="center"/>
              <w:ind w:right="382"/>
              <w:spacing w:after="0"/>
              <w:rPr>
                <w:sz w:val="20"/>
                <w:szCs w:val="20"/>
                <w:color w:val="auto"/>
              </w:rPr>
            </w:pPr>
            <w:r>
              <w:rPr>
                <w:rFonts w:ascii="Arial" w:cs="Arial" w:eastAsia="Arial" w:hAnsi="Arial"/>
                <w:sz w:val="18"/>
                <w:szCs w:val="18"/>
                <w:b w:val="1"/>
                <w:bCs w:val="1"/>
                <w:color w:val="auto"/>
                <w:w w:val="92"/>
              </w:rPr>
              <w:t>1-4601</w:t>
            </w:r>
          </w:p>
        </w:tc>
        <w:tc>
          <w:tcPr>
            <w:tcW w:w="2940" w:type="dxa"/>
            <w:vAlign w:val="bottom"/>
          </w:tcPr>
          <w:p>
            <w:pPr>
              <w:jc w:val="center"/>
              <w:ind w:left="173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3920" w:type="dxa"/>
            <w:vAlign w:val="bottom"/>
          </w:tcPr>
          <w:p>
            <w:pPr>
              <w:jc w:val="center"/>
              <w:ind w:right="195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40" w:type="dxa"/>
            <w:vAlign w:val="bottom"/>
          </w:tcPr>
          <w:p>
            <w:pPr>
              <w:jc w:val="center"/>
              <w:ind w:left="173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54"/>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jc w:val="center"/>
              <w:ind w:right="382"/>
              <w:spacing w:after="0"/>
              <w:rPr>
                <w:sz w:val="20"/>
                <w:szCs w:val="20"/>
                <w:color w:val="auto"/>
              </w:rPr>
            </w:pPr>
            <w:r>
              <w:rPr>
                <w:rFonts w:ascii="Arial" w:cs="Arial" w:eastAsia="Arial" w:hAnsi="Arial"/>
                <w:sz w:val="14"/>
                <w:szCs w:val="14"/>
                <w:b w:val="1"/>
                <w:bCs w:val="1"/>
                <w:color w:val="auto"/>
                <w:w w:val="98"/>
              </w:rPr>
              <w:t>File Number)</w:t>
            </w:r>
          </w:p>
        </w:tc>
        <w:tc>
          <w:tcPr>
            <w:tcW w:w="2940" w:type="dxa"/>
            <w:vAlign w:val="bottom"/>
          </w:tcPr>
          <w:p>
            <w:pPr>
              <w:jc w:val="center"/>
              <w:ind w:left="1737"/>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20" w:type="dxa"/>
            <w:vAlign w:val="bottom"/>
          </w:tcPr>
          <w:p>
            <w:pPr>
              <w:jc w:val="center"/>
              <w:ind w:right="114"/>
              <w:spacing w:after="0"/>
              <w:rPr>
                <w:sz w:val="20"/>
                <w:szCs w:val="20"/>
                <w:color w:val="auto"/>
              </w:rPr>
            </w:pPr>
            <w:r>
              <w:rPr>
                <w:rFonts w:ascii="Arial" w:cs="Arial" w:eastAsia="Arial" w:hAnsi="Arial"/>
                <w:sz w:val="18"/>
                <w:szCs w:val="18"/>
                <w:b w:val="1"/>
                <w:bCs w:val="1"/>
                <w:color w:val="auto"/>
                <w:w w:val="91"/>
              </w:rPr>
              <w:t>42, rue Saint-Dominique</w:t>
            </w:r>
          </w:p>
        </w:tc>
        <w:tc>
          <w:tcPr>
            <w:tcW w:w="2300" w:type="dxa"/>
            <w:vAlign w:val="bottom"/>
          </w:tcPr>
          <w:p>
            <w:pPr>
              <w:spacing w:after="0"/>
              <w:rPr>
                <w:sz w:val="24"/>
                <w:szCs w:val="24"/>
                <w:color w:val="auto"/>
              </w:rPr>
            </w:pPr>
          </w:p>
        </w:tc>
        <w:tc>
          <w:tcPr>
            <w:tcW w:w="2940" w:type="dxa"/>
            <w:vAlign w:val="bottom"/>
          </w:tcPr>
          <w:p>
            <w:pPr>
              <w:jc w:val="center"/>
              <w:ind w:right="57"/>
              <w:spacing w:after="0"/>
              <w:rPr>
                <w:sz w:val="20"/>
                <w:szCs w:val="20"/>
                <w:color w:val="auto"/>
              </w:rPr>
            </w:pPr>
            <w:r>
              <w:rPr>
                <w:rFonts w:ascii="Arial" w:cs="Arial" w:eastAsia="Arial" w:hAnsi="Arial"/>
                <w:sz w:val="18"/>
                <w:szCs w:val="18"/>
                <w:b w:val="1"/>
                <w:bCs w:val="1"/>
                <w:color w:val="auto"/>
                <w:w w:val="87"/>
              </w:rPr>
              <w:t>75007</w:t>
            </w:r>
          </w:p>
        </w:tc>
      </w:tr>
      <w:tr>
        <w:trPr>
          <w:trHeight w:val="234"/>
        </w:trPr>
        <w:tc>
          <w:tcPr>
            <w:tcW w:w="3920" w:type="dxa"/>
            <w:vAlign w:val="bottom"/>
          </w:tcPr>
          <w:p>
            <w:pPr>
              <w:jc w:val="center"/>
              <w:ind w:right="114"/>
              <w:spacing w:after="0"/>
              <w:rPr>
                <w:sz w:val="20"/>
                <w:szCs w:val="20"/>
                <w:color w:val="auto"/>
              </w:rPr>
            </w:pPr>
            <w:r>
              <w:rPr>
                <w:rFonts w:ascii="Arial" w:cs="Arial" w:eastAsia="Arial" w:hAnsi="Arial"/>
                <w:sz w:val="18"/>
                <w:szCs w:val="18"/>
                <w:b w:val="1"/>
                <w:bCs w:val="1"/>
                <w:color w:val="auto"/>
                <w:w w:val="91"/>
              </w:rPr>
              <w:t>Paris, France</w:t>
            </w:r>
          </w:p>
        </w:tc>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7"/>
        </w:trPr>
        <w:tc>
          <w:tcPr>
            <w:tcW w:w="3920" w:type="dxa"/>
            <w:vAlign w:val="bottom"/>
          </w:tcPr>
          <w:p>
            <w:pPr>
              <w:jc w:val="center"/>
              <w:ind w:right="114"/>
              <w:spacing w:after="0"/>
              <w:rPr>
                <w:sz w:val="20"/>
                <w:szCs w:val="20"/>
                <w:color w:val="auto"/>
              </w:rPr>
            </w:pPr>
            <w:r>
              <w:rPr>
                <w:rFonts w:ascii="Arial" w:cs="Arial" w:eastAsia="Arial" w:hAnsi="Arial"/>
                <w:sz w:val="18"/>
                <w:szCs w:val="18"/>
                <w:b w:val="1"/>
                <w:bCs w:val="1"/>
                <w:color w:val="auto"/>
                <w:w w:val="90"/>
              </w:rPr>
              <w:t>5599 San Felipe, 17</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2300" w:type="dxa"/>
            <w:vAlign w:val="bottom"/>
          </w:tcPr>
          <w:p>
            <w:pPr>
              <w:spacing w:after="0"/>
              <w:rPr>
                <w:sz w:val="24"/>
                <w:szCs w:val="24"/>
                <w:color w:val="auto"/>
              </w:rPr>
            </w:pPr>
          </w:p>
        </w:tc>
        <w:tc>
          <w:tcPr>
            <w:tcW w:w="2940" w:type="dxa"/>
            <w:vAlign w:val="bottom"/>
          </w:tcPr>
          <w:p>
            <w:pPr>
              <w:jc w:val="center"/>
              <w:ind w:right="57"/>
              <w:spacing w:after="0"/>
              <w:rPr>
                <w:sz w:val="20"/>
                <w:szCs w:val="20"/>
                <w:color w:val="auto"/>
              </w:rPr>
            </w:pPr>
            <w:r>
              <w:rPr>
                <w:rFonts w:ascii="Arial" w:cs="Arial" w:eastAsia="Arial" w:hAnsi="Arial"/>
                <w:sz w:val="18"/>
                <w:szCs w:val="18"/>
                <w:b w:val="1"/>
                <w:bCs w:val="1"/>
                <w:color w:val="auto"/>
                <w:w w:val="87"/>
              </w:rPr>
              <w:t>77056</w:t>
            </w:r>
          </w:p>
        </w:tc>
      </w:tr>
      <w:tr>
        <w:trPr>
          <w:trHeight w:val="234"/>
        </w:trPr>
        <w:tc>
          <w:tcPr>
            <w:tcW w:w="3920" w:type="dxa"/>
            <w:vAlign w:val="bottom"/>
          </w:tcPr>
          <w:p>
            <w:pPr>
              <w:jc w:val="center"/>
              <w:ind w:right="114"/>
              <w:spacing w:after="0"/>
              <w:rPr>
                <w:sz w:val="20"/>
                <w:szCs w:val="20"/>
                <w:color w:val="auto"/>
              </w:rPr>
            </w:pPr>
            <w:r>
              <w:rPr>
                <w:rFonts w:ascii="Arial" w:cs="Arial" w:eastAsia="Arial" w:hAnsi="Arial"/>
                <w:sz w:val="18"/>
                <w:szCs w:val="18"/>
                <w:b w:val="1"/>
                <w:bCs w:val="1"/>
                <w:color w:val="auto"/>
                <w:w w:val="88"/>
              </w:rPr>
              <w:t>Houston, Texas United States of America</w:t>
            </w:r>
          </w:p>
        </w:tc>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7"/>
        </w:trPr>
        <w:tc>
          <w:tcPr>
            <w:tcW w:w="39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62 Buckingham Gate</w:t>
            </w:r>
          </w:p>
        </w:tc>
        <w:tc>
          <w:tcPr>
            <w:tcW w:w="2300" w:type="dxa"/>
            <w:vAlign w:val="bottom"/>
          </w:tcPr>
          <w:p>
            <w:pPr>
              <w:spacing w:after="0"/>
              <w:rPr>
                <w:sz w:val="24"/>
                <w:szCs w:val="24"/>
                <w:color w:val="auto"/>
              </w:rPr>
            </w:pPr>
          </w:p>
        </w:tc>
        <w:tc>
          <w:tcPr>
            <w:tcW w:w="2940" w:type="dxa"/>
            <w:vAlign w:val="bottom"/>
          </w:tcPr>
          <w:p>
            <w:pPr>
              <w:jc w:val="center"/>
              <w:ind w:right="57"/>
              <w:spacing w:after="0"/>
              <w:rPr>
                <w:sz w:val="20"/>
                <w:szCs w:val="20"/>
                <w:color w:val="auto"/>
              </w:rPr>
            </w:pPr>
            <w:r>
              <w:rPr>
                <w:rFonts w:ascii="Arial" w:cs="Arial" w:eastAsia="Arial" w:hAnsi="Arial"/>
                <w:sz w:val="18"/>
                <w:szCs w:val="18"/>
                <w:b w:val="1"/>
                <w:bCs w:val="1"/>
                <w:color w:val="auto"/>
                <w:w w:val="94"/>
              </w:rPr>
              <w:t>SW1E 6AJ</w:t>
            </w:r>
          </w:p>
        </w:tc>
      </w:tr>
      <w:tr>
        <w:trPr>
          <w:trHeight w:val="234"/>
        </w:trPr>
        <w:tc>
          <w:tcPr>
            <w:tcW w:w="39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London, United Kingdom</w:t>
            </w:r>
          </w:p>
        </w:tc>
        <w:tc>
          <w:tcPr>
            <w:tcW w:w="23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427"/>
        </w:trPr>
        <w:tc>
          <w:tcPr>
            <w:tcW w:w="3920" w:type="dxa"/>
            <w:vAlign w:val="bottom"/>
          </w:tcPr>
          <w:p>
            <w:pPr>
              <w:jc w:val="center"/>
              <w:ind w:right="114"/>
              <w:spacing w:after="0"/>
              <w:rPr>
                <w:sz w:val="20"/>
                <w:szCs w:val="20"/>
                <w:color w:val="auto"/>
              </w:rPr>
            </w:pPr>
            <w:r>
              <w:rPr>
                <w:rFonts w:ascii="Arial" w:cs="Arial" w:eastAsia="Arial" w:hAnsi="Arial"/>
                <w:sz w:val="18"/>
                <w:szCs w:val="18"/>
                <w:b w:val="1"/>
                <w:bCs w:val="1"/>
                <w:color w:val="auto"/>
                <w:w w:val="92"/>
              </w:rPr>
              <w:t>Parkstraat 83, The Hague,</w:t>
            </w:r>
          </w:p>
        </w:tc>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25"/>
        </w:trPr>
        <w:tc>
          <w:tcPr>
            <w:tcW w:w="3920" w:type="dxa"/>
            <w:vAlign w:val="bottom"/>
          </w:tcPr>
          <w:p>
            <w:pPr>
              <w:jc w:val="center"/>
              <w:ind w:right="114"/>
              <w:spacing w:after="0"/>
              <w:rPr>
                <w:sz w:val="20"/>
                <w:szCs w:val="20"/>
                <w:color w:val="auto"/>
              </w:rPr>
            </w:pPr>
            <w:r>
              <w:rPr>
                <w:rFonts w:ascii="Arial" w:cs="Arial" w:eastAsia="Arial" w:hAnsi="Arial"/>
                <w:sz w:val="18"/>
                <w:szCs w:val="18"/>
                <w:b w:val="1"/>
                <w:bCs w:val="1"/>
                <w:color w:val="auto"/>
                <w:w w:val="90"/>
              </w:rPr>
              <w:t>The Netherlands</w:t>
            </w:r>
          </w:p>
        </w:tc>
        <w:tc>
          <w:tcPr>
            <w:tcW w:w="2300" w:type="dxa"/>
            <w:vAlign w:val="bottom"/>
          </w:tcPr>
          <w:p>
            <w:pPr>
              <w:spacing w:after="0"/>
              <w:rPr>
                <w:sz w:val="19"/>
                <w:szCs w:val="19"/>
                <w:color w:val="auto"/>
              </w:rPr>
            </w:pPr>
          </w:p>
        </w:tc>
        <w:tc>
          <w:tcPr>
            <w:tcW w:w="2940" w:type="dxa"/>
            <w:vAlign w:val="bottom"/>
          </w:tcPr>
          <w:p>
            <w:pPr>
              <w:jc w:val="center"/>
              <w:ind w:right="5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3920" w:type="dxa"/>
            <w:vAlign w:val="bottom"/>
          </w:tcPr>
          <w:p>
            <w:pPr>
              <w:jc w:val="center"/>
              <w:ind w:right="9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2300" w:type="dxa"/>
            <w:vAlign w:val="bottom"/>
          </w:tcPr>
          <w:p>
            <w:pPr>
              <w:spacing w:after="0"/>
              <w:rPr>
                <w:sz w:val="16"/>
                <w:szCs w:val="16"/>
                <w:color w:val="auto"/>
              </w:rPr>
            </w:pPr>
          </w:p>
        </w:tc>
        <w:tc>
          <w:tcPr>
            <w:tcW w:w="294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Saul R. Laureles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Deputy General Counsel</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2015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2015. Both of these documents are publicly available on the Company’s website at: http://www.slb.com/about/global_citizenship/conflict_minerals.aspx.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w:t>
      </w:r>
    </w:p>
    <w:p>
      <w:pPr>
        <w:spacing w:after="0" w:line="200" w:lineRule="exact"/>
        <w:rPr>
          <w:sz w:val="20"/>
          <w:szCs w:val="20"/>
          <w:color w:val="auto"/>
        </w:rPr>
      </w:pP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SCHLUMBERGER LIMITED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Alexander C. Juden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2016</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240" w:top="270" w:right="9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1" w:lineRule="exact"/>
        <w:rPr>
          <w:sz w:val="20"/>
          <w:szCs w:val="20"/>
          <w:color w:val="auto"/>
        </w:rPr>
      </w:pPr>
    </w:p>
    <w:p>
      <w:pPr>
        <w:ind w:right="840" w:firstLine="456"/>
        <w:spacing w:after="0" w:line="342" w:lineRule="auto"/>
        <w:rPr>
          <w:sz w:val="20"/>
          <w:szCs w:val="20"/>
          <w:color w:val="auto"/>
        </w:rPr>
      </w:pPr>
      <w:r>
        <w:rPr>
          <w:rFonts w:ascii="Arial" w:cs="Arial" w:eastAsia="Arial" w:hAnsi="Arial"/>
          <w:sz w:val="16"/>
          <w:szCs w:val="16"/>
          <w:color w:val="auto"/>
        </w:rPr>
        <w:t>This Conflict Minerals Report (the “</w:t>
      </w:r>
      <w:r>
        <w:rPr>
          <w:rFonts w:ascii="Arial" w:cs="Arial" w:eastAsia="Arial" w:hAnsi="Arial"/>
          <w:sz w:val="16"/>
          <w:szCs w:val="16"/>
          <w:b w:val="1"/>
          <w:bCs w:val="1"/>
          <w:i w:val="1"/>
          <w:iCs w:val="1"/>
          <w:color w:val="auto"/>
        </w:rPr>
        <w:t>Report</w:t>
      </w:r>
      <w:r>
        <w:rPr>
          <w:rFonts w:ascii="Arial" w:cs="Arial" w:eastAsia="Arial" w:hAnsi="Arial"/>
          <w:sz w:val="16"/>
          <w:szCs w:val="16"/>
          <w:color w:val="auto"/>
        </w:rPr>
        <w:t>”) of Schlumberger Limited has been prepared pursuant to Rule 13p-1 and Form SD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promulgated under the Securities Exchange Act of 1934, as amended, for the reporting period from January 1, 2015 to December 31, 2015.</w:t>
      </w:r>
    </w:p>
    <w:p>
      <w:pPr>
        <w:spacing w:after="0" w:line="12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All references in this Report to “Schlumberger,” “Company,” “we,” “us” or “our” are to Schlumberger Limited (Schlumberger N.V., incorporated in Curaçao) and its consolidated subsidiaries as of December 31, 2015.</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and supplies the industry’s most comprehensive range of products and services, from exploration through production, and integrated pore-to-pipeline solutions that optimize hydrocarbon recovery to deliver reservoir performance.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w:t>
      </w:r>
      <w:r>
        <w:rPr>
          <w:rFonts w:ascii="Arial" w:cs="Arial" w:eastAsia="Arial" w:hAnsi="Arial"/>
          <w:sz w:val="18"/>
          <w:szCs w:val="18"/>
          <w:b w:val="1"/>
          <w:bCs w:val="1"/>
          <w:i w:val="1"/>
          <w:iCs w:val="1"/>
          <w:color w:val="auto"/>
        </w:rPr>
        <w:t>conflict minerals</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relates to products sold: (a) that contain conflict minerals necessary to their functionality or production (“</w:t>
      </w:r>
      <w:r>
        <w:rPr>
          <w:rFonts w:ascii="Arial" w:cs="Arial" w:eastAsia="Arial" w:hAnsi="Arial"/>
          <w:sz w:val="16"/>
          <w:szCs w:val="16"/>
          <w:b w:val="1"/>
          <w:bCs w:val="1"/>
          <w:i w:val="1"/>
          <w:iCs w:val="1"/>
          <w:color w:val="auto"/>
        </w:rPr>
        <w:t>necessary conflict minerals</w:t>
      </w:r>
      <w:r>
        <w:rPr>
          <w:rFonts w:ascii="Arial" w:cs="Arial" w:eastAsia="Arial" w:hAnsi="Arial"/>
          <w:sz w:val="16"/>
          <w:szCs w:val="16"/>
          <w:color w:val="auto"/>
        </w:rPr>
        <w:t>”);</w:t>
      </w:r>
    </w:p>
    <w:p>
      <w:pPr>
        <w:spacing w:after="0" w:line="46" w:lineRule="exact"/>
        <w:rPr>
          <w:sz w:val="20"/>
          <w:szCs w:val="20"/>
          <w:color w:val="auto"/>
        </w:rPr>
      </w:pPr>
    </w:p>
    <w:p>
      <w:pPr>
        <w:ind w:right="220" w:firstLine="8"/>
        <w:spacing w:after="0" w:line="290"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that we had reason to believe may have originated in the Democratic Republic of the Congo or an adjoining country (the “</w:t>
      </w:r>
      <w:r>
        <w:rPr>
          <w:rFonts w:ascii="Arial" w:cs="Arial" w:eastAsia="Arial" w:hAnsi="Arial"/>
          <w:sz w:val="16"/>
          <w:szCs w:val="16"/>
          <w:b w:val="1"/>
          <w:bCs w:val="1"/>
          <w:i w:val="1"/>
          <w:iCs w:val="1"/>
          <w:color w:val="auto"/>
        </w:rPr>
        <w:t>covered countries</w:t>
      </w:r>
      <w:r>
        <w:rPr>
          <w:rFonts w:ascii="Arial" w:cs="Arial" w:eastAsia="Arial" w:hAnsi="Arial"/>
          <w:sz w:val="16"/>
          <w:szCs w:val="16"/>
          <w:color w:val="auto"/>
        </w:rPr>
        <w:t>”) and may not have come from recycled or scrap sources; and (c) that we manufactured, or contracted to be manufactured, in 2015 (the “</w:t>
      </w:r>
      <w:r>
        <w:rPr>
          <w:rFonts w:ascii="Arial" w:cs="Arial" w:eastAsia="Arial" w:hAnsi="Arial"/>
          <w:sz w:val="16"/>
          <w:szCs w:val="16"/>
          <w:b w:val="1"/>
          <w:bCs w:val="1"/>
          <w:i w:val="1"/>
          <w:iCs w:val="1"/>
          <w:color w:val="auto"/>
        </w:rPr>
        <w:t>covered products</w:t>
      </w:r>
      <w:r>
        <w:rPr>
          <w:rFonts w:ascii="Arial" w:cs="Arial" w:eastAsia="Arial" w:hAnsi="Arial"/>
          <w:sz w:val="16"/>
          <w:szCs w:val="16"/>
          <w:color w:val="auto"/>
        </w:rPr>
        <w:t xml:space="preserve">”). The covered products, organized by Group, are as follows: </w:t>
      </w:r>
      <w:r>
        <w:rPr>
          <w:rFonts w:ascii="Arial" w:cs="Arial" w:eastAsia="Arial" w:hAnsi="Arial"/>
          <w:sz w:val="16"/>
          <w:szCs w:val="16"/>
          <w:i w:val="1"/>
          <w:iCs w:val="1"/>
          <w:color w:val="auto"/>
        </w:rPr>
        <w:t>Reservoir Characterization</w:t>
      </w:r>
      <w:r>
        <w:rPr>
          <w:rFonts w:ascii="Arial" w:cs="Arial" w:eastAsia="Arial" w:hAnsi="Arial"/>
          <w:sz w:val="16"/>
          <w:szCs w:val="16"/>
          <w:color w:val="auto"/>
        </w:rPr>
        <w:t xml:space="preserve"> — permanent multiphase meters; subsea safety valves; oil, gas and core analysis laboratory equipment; seismic land acquisition systems; perforating hardware and accessories; </w:t>
      </w:r>
      <w:r>
        <w:rPr>
          <w:rFonts w:ascii="Arial" w:cs="Arial" w:eastAsia="Arial" w:hAnsi="Arial"/>
          <w:sz w:val="16"/>
          <w:szCs w:val="16"/>
          <w:i w:val="1"/>
          <w:iCs w:val="1"/>
          <w:color w:val="auto"/>
        </w:rPr>
        <w:t>Drilling</w:t>
      </w:r>
      <w:r>
        <w:rPr>
          <w:rFonts w:ascii="Arial" w:cs="Arial" w:eastAsia="Arial" w:hAnsi="Arial"/>
          <w:sz w:val="16"/>
          <w:szCs w:val="16"/>
          <w:color w:val="auto"/>
        </w:rPr>
        <w:t xml:space="preserve"> — downhole drilling tools; solids and pressure control equipment for drilling fluids systems; data acquisition equipment for drilling operations; </w:t>
      </w:r>
      <w:r>
        <w:rPr>
          <w:rFonts w:ascii="Arial" w:cs="Arial" w:eastAsia="Arial" w:hAnsi="Arial"/>
          <w:sz w:val="16"/>
          <w:szCs w:val="16"/>
          <w:i w:val="1"/>
          <w:iCs w:val="1"/>
          <w:color w:val="auto"/>
        </w:rPr>
        <w:t>Production</w:t>
      </w:r>
      <w:r>
        <w:rPr>
          <w:rFonts w:ascii="Arial" w:cs="Arial" w:eastAsia="Arial" w:hAnsi="Arial"/>
          <w:sz w:val="16"/>
          <w:szCs w:val="16"/>
          <w:color w:val="auto"/>
        </w:rPr>
        <w:t xml:space="preserve"> — surface and downhole completions tools; artificial lift pumps; stimulation pumping and cementing equipment; and groundwater monitoring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21"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description of the measures that we took to exercise due diligence on the source and chain of custody of necessary conflict minerals contained in our covered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Policy</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adopted a policy relating to conflict minerals in our products (the “</w:t>
      </w:r>
      <w:r>
        <w:rPr>
          <w:rFonts w:ascii="Arial" w:cs="Arial" w:eastAsia="Arial" w:hAnsi="Arial"/>
          <w:sz w:val="18"/>
          <w:szCs w:val="18"/>
          <w:b w:val="1"/>
          <w:bCs w:val="1"/>
          <w:i w:val="1"/>
          <w:iCs w:val="1"/>
          <w:color w:val="auto"/>
        </w:rPr>
        <w:t>Conflict Minerals Policy</w:t>
      </w:r>
      <w:r>
        <w:rPr>
          <w:rFonts w:ascii="Arial" w:cs="Arial" w:eastAsia="Arial" w:hAnsi="Arial"/>
          <w:sz w:val="18"/>
          <w:szCs w:val="18"/>
          <w:color w:val="auto"/>
        </w:rPr>
        <w:t>”), incorporating relevant standards contained in the OECD Guidance, which is available at http://www.slb.com/about/global_citizenship/conflict_minerals.aspx. The Conflict Minerals Policy iterates our commitment to responsibly source materials from suppliers that share our values. It reflects our expectation that our immediate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suppliers will perform due diligence similar to ours on the sources of conflict minerals in their supply chains, and our expectation that they will require their own suppliers to do the same. It further provides generally that when a robust and validated conflict-free supply chain is established or a robust mineral tracing program is developed, we will expect our direct suppliers to procure only minerals using that validated supply chain, so as to avoid the use of minerals that have financed conflict in the covered countries.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Internal Management Teams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Members of our business, legal, engineering, procurement and sourcing, and information technology functions comprised a core team that was involved in various phases of compliance with the Rule. Members of this core team have put in place processes and controls reasonably designed to increase transparency in our conflict minerals supply chain. The core team formally reports to senior management on the progress of its compliance efforts throughout the Company and promotes consistency in interpretation of the Rule and industry practice and in implementation of our compliance efforts.</w:t>
      </w:r>
    </w:p>
    <w:p>
      <w:pPr>
        <w:spacing w:after="0" w:line="154"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2013, we established a steering committee comprised of executive-level representatives of our procurement and sourcing, engineering, manufacturing and sustaining, and legal functions. The steering committee is responsible for implementing our conflict minerals compliance strategy; setting the general direction of our conflict minerals compliance efforts; and allocating sufficient resources in the cross-functional core team efforts. Senior management is briefed on the progress of our due diligence efforts on a periodic basis throughout the year. In addition, members of the core team presented to their respective business unit Presidents a final, formal review of: (a) their findings as to the source and status of the necessary conflict minerals contained in the covered products sold by their business unit; and (b) their unit’s due diligence efforts.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Systems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(a) adopted various processes related to our conflict minerals compliance efforts and determinations; (b) adopted standardized data templates for all business units to ensure consistency across various information technology systems, (c) adopted a procedure in our engineering design and manufacturing systems that requires the recording of necessary conflict mineral contents of newly-developed parts included in our products; (d) improved our electronic repository to retain relevant documentation concerning our conflict minerals compliance efforts and determinations; and (e) adopted written summaries, reviewed by the President of each relevant business unit, describing how each such business unit complied with the Rule and which of its products were subject to the Rule. In addition, certain employees from our legal, engineering, manufacturing, sustaining, procurement and sourcing, sales, finance and compliance functions are targeted for annual training and certification.</w:t>
      </w:r>
    </w:p>
    <w:p>
      <w:pPr>
        <w:spacing w:after="0" w:line="17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As we do not, except in very rare instances, have direct relationships with conflict mineral smelters and refiners (“</w:t>
      </w:r>
      <w:r>
        <w:rPr>
          <w:rFonts w:ascii="Arial" w:cs="Arial" w:eastAsia="Arial" w:hAnsi="Arial"/>
          <w:sz w:val="17"/>
          <w:szCs w:val="17"/>
          <w:b w:val="1"/>
          <w:bCs w:val="1"/>
          <w:i w:val="1"/>
          <w:iCs w:val="1"/>
          <w:color w:val="auto"/>
        </w:rPr>
        <w:t>SORs</w:t>
      </w:r>
      <w:r>
        <w:rPr>
          <w:rFonts w:ascii="Arial" w:cs="Arial" w:eastAsia="Arial" w:hAnsi="Arial"/>
          <w:sz w:val="17"/>
          <w:szCs w:val="17"/>
          <w:color w:val="auto"/>
        </w:rPr>
        <w:t>”), we engaged with others in our industry to compare and assess due diligence practices, identify SORs in our supply chains and formulate potential improvements in our ongoing due diligence efforts. We implemented a supply chain transparency system through the use of due diligence tools developed by the Conflict-Free Sourcing Initiative (“CFSI”), including the CFSI’s Conflict Minerals Reporting Template (the “</w:t>
      </w:r>
      <w:r>
        <w:rPr>
          <w:rFonts w:ascii="Arial" w:cs="Arial" w:eastAsia="Arial" w:hAnsi="Arial"/>
          <w:sz w:val="17"/>
          <w:szCs w:val="17"/>
          <w:b w:val="1"/>
          <w:bCs w:val="1"/>
          <w:i w:val="1"/>
          <w:iCs w:val="1"/>
          <w:color w:val="auto"/>
        </w:rPr>
        <w:t>Template</w:t>
      </w:r>
      <w:r>
        <w:rPr>
          <w:rFonts w:ascii="Arial" w:cs="Arial" w:eastAsia="Arial" w:hAnsi="Arial"/>
          <w:sz w:val="17"/>
          <w:szCs w:val="17"/>
          <w:color w:val="auto"/>
        </w:rPr>
        <w:t>”), which is designed to identify the SORs that process the conflict minerals in a company’s supply chain. We also support our suppliers’ use of validation, certification and audit programs on SORs upstream in our supply chain, such as those developed by CFSI; the ITRI Tin Supply Chain Initiative (“</w:t>
      </w:r>
      <w:r>
        <w:rPr>
          <w:rFonts w:ascii="Arial" w:cs="Arial" w:eastAsia="Arial" w:hAnsi="Arial"/>
          <w:sz w:val="17"/>
          <w:szCs w:val="17"/>
          <w:b w:val="1"/>
          <w:bCs w:val="1"/>
          <w:i w:val="1"/>
          <w:iCs w:val="1"/>
          <w:color w:val="auto"/>
        </w:rPr>
        <w:t>iTSCi</w:t>
      </w:r>
      <w:r>
        <w:rPr>
          <w:rFonts w:ascii="Arial" w:cs="Arial" w:eastAsia="Arial" w:hAnsi="Arial"/>
          <w:sz w:val="17"/>
          <w:szCs w:val="17"/>
          <w:color w:val="auto"/>
        </w:rPr>
        <w:t>”); Tungsten Industry – Conflict Mineral Council Framework (“</w:t>
      </w:r>
      <w:r>
        <w:rPr>
          <w:rFonts w:ascii="Arial" w:cs="Arial" w:eastAsia="Arial" w:hAnsi="Arial"/>
          <w:sz w:val="17"/>
          <w:szCs w:val="17"/>
          <w:b w:val="1"/>
          <w:bCs w:val="1"/>
          <w:i w:val="1"/>
          <w:iCs w:val="1"/>
          <w:color w:val="auto"/>
        </w:rPr>
        <w:t>ti-cmc</w:t>
      </w:r>
      <w:r>
        <w:rPr>
          <w:rFonts w:ascii="Arial" w:cs="Arial" w:eastAsia="Arial" w:hAnsi="Arial"/>
          <w:sz w:val="17"/>
          <w:szCs w:val="17"/>
          <w:color w:val="auto"/>
        </w:rPr>
        <w:t>”); the London Bullion Market Association (“</w:t>
      </w:r>
      <w:r>
        <w:rPr>
          <w:rFonts w:ascii="Arial" w:cs="Arial" w:eastAsia="Arial" w:hAnsi="Arial"/>
          <w:sz w:val="17"/>
          <w:szCs w:val="17"/>
          <w:b w:val="1"/>
          <w:bCs w:val="1"/>
          <w:i w:val="1"/>
          <w:iCs w:val="1"/>
          <w:color w:val="auto"/>
        </w:rPr>
        <w:t>LBMA</w:t>
      </w:r>
      <w:r>
        <w:rPr>
          <w:rFonts w:ascii="Arial" w:cs="Arial" w:eastAsia="Arial" w:hAnsi="Arial"/>
          <w:sz w:val="17"/>
          <w:szCs w:val="17"/>
          <w:color w:val="auto"/>
        </w:rPr>
        <w:t>”); and the Responsible Jewellery Council (“</w:t>
      </w:r>
      <w:r>
        <w:rPr>
          <w:rFonts w:ascii="Arial" w:cs="Arial" w:eastAsia="Arial" w:hAnsi="Arial"/>
          <w:sz w:val="17"/>
          <w:szCs w:val="17"/>
          <w:b w:val="1"/>
          <w:bCs w:val="1"/>
          <w:i w:val="1"/>
          <w:iCs w:val="1"/>
          <w:color w:val="auto"/>
        </w:rPr>
        <w:t>RJC</w:t>
      </w:r>
      <w:r>
        <w:rPr>
          <w:rFonts w:ascii="Arial" w:cs="Arial" w:eastAsia="Arial" w:hAnsi="Arial"/>
          <w:sz w:val="17"/>
          <w:szCs w:val="17"/>
          <w:color w:val="auto"/>
        </w:rPr>
        <w:t>”).</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also maintain a company-level grievance mechanism, as described in our Code of Conduct, that enables employees and others to anonymously report concerns, including any concerns regarding our conflict minerals supply chain. Throughout the year, we communicated this mechanism to our employees.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order to identify and assess the risks in our supply chain, we first identified products for sale that we manufactured or contracted to manufacture in 2015 that contained, or that may contain, necessary conflict minerals. As stated above, we have adopted a procedure in our engineering design and manufacturing system that is reasonably designed to identify each necessary conflict mineral included in our products. We conducted extensive research on our existing parts, particularly those that we had not confirmed in 2014.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it was internally flagged for additional research. For new parts developed or manufactured in 2015,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 gathering efforts. We then identified our Tier 1 suppliers that supplied us with the parts and products considered to be in scope of the Rule.</w:t>
      </w:r>
    </w:p>
    <w:p>
      <w:pPr>
        <w:spacing w:after="0" w:line="16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downstream company typically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identify the SORs and countries of origin of the necessary conflict minerals they supplied to us and contained in our covered products, and to determine whether any such necessary conflict minerals came from recycled or scrap sources. In conducting due diligence, we prioritized responses from certain of our suppliers, as determined based on their strategic importance to us and our annual spend with such suppliers; we communicated this priority to our third-party data collection and aggregation provider in an effort to increase the response rate of these higher-risk suppliers.</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 effort to increase awareness of our conflict minerals program, we provided suppliers with background materials describing the conflict minerals rule, including frequently asked questions (FAQs) regarding, among other things, conflict minerals tracing. We requested product-level information from our Tier 1 suppliers on the parts and products we purchased from them. Suppliers were allowed to submit multiple responses as necessary to address all such parts and products. We analyzed all responses to determine their scope. As described further in the “Results of Supply Chain Due Diligence” section below, we received significantly more product-level responses for 2015 from our Tier 1 suppliers year-over-year. For 2014, a majority of our suppliers responded at the company level, whereas for 2015 a majority of our suppliers responded at the product level.</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pursued subsequent engagement with non-responsive suppliers, which included the following:</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sent multiple email reminders requesting survey completion;</w:t>
      </w:r>
    </w:p>
    <w:p>
      <w:pPr>
        <w:spacing w:after="0" w:line="130" w:lineRule="exact"/>
        <w:rPr>
          <w:rFonts w:ascii="Arial" w:cs="Arial" w:eastAsia="Arial" w:hAnsi="Arial"/>
          <w:sz w:val="18"/>
          <w:szCs w:val="18"/>
          <w:color w:val="auto"/>
        </w:rPr>
      </w:pPr>
    </w:p>
    <w:p>
      <w:pPr>
        <w:ind w:left="900" w:right="46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suppliers who remained non-responsive after these email reminders were contacted by phone and offered assistance, including further information about the Rule, our conflict minerals program and clarification regarding how they could provide the required information; and</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following the above efforts, a supplier still did not provide the information requested, we further escalated the matter internally on a supplier risk priority basis and followed up directly with certain of these suppliers.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instances where a supplier identified a SOR and the source of its conflict minerals, we sought to verify this information with third-party databases, internet searches, and reviews of government databases and industry/trade organization lists, including the list of known conflict minerals processing facilities worldwide published by the U.S. Department of Commerce. We also compared the SORs identified by suppliers in their responses to us against the list of compliant SORs published by CFSI’s Conflict-Free Smelter Program (the “</w:t>
      </w:r>
      <w:r>
        <w:rPr>
          <w:rFonts w:ascii="Arial" w:cs="Arial" w:eastAsia="Arial" w:hAnsi="Arial"/>
          <w:sz w:val="18"/>
          <w:szCs w:val="18"/>
          <w:b w:val="1"/>
          <w:bCs w:val="1"/>
          <w:i w:val="1"/>
          <w:iCs w:val="1"/>
          <w:color w:val="auto"/>
        </w:rPr>
        <w:t>CFSP</w:t>
      </w:r>
      <w:r>
        <w:rPr>
          <w:rFonts w:ascii="Arial" w:cs="Arial" w:eastAsia="Arial" w:hAnsi="Arial"/>
          <w:sz w:val="18"/>
          <w:szCs w:val="18"/>
          <w:color w:val="auto"/>
        </w:rPr>
        <w:t>”), the LBMA and the RJC. In some cases, a supplier identified a SOR and stated that its conflict minerals were not sourced from any of the covered countries. However, we were sometimes able to confirm, based on available information concerning the SOR identified, that the SOR was reported to source from one or more of the covered countries. In such cases, we communicated our findings to the supplier for further investigation. As a general matter, we requested that suppliers update their responses to us as more information became available to them.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our review, we flagged certain responses when:</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provided for a conflict mineral that was not used in the relevant part or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was not provided for a conflict mineral that was used in a relevant part or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SOR information provided could not be verified using the methods described above;</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sourced conflict minerals from the covered countries, but none of the SORs listed were known to source from the region;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received conflict minerals data from all relevant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identified all SORs from which it sourced conflict minerals for the relevant parts and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it had not provided all applicable SOR information it received from its suppliers; or</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supplier indicated that all of the conflict minerals for the relevant parts and products originated from scrap/recycled sources, but one or more of the SORs listed were not known to be exclusive recyclers.</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2015, we also led an energy industry effort to communicate directly with eight SORs that were not part of any certification program but that we confirmed were used by all members of our industry group. Because these SORs were not part of any certification program, it was not clear where the SORs sourced their minerals. All of the industry group participants signed a letter that was sent to these eight SORs requesting that they engage with a recognized certification body.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For any SORs that were known to source necessary conflict minerals from any of the covered countries, we attempted to confirm that such SORs were listed in the various lists of compliant SORs described above. In addition, we sent a communication to our suppliers who sourced from such SORs, asking that they acknowledge the source of the relevant conflict minerals. We also included a copy of our Conflict Minerals Policy. Additionally, we reached out to our Tier 1 suppliers that we determined to have sourced from any of the covered countries, wherein we recommend such supplier join a group such as CFSI in order to obtain more up to date and accurate information regarding SORs and further to support the industry effort to achieve transparency.</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has been unresponsive or otherwise uncooperative in our due diligence efforts, we will also reevaluate that relationship. If a Tier 1 supplier is not compliant with our Conflict Minerals Policy and is unwilling to expect its own suppliers to use conflict-free sources, we may then also reassess the supplier relationship. As described above, we support the use of validation, certification and audit programs for SORs in our supply chain.</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4: Independent Third-Party Audit of SORs’ Due Diligence Practices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stated above, we are typically several tiers removed from mining operations and SORs, rendering transparency of our supply chain very difficult. Furthermore, except in rare instances, we do not have direct relationships with SORs and do not perform direct audits of the entities within our supply chain. Accordingly, we rely on our suppliers to provide the information necessary to assess compliance with our conflict minerals program and support the development and implementation of independent third party audits of SORs’ sourcing, such as the CFSP. For a Tier 1 supplier that we determined to have sourced from any of the covered countries, we recommend such supplier join a group such as the CFSI in order to obtain more up-to-date and accurate information regarding SORs and further to support the industry efforts to achieve transparency. In addition, as discussed above, during 2015, we led an energy industry effort to communicate directly with eight SORs that were not part of any certification program and requested that they engage with a recognized certification body.</w:t>
      </w:r>
    </w:p>
    <w:p>
      <w:pPr>
        <w:spacing w:after="0" w:line="192"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We use a third party to aid in verifying the information supplied by our suppliers with respect to the SORs that they source from, and to review and confirm the validity of the CFSI,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7" w:lineRule="exact"/>
        <w:rPr>
          <w:sz w:val="20"/>
          <w:szCs w:val="20"/>
          <w:color w:val="auto"/>
        </w:rPr>
      </w:pPr>
    </w:p>
    <w:p>
      <w:pPr>
        <w:ind w:right="2780" w:firstLine="456"/>
        <w:spacing w:after="0" w:line="264" w:lineRule="auto"/>
        <w:rPr>
          <w:sz w:val="20"/>
          <w:szCs w:val="20"/>
          <w:color w:val="auto"/>
        </w:rPr>
      </w:pPr>
      <w:r>
        <w:rPr>
          <w:rFonts w:ascii="Arial" w:cs="Arial" w:eastAsia="Arial" w:hAnsi="Arial"/>
          <w:sz w:val="18"/>
          <w:szCs w:val="18"/>
          <w:color w:val="auto"/>
        </w:rPr>
        <w:t>As indicated in the Specialized Disclosure Report on Form SD, this Report is publicly available on our website at http://www.slb.com/about/global_citizenship/conflict_minerals.aspx. Our Conflict Minerals Policy also is available at http://www.slb.com/about/global_citizenship/conflict_minerals.aspx.</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sent the Template to 1,146 suppliers and received completed responses from approximately 58% of these suppliers. As part of our risk identification and mitigation efforts, we focused on obtaining responses from our top suppliers, based on strategic importance and annual spend. The following table lists the response rate and certain other information for our suppliers.</w:t>
      </w:r>
    </w:p>
    <w:p>
      <w:pPr>
        <w:spacing w:after="0" w:line="19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Supplier Rank</w:t>
            </w: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(Strategic Importance and Annual Spend)</w:t>
            </w:r>
          </w:p>
        </w:tc>
        <w:tc>
          <w:tcPr>
            <w:tcW w:w="380" w:type="dxa"/>
            <w:vAlign w:val="bottom"/>
          </w:tcPr>
          <w:p>
            <w:pPr>
              <w:spacing w:after="0"/>
              <w:rPr>
                <w:sz w:val="14"/>
                <w:szCs w:val="14"/>
                <w:color w:val="auto"/>
              </w:rPr>
            </w:pPr>
          </w:p>
        </w:tc>
        <w:tc>
          <w:tcPr>
            <w:tcW w:w="2600" w:type="dxa"/>
            <w:vAlign w:val="bottom"/>
            <w:gridSpan w:val="2"/>
          </w:tcPr>
          <w:p>
            <w:pPr>
              <w:jc w:val="center"/>
              <w:ind w:left="1634"/>
              <w:spacing w:after="0"/>
              <w:rPr>
                <w:sz w:val="20"/>
                <w:szCs w:val="20"/>
                <w:color w:val="auto"/>
              </w:rPr>
            </w:pPr>
            <w:r>
              <w:rPr>
                <w:rFonts w:ascii="Arial" w:cs="Arial" w:eastAsia="Arial" w:hAnsi="Arial"/>
                <w:sz w:val="14"/>
                <w:szCs w:val="14"/>
                <w:color w:val="auto"/>
                <w:w w:val="87"/>
              </w:rPr>
              <w:t>Response Rate</w:t>
            </w:r>
          </w:p>
        </w:tc>
        <w:tc>
          <w:tcPr>
            <w:tcW w:w="2160" w:type="dxa"/>
            <w:vAlign w:val="bottom"/>
            <w:gridSpan w:val="2"/>
          </w:tcPr>
          <w:p>
            <w:pPr>
              <w:ind w:left="940"/>
              <w:spacing w:after="0"/>
              <w:rPr>
                <w:sz w:val="20"/>
                <w:szCs w:val="20"/>
                <w:color w:val="auto"/>
              </w:rPr>
            </w:pPr>
            <w:r>
              <w:rPr>
                <w:rFonts w:ascii="Arial" w:cs="Arial" w:eastAsia="Arial" w:hAnsi="Arial"/>
                <w:sz w:val="14"/>
                <w:szCs w:val="14"/>
                <w:color w:val="auto"/>
                <w:w w:val="94"/>
              </w:rPr>
              <w:t>Number of Suppliers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3"/>
              </w:rPr>
              <w:t>Top</w:t>
            </w:r>
          </w:p>
        </w:tc>
        <w:tc>
          <w:tcPr>
            <w:tcW w:w="174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8"/>
              </w:rPr>
              <w:t>85%</w:t>
            </w:r>
          </w:p>
        </w:tc>
        <w:tc>
          <w:tcPr>
            <w:tcW w:w="940" w:type="dxa"/>
            <w:vAlign w:val="bottom"/>
            <w:vMerge w:val="continue"/>
          </w:tcPr>
          <w:p>
            <w:pPr>
              <w:spacing w:after="0"/>
              <w:rPr>
                <w:sz w:val="16"/>
                <w:szCs w:val="16"/>
                <w:color w:val="auto"/>
              </w:rPr>
            </w:pPr>
          </w:p>
        </w:tc>
        <w:tc>
          <w:tcPr>
            <w:tcW w:w="1220" w:type="dxa"/>
            <w:vAlign w:val="bottom"/>
          </w:tcPr>
          <w:p>
            <w:pPr>
              <w:jc w:val="center"/>
              <w:spacing w:after="0" w:line="195"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High</w:t>
            </w:r>
          </w:p>
        </w:tc>
        <w:tc>
          <w:tcPr>
            <w:tcW w:w="2600" w:type="dxa"/>
            <w:vAlign w:val="bottom"/>
            <w:gridSpan w:val="2"/>
          </w:tcPr>
          <w:p>
            <w:pPr>
              <w:jc w:val="center"/>
              <w:ind w:left="1634"/>
              <w:spacing w:after="0"/>
              <w:rPr>
                <w:sz w:val="20"/>
                <w:szCs w:val="20"/>
                <w:color w:val="auto"/>
              </w:rPr>
            </w:pPr>
            <w:r>
              <w:rPr>
                <w:rFonts w:ascii="Arial" w:cs="Arial" w:eastAsia="Arial" w:hAnsi="Arial"/>
                <w:sz w:val="18"/>
                <w:szCs w:val="18"/>
                <w:color w:val="auto"/>
                <w:w w:val="88"/>
              </w:rPr>
              <w:t>69%</w:t>
            </w:r>
          </w:p>
        </w:tc>
        <w:tc>
          <w:tcPr>
            <w:tcW w:w="2160" w:type="dxa"/>
            <w:vAlign w:val="bottom"/>
            <w:gridSpan w:val="2"/>
          </w:tcPr>
          <w:p>
            <w:pPr>
              <w:jc w:val="center"/>
              <w:ind w:left="834"/>
              <w:spacing w:after="0"/>
              <w:rPr>
                <w:sz w:val="20"/>
                <w:szCs w:val="20"/>
                <w:color w:val="auto"/>
              </w:rPr>
            </w:pPr>
            <w:r>
              <w:rPr>
                <w:rFonts w:ascii="Arial" w:cs="Arial" w:eastAsia="Arial" w:hAnsi="Arial"/>
                <w:sz w:val="18"/>
                <w:szCs w:val="18"/>
                <w:color w:val="auto"/>
                <w:w w:val="93"/>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Medium</w:t>
            </w:r>
          </w:p>
        </w:tc>
        <w:tc>
          <w:tcPr>
            <w:tcW w:w="2600" w:type="dxa"/>
            <w:vAlign w:val="bottom"/>
            <w:gridSpan w:val="2"/>
          </w:tcPr>
          <w:p>
            <w:pPr>
              <w:jc w:val="center"/>
              <w:ind w:left="1634"/>
              <w:spacing w:after="0"/>
              <w:rPr>
                <w:sz w:val="20"/>
                <w:szCs w:val="20"/>
                <w:color w:val="auto"/>
              </w:rPr>
            </w:pPr>
            <w:r>
              <w:rPr>
                <w:rFonts w:ascii="Arial" w:cs="Arial" w:eastAsia="Arial" w:hAnsi="Arial"/>
                <w:sz w:val="18"/>
                <w:szCs w:val="18"/>
                <w:color w:val="auto"/>
                <w:w w:val="88"/>
              </w:rPr>
              <w:t>59%</w:t>
            </w:r>
          </w:p>
        </w:tc>
        <w:tc>
          <w:tcPr>
            <w:tcW w:w="2160" w:type="dxa"/>
            <w:vAlign w:val="bottom"/>
            <w:gridSpan w:val="2"/>
          </w:tcPr>
          <w:p>
            <w:pPr>
              <w:jc w:val="center"/>
              <w:ind w:left="834"/>
              <w:spacing w:after="0"/>
              <w:rPr>
                <w:sz w:val="20"/>
                <w:szCs w:val="20"/>
                <w:color w:val="auto"/>
              </w:rPr>
            </w:pPr>
            <w:r>
              <w:rPr>
                <w:rFonts w:ascii="Arial" w:cs="Arial" w:eastAsia="Arial" w:hAnsi="Arial"/>
                <w:sz w:val="18"/>
                <w:szCs w:val="18"/>
                <w:color w:val="auto"/>
                <w:w w:val="93"/>
              </w:rPr>
              <w:t>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jc w:val="center"/>
              <w:ind w:right="400"/>
              <w:spacing w:after="0"/>
              <w:rPr>
                <w:sz w:val="20"/>
                <w:szCs w:val="20"/>
                <w:color w:val="auto"/>
              </w:rPr>
            </w:pPr>
            <w:r>
              <w:rPr>
                <w:rFonts w:ascii="Arial" w:cs="Arial" w:eastAsia="Arial" w:hAnsi="Arial"/>
                <w:sz w:val="18"/>
                <w:szCs w:val="18"/>
                <w:color w:val="auto"/>
              </w:rPr>
              <w:t>Low</w:t>
            </w:r>
          </w:p>
        </w:tc>
        <w:tc>
          <w:tcPr>
            <w:tcW w:w="2600" w:type="dxa"/>
            <w:vAlign w:val="bottom"/>
            <w:gridSpan w:val="2"/>
          </w:tcPr>
          <w:p>
            <w:pPr>
              <w:jc w:val="center"/>
              <w:ind w:left="1634"/>
              <w:spacing w:after="0"/>
              <w:rPr>
                <w:sz w:val="20"/>
                <w:szCs w:val="20"/>
                <w:color w:val="auto"/>
              </w:rPr>
            </w:pPr>
            <w:r>
              <w:rPr>
                <w:rFonts w:ascii="Arial" w:cs="Arial" w:eastAsia="Arial" w:hAnsi="Arial"/>
                <w:sz w:val="18"/>
                <w:szCs w:val="18"/>
                <w:color w:val="auto"/>
                <w:w w:val="88"/>
              </w:rPr>
              <w:t>45%</w:t>
            </w:r>
          </w:p>
        </w:tc>
        <w:tc>
          <w:tcPr>
            <w:tcW w:w="2160" w:type="dxa"/>
            <w:vAlign w:val="bottom"/>
            <w:gridSpan w:val="2"/>
          </w:tcPr>
          <w:p>
            <w:pPr>
              <w:jc w:val="center"/>
              <w:ind w:left="834"/>
              <w:spacing w:after="0"/>
              <w:rPr>
                <w:sz w:val="20"/>
                <w:szCs w:val="20"/>
                <w:color w:val="auto"/>
              </w:rPr>
            </w:pPr>
            <w:r>
              <w:rPr>
                <w:rFonts w:ascii="Arial" w:cs="Arial" w:eastAsia="Arial" w:hAnsi="Arial"/>
                <w:sz w:val="18"/>
                <w:szCs w:val="18"/>
                <w:color w:val="auto"/>
                <w:w w:val="93"/>
              </w:rPr>
              <w:t>376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ind w:right="1194"/>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ind w:right="5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Many of the respondents indicated that they had not finished the due diligence on their supply chains and were still completing the Template. We requested a response at the product level; 69% of the completed declarations were at the product level, compared to only 2% in the previous year.</w:t>
      </w:r>
    </w:p>
    <w:p>
      <w:pPr>
        <w:spacing w:after="0" w:line="124"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For the responses we received at the company level, we do not know whether the SORs listed actually supplied conflict minerals that we used in our covered products. Therefore, such SORs are not included in the tables below of the SORs that we know have processed the necessary conflict minerals contained in our covered products.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responses at the product level, 367 SORs are included in the tables below. Based on our due diligence, we identified 30 verified SORs that source conflict minerals from one or more of the covered countries. Twenty eight of these SORs are certified with a recognized certification body. One tin SOR has a CFSI smelter identification number but is not, as of March 31, 2016, certified. One remaining tungsten SOR is not CFSP certified for tungsten, but is certified for tantalum.</w:t>
      </w:r>
    </w:p>
    <w:p>
      <w:pPr>
        <w:spacing w:after="0" w:line="187"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The table below, which is as of March 31, 2016, lists the SORs known to us to have supplied necessary conflict minerals contained in our covered products and that sourced conflict minerals from one or more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CCR Refinery - Glencore Canada</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LBMA, 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Argentina, Australia, Canada, Chile,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89"/>
              </w:rPr>
              <w:t>DRC- Congo (Kinshasa), Germany,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Peru, Switzerland, United States, Zambia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Rand Refinery (Pty)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w w:val="92"/>
              </w:rPr>
              <w:t>Canada, China, DRC- Congo (Kinshasa),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Ghana, Guinea, Hong Kong, Mali,</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Namibia, South Africa, Tanzania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7"/>
              </w:rPr>
              <w:t>Conghua Tantalum and Niobium Smeltry</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China, Ethiopia, India, Niger,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Rwanda,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Duoluoshan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Brazil, China, Ethiopia, India,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Japan, Malaysia, Niger, Nigeria, Rwanda,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6"/>
              </w:rPr>
              <w:t>Australia, Bolivia, Brazil, Ethiopia, India,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Mozambique, Namibia, Rwanda, Sierra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Leone, Thailand, Zimbabwe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GmbH Goslar</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Ethiopia, Germany, India,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Mozambique, Namibia, Rwanda, Sierra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Leone, Thailand, United States,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Zimbabwe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GmbH Laufenburg</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Ethiopia, Germany, India,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Mozambique, Namibia, Rwanda, Sierra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Leone, Zimbabwe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Hermsdorf GmbH</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Ethiopia, Germany, India,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Mozambique, Rwanda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Inc.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Ethiopia, Germany, India,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Mozambique, Namibia, Rwanda, Sierra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Leone, United States, Zimbabwe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Ethiopia, Germany, India,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Mozambique, Namibia, Rwanda, Sierra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Leone, Zimbabwe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Hi-Temp Specialty Metals, Inc.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China, Ethiopia,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India, Mozambique, Namibia, Rwanda,</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Sierra Leone, United States, Zimbabwe</w:t>
            </w:r>
          </w:p>
        </w:tc>
      </w:tr>
      <w:tr>
        <w:trPr>
          <w:trHeight w:val="36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5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Tantalum</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Jiujiang Tanbre Co., Ltd.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China, DRC- Congo (Kinshasa)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KEMET Blue Metals;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Burundi, Mexico, Mozambique, Niger,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Nigeria, Rwanda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Kemet Blue Powder</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3"/>
              </w:rPr>
              <w:t>Burundi, China, DRC- Congo (Kinshasa),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Mexico, Mozambique, Niger, Nigeria,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Rwanda,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Ningxia Orient Tantalum Industry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Brazil, Burundi,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6"/>
              </w:rPr>
              <w:t>Ethiopia, Malaysia, Mozambique, Niger,</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Nigeria, Rwanda, 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Ulba Metallurgical Plant JSC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Belarus, Brazil, Burundi,</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Canada, China, DRC- Congo (Kinshasa),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Ethiopia, Japan, Kazakhstan,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9"/>
              </w:rPr>
              <w:t>Mozambique, Russia, Rwanda, United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States, Zimbabwe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Zhuzhou Cemented Carbide</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Burundi, China, DRC- Congo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1"/>
              </w:rPr>
              <w:t>(Kinshasa), Japan, Kazakhstan,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Niger, Nigeria, Russia, Rwanda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CV United Smelting</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DRC- Congo (Kinshasa),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Indonesia, Japan, Malaysia,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EM Vinto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Brazil, Canada, China, DRC-</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5"/>
              </w:rPr>
              <w:t>Congo (Kinshasa), Germany, Indonesia,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 Peru,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Malaysia Smelting Corporation (MSC)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Indonesia, Malaysia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Minsur</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Brazil, Canada, China, DRC-</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6"/>
              </w:rPr>
              <w:t>Congo (Kinshasa), Indonesia,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 Rwanda, Switzerland, Thailand,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Operaciones Metalurgical S.A.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Brazil, Canada, China, DRC-</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Congo (Kinshasa), Indonesia,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 Peru, Philippines, Russia,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Bukit Timah</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DRC- Congo (Kinshasa), Indonesia,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 Peru,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Pelat Timah Nusantara Tbk</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DRC- Congo (Kinshasa), Indonesia,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 Mozambique,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Stanindo Inti Perkasa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Brazil, Canada, China, DRC-</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Congo (Kinshasa), India, Indonesia,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 Peru,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Timah (Persero) Tbk Mentok</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6"/>
              </w:rPr>
              <w:t>Australia, Bolivia, Brazil, Canada, Chile,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DRC- Congo (Kinshasa),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Indonesia, Japan, Malaysia, Morocco,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Myanmar, Peru, Poland, Portugal,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Rwanda,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Thaisarco</w:t>
            </w:r>
          </w:p>
        </w:tc>
        <w:tc>
          <w:tcPr>
            <w:tcW w:w="3180" w:type="dxa"/>
            <w:vAlign w:val="bottom"/>
            <w:gridSpan w:val="2"/>
          </w:tcPr>
          <w:p>
            <w:pPr>
              <w:spacing w:after="0"/>
              <w:rPr>
                <w:sz w:val="20"/>
                <w:szCs w:val="20"/>
                <w:color w:val="auto"/>
              </w:rPr>
            </w:pPr>
            <w:r>
              <w:rPr>
                <w:rFonts w:ascii="Arial" w:cs="Arial" w:eastAsia="Arial" w:hAnsi="Arial"/>
                <w:sz w:val="18"/>
                <w:szCs w:val="18"/>
                <w:color w:val="auto"/>
              </w:rPr>
              <w:t>Not currently certified</w:t>
            </w:r>
          </w:p>
        </w:tc>
        <w:tc>
          <w:tcPr>
            <w:tcW w:w="3080" w:type="dxa"/>
            <w:vAlign w:val="bottom"/>
          </w:tcPr>
          <w:p>
            <w:pPr>
              <w:spacing w:after="0"/>
              <w:rPr>
                <w:sz w:val="20"/>
                <w:szCs w:val="20"/>
                <w:color w:val="auto"/>
              </w:rPr>
            </w:pPr>
            <w:r>
              <w:rPr>
                <w:rFonts w:ascii="Arial" w:cs="Arial" w:eastAsia="Arial" w:hAnsi="Arial"/>
                <w:sz w:val="18"/>
                <w:szCs w:val="18"/>
                <w:color w:val="auto"/>
              </w:rPr>
              <w:t>Bolivia, Brazil, Burundi, China, DRC-</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6"/>
              </w:rPr>
              <w:t>Congo (Kinshasa), Indonesia,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Niger, Nigeria, Rwanda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H.C. Starck GmbH</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Estonia, Ethiopia, Germany, India,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Mozambique, Namibia, Peru, Portugal,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Russia, Rwanda, Sierra Leone, Spain,</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Thailand, United States, Zimbabwe</w:t>
            </w:r>
          </w:p>
        </w:tc>
      </w:tr>
      <w:tr>
        <w:trPr>
          <w:trHeight w:val="36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5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Tungsten</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Xiamen Tungsten Co., Ltd.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4"/>
              </w:rPr>
              <w:t>Germany, Japan, Mexico, Niger, Nigeria,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6"/>
              </w:rPr>
              <w:t>Peru, Portugal, Russia, Rwanda, Spain,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Thailand, United States, Vietnam</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Zhuzhou Cemented Carbide</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 for tin, but not yet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certified for Tungsten</w:t>
            </w:r>
          </w:p>
        </w:tc>
        <w:tc>
          <w:tcPr>
            <w:tcW w:w="3080" w:type="dxa"/>
            <w:vAlign w:val="bottom"/>
          </w:tcPr>
          <w:p>
            <w:pPr>
              <w:spacing w:after="0"/>
              <w:rPr>
                <w:sz w:val="20"/>
                <w:szCs w:val="20"/>
                <w:color w:val="auto"/>
              </w:rPr>
            </w:pPr>
            <w:r>
              <w:rPr>
                <w:rFonts w:ascii="Arial" w:cs="Arial" w:eastAsia="Arial" w:hAnsi="Arial"/>
                <w:sz w:val="18"/>
                <w:szCs w:val="18"/>
                <w:color w:val="auto"/>
                <w:w w:val="94"/>
              </w:rPr>
              <w:t>Mexico, Niger, Nigeria, Russia, Rwanda,</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Spain, Thailand</w:t>
            </w:r>
          </w:p>
        </w:tc>
      </w:tr>
    </w:tbl>
    <w:p>
      <w:pPr>
        <w:spacing w:after="0" w:line="20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table below, which is as of March 31, 2016, lists the SORs known to us to have supplied necessary conflict minerals contained in our covered products but that did not source conflict minerals from any of the covered countries: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Umicore Precious Metals Thailand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RJC, 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Argor-Heraeus SA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RJC, CFSP Compliant</w:t>
            </w:r>
          </w:p>
        </w:tc>
        <w:tc>
          <w:tcPr>
            <w:tcW w:w="3080" w:type="dxa"/>
            <w:vAlign w:val="bottom"/>
          </w:tcPr>
          <w:p>
            <w:pPr>
              <w:spacing w:after="0"/>
              <w:rPr>
                <w:sz w:val="20"/>
                <w:szCs w:val="20"/>
                <w:color w:val="auto"/>
              </w:rPr>
            </w:pPr>
            <w:r>
              <w:rPr>
                <w:rFonts w:ascii="Arial" w:cs="Arial" w:eastAsia="Arial" w:hAnsi="Arial"/>
                <w:sz w:val="18"/>
                <w:szCs w:val="18"/>
                <w:color w:val="auto"/>
              </w:rPr>
              <w:t>Argentina, Chile, China, Hong Kong,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Singapore, South Africa, 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Heraeus Ltd. Hong Kong</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RJC, 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Canada, China, France,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Germany, Hong Kong, Japan, Laos,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1"/>
              </w:rPr>
              <w:t>Malaysia, Mozambique, Peru, Philippines,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Singapore, South Africa, Switzerland,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Taiwan,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Metalor USA Refining Corporation</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RJC, CFSP Compliant</w:t>
            </w:r>
          </w:p>
        </w:tc>
        <w:tc>
          <w:tcPr>
            <w:tcW w:w="3080" w:type="dxa"/>
            <w:vAlign w:val="bottom"/>
          </w:tcPr>
          <w:p>
            <w:pPr>
              <w:spacing w:after="0"/>
              <w:rPr>
                <w:sz w:val="20"/>
                <w:szCs w:val="20"/>
                <w:color w:val="auto"/>
              </w:rPr>
            </w:pPr>
            <w:r>
              <w:rPr>
                <w:rFonts w:ascii="Arial" w:cs="Arial" w:eastAsia="Arial" w:hAnsi="Arial"/>
                <w:sz w:val="18"/>
                <w:szCs w:val="18"/>
                <w:color w:val="auto"/>
              </w:rPr>
              <w:t>Canada, China, Mexico, Switzerland,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PAMP SA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RJC, CFSP Compliant</w:t>
            </w:r>
          </w:p>
        </w:tc>
        <w:tc>
          <w:tcPr>
            <w:tcW w:w="3080" w:type="dxa"/>
            <w:vAlign w:val="bottom"/>
          </w:tcPr>
          <w:p>
            <w:pPr>
              <w:spacing w:after="0"/>
              <w:rPr>
                <w:sz w:val="20"/>
                <w:szCs w:val="20"/>
                <w:color w:val="auto"/>
              </w:rPr>
            </w:pPr>
            <w:r>
              <w:rPr>
                <w:rFonts w:ascii="Arial" w:cs="Arial" w:eastAsia="Arial" w:hAnsi="Arial"/>
                <w:sz w:val="18"/>
                <w:szCs w:val="18"/>
                <w:color w:val="auto"/>
                <w:w w:val="97"/>
              </w:rPr>
              <w:t>Australia, Canada, Hong Kong, Mexico,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 Africa, 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PX PrŽcinox SA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RJC, 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Canada, Mozambique,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Valcambi SA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RJC, 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Hong Kong,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Switzerland, Taiwan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Almalyk Mining and Metallurgical</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Compliant , CFSP - Active</w:t>
            </w:r>
          </w:p>
        </w:tc>
        <w:tc>
          <w:tcPr>
            <w:tcW w:w="3080" w:type="dxa"/>
            <w:vAlign w:val="bottom"/>
          </w:tcPr>
          <w:p>
            <w:pPr>
              <w:spacing w:after="0"/>
              <w:rPr>
                <w:sz w:val="20"/>
                <w:szCs w:val="20"/>
                <w:color w:val="auto"/>
              </w:rPr>
            </w:pPr>
            <w:r>
              <w:rPr>
                <w:rFonts w:ascii="Arial" w:cs="Arial" w:eastAsia="Arial" w:hAnsi="Arial"/>
                <w:sz w:val="18"/>
                <w:szCs w:val="18"/>
                <w:color w:val="auto"/>
              </w:rPr>
              <w:t>China, Mexico, Uzbekistan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Complex (AMMC)</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Navoi Mining and Metallurgical</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Compliant, CFSP - Active</w:t>
            </w:r>
          </w:p>
        </w:tc>
        <w:tc>
          <w:tcPr>
            <w:tcW w:w="3080" w:type="dxa"/>
            <w:vAlign w:val="bottom"/>
          </w:tcPr>
          <w:p>
            <w:pPr>
              <w:spacing w:after="0"/>
              <w:rPr>
                <w:sz w:val="20"/>
                <w:szCs w:val="20"/>
                <w:color w:val="auto"/>
              </w:rPr>
            </w:pPr>
            <w:r>
              <w:rPr>
                <w:rFonts w:ascii="Arial" w:cs="Arial" w:eastAsia="Arial" w:hAnsi="Arial"/>
                <w:sz w:val="18"/>
                <w:szCs w:val="18"/>
                <w:color w:val="auto"/>
              </w:rPr>
              <w:t>Indonesia, United States, Uzbekistan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Combinat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5"/>
              </w:rPr>
              <w:t>Allgemeine Gold-und Silberscheideanstalt</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w w:val="90"/>
              </w:rPr>
              <w:t>Germany, Japan, Recycle/Scrap, Thailand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AngloGold Ashanti Córrego do Sítio</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Brazil, South Africa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Mineração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Asahi Pretec Corporation</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Argentina, Australia, Brazil, Canada,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Chile, Guinea, Hong Kong,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Mexico, Papua New Guinea,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Recycle/Scrap, Singapore,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Asahi Refining USA Inc.</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Canada, China, Hong Kong,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Aurubis AG</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Germany, Hong Kong,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Recycle/Scrap,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4"/>
              </w:rPr>
              <w:t>Bangko Sentral ng Pilipinas (Central Bank</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Canada, Philippines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of the Philippines)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Boliden AB</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Canada, Sweden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 Hafner GmbH + Co. KG</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Chimet S.p.A.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w w:val="99"/>
              </w:rPr>
              <w:t>Australia, Italy, Mexico, Recycle/Scrap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Elemetal Refining, LLC</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Hong Kong, Indonesia,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6"/>
              </w:rPr>
              <w:t>Kazakhstan, Philippines, Russia, United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Heimerle + Meule GmbH</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Austria,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4"/>
              </w:rPr>
              <w:t>Germany, Hong Kong, Jersey,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Mozambique, Philippines, Recycle/Scrap,</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36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5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100" w:type="dxa"/>
            <w:vAlign w:val="bottom"/>
            <w:gridSpan w:val="2"/>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Heraeus Precious Metals GmbH &amp; Co.</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LBMA, 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Australia, Bolivia, Chile, China, Germany,</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 Jersey, Malaysia,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Switzerland,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Istanbul Gold Refinery</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Japan Mint</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Jiangxi Copper Company Limited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China, Japan,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JSC Ekaterinburg Non-Ferrous Metal</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Canada, Japan, Russia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Processing Plant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JSC Uralelectromed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JX Nippon Mining &amp; Metals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Chile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Kazzinc</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Kazakhstan,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LS-NIKKO Copper Inc.</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Brazil, Chile, Hong Kong,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89"/>
              </w:rPr>
              <w:t>India, Indonesia, Japan, Kazakhstan,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Singapore, South Africa, South Korea,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Matsuda Sangyo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Canada, China, Hong Kong,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Indonesia, Japan, United Kingdom,</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Metalor Technologies (Hong Kong)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w w:val="90"/>
              </w:rPr>
              <w:t>Australia, China, Hong Kong, Japan,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Switzerland,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Metalor Technologies (Singapore) Pte.,</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China, Singapore, Switzerland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Metalor Technologies SA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Canada, China, Hong Kong, Sweden,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Switzerland, United Kingdom,</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METALÚRGICA MET-MEX PEÑOLES,</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China, Mexico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S.A. DE C.V</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Mitsubishi Materials Corporation</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Canada, Chile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Mitsui Mining &amp; Smelting</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Canada, China,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8"/>
              </w:rPr>
              <w:t>Moscow Special Alloys Processing Plant</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Nadir Metal Rafineri San. Ve Tic. A.Ş.</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Saudi Arabia, Turkey,</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Nihon Material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w w:val="97"/>
              </w:rPr>
              <w:t>Australia, Canada, Japan, Mozambique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OJSC “The Gulidov Krasnoyarsk Non-</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Russia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Ferrous Metals Plant” (OJSC</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Krastsvetmet)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OJSC Novosibirsk Refinery</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Italy,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Prioksky Plant of Non-Ferrous Metals</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China,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Aneka Tambang (Persero) Tbk</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Royal Canadian Mint</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w w:val="91"/>
              </w:rPr>
              <w:t>Canada, Chile, Germany, Guyana,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Mexico, Peru, Suriname, 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Schone Edelmetaal B.V.</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Belgium, Netherlands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SEMPSA Joyería Platería SA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6"/>
              </w:rPr>
              <w:t>Shandong Zhaojin Gold &amp; Silver Refinery</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China, Japan, United States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9"/>
              </w:rPr>
              <w:t>SOE Shyolkovsky Factory of Secondary</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Germany, Russia, Taiwan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Precious Metals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6500" w:type="dxa"/>
            <w:vAlign w:val="bottom"/>
            <w:gridSpan w:val="5"/>
          </w:tcPr>
          <w:p>
            <w:pPr>
              <w:ind w:left="120"/>
              <w:spacing w:after="0"/>
              <w:rPr>
                <w:sz w:val="20"/>
                <w:szCs w:val="20"/>
                <w:color w:val="auto"/>
              </w:rPr>
            </w:pPr>
            <w:r>
              <w:rPr>
                <w:rFonts w:ascii="Arial" w:cs="Arial" w:eastAsia="Arial" w:hAnsi="Arial"/>
                <w:sz w:val="18"/>
                <w:szCs w:val="18"/>
                <w:color w:val="auto"/>
              </w:rPr>
              <w:t>Solar Applied Materials Technology Corp. 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Canada, China, Hong Kong, Taiwan,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Sumitomo Metal Mining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Chile, Indonesia,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Tanaka Kikinzoku Kogyo K.K.</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w w:val="93"/>
              </w:rPr>
              <w:t>Australia, Belgium, Canada, Chile,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Hong Kong, Japan, Malaysia, Mexico,</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Singapore, South Africa, Switzerland,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United Kingdom, United States,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Uzbekistan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The Refinery of Shandong Gold Mining</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China,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Tokuriki Honten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Australia, Canada, Chile,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7"/>
              </w:rPr>
              <w:t>Hong Kong, Japan, Peru, United States</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Umicore Brasil Ltda.</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100" w:type="dxa"/>
            <w:vAlign w:val="bottom"/>
            <w:gridSpan w:val="2"/>
          </w:tcPr>
          <w:p>
            <w:pPr>
              <w:spacing w:after="0"/>
              <w:rPr>
                <w:sz w:val="20"/>
                <w:szCs w:val="20"/>
                <w:color w:val="auto"/>
              </w:rPr>
            </w:pPr>
            <w:r>
              <w:rPr>
                <w:rFonts w:ascii="Arial" w:cs="Arial" w:eastAsia="Arial" w:hAnsi="Arial"/>
                <w:sz w:val="18"/>
                <w:szCs w:val="18"/>
                <w:color w:val="auto"/>
              </w:rPr>
              <w:t>Brazil, Japan</w:t>
            </w:r>
          </w:p>
        </w:tc>
      </w:tr>
    </w:tbl>
    <w:p>
      <w:pPr>
        <w:spacing w:after="0" w:line="134" w:lineRule="exact"/>
        <w:rPr>
          <w:sz w:val="20"/>
          <w:szCs w:val="20"/>
          <w:color w:val="auto"/>
        </w:rPr>
      </w:pPr>
    </w:p>
    <w:p>
      <w:pPr>
        <w:sectPr>
          <w:pgSz w:w="11900" w:h="16838" w:orient="portrait"/>
          <w:cols w:equalWidth="0" w:num="1">
            <w:col w:w="11420"/>
          </w:cols>
          <w:pgMar w:left="240" w:top="265" w:right="239" w:bottom="1440" w:gutter="0" w:footer="0" w:header="0"/>
        </w:sect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5"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Western Australian Mint trading as The</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LBMA, 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Australia, Bolivia, Chile, China, Guinea,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Perth Mint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Hong Kong, Papua New Guinea,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Zhongyuan Gold Smelter of Zhongjin</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w w:val="96"/>
              </w:rPr>
              <w:t>Australia, Canada, China, Mozambique,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Gold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Philippines, Switzerland,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Zijin Mining Group Co., Ltd. Gold</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Kyrgyzstan, Mongolia,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Refinery</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Papua New Guinea, Peru, Russia,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Tajikistan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9"/>
              </w:rPr>
              <w:t>Inner Mongolia Qiankun Gold and Silver</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Compliant</w:t>
            </w:r>
          </w:p>
        </w:tc>
        <w:tc>
          <w:tcPr>
            <w:tcW w:w="3080" w:type="dxa"/>
            <w:vAlign w:val="bottom"/>
          </w:tcPr>
          <w:p>
            <w:pPr>
              <w:spacing w:after="0"/>
              <w:rPr>
                <w:sz w:val="20"/>
                <w:szCs w:val="20"/>
                <w:color w:val="auto"/>
              </w:rPr>
            </w:pPr>
            <w:r>
              <w:rPr>
                <w:rFonts w:ascii="Arial" w:cs="Arial" w:eastAsia="Arial" w:hAnsi="Arial"/>
                <w:sz w:val="18"/>
                <w:szCs w:val="18"/>
                <w:color w:val="auto"/>
              </w:rPr>
              <w:t>China, Mexico, Mongolia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Refinery Share Company Limited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Kyrgyzaltyn JSC</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Brazil, Kyrgyzstan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9"/>
              </w:rPr>
              <w:t>The Great Wall Gold and Silver Refinery</w:t>
            </w:r>
          </w:p>
        </w:tc>
        <w:tc>
          <w:tcPr>
            <w:tcW w:w="3180" w:type="dxa"/>
            <w:vAlign w:val="bottom"/>
            <w:gridSpan w:val="2"/>
          </w:tcPr>
          <w:p>
            <w:pPr>
              <w:spacing w:after="0"/>
              <w:rPr>
                <w:sz w:val="20"/>
                <w:szCs w:val="20"/>
                <w:color w:val="auto"/>
              </w:rPr>
            </w:pPr>
            <w:r>
              <w:rPr>
                <w:rFonts w:ascii="Arial" w:cs="Arial" w:eastAsia="Arial" w:hAnsi="Arial"/>
                <w:sz w:val="18"/>
                <w:szCs w:val="18"/>
                <w:color w:val="auto"/>
              </w:rPr>
              <w:t>LBMA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of China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Aida Chemical Industries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7"/>
              </w:rPr>
              <w:t>Bolivia, Canada, Japan, Peru, Portugal,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Recycle/Scrap, Spain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Asaka Riken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5"/>
              </w:rPr>
              <w:t>Armenia, Japan, Mexico, Recycle/Scrap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Eco-System Recycling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8"/>
              </w:rPr>
              <w:t>Bolivia, Canada, Japan, Recycle/Scrap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Kojima Chemicals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Materion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Canada, Chile,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Ohura Precious Metal Industry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Yamamoto Precious Metal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Yokohama Metal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China, Japan, Malaysia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Advanced Chemical Company</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Atasay Kuyumculuk Sanayi Ve Ticaret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 Turkey</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Bauer Walser AG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Caridad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Bolivia, Chile, China, Japan, Mexico</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Cendres + Métaux SA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Australia, Germany, Recycle/Scrap,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Chugai Mining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Canada,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Codelco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Daejin Indus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Japan, South 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Daye Non-Ferrous Metals Mining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Dowa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Canada, Hong Kong, Indonesia,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Mexico,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DSC (Do Sung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Recycle/Scrap, South 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Eldorado Gold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Australia, Brazil, China, Greece,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Romania, Turkey</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ESG Edelmetall-Service GmbH &amp; 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Faggi Enrico S.p.A.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Italy, Recycle/Scrap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8"/>
              </w:rPr>
              <w:t>Gansu Seemine Material Hi-Tech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Geib Refining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Guangdong Jinding Gold Limited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Australia, China, Taiwan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5"/>
              </w:rPr>
              <w:t>Hangzhou Fuchunjiang Smelting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Hwasung CJ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9"/>
              </w:rPr>
              <w:t>Australia, Canada, Hong Kong,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Mexico, South Korea,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Jinlong Copper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Kazakhmys plc</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Kazakhstan, Kyrgyzstan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KGHM Polska Miedź Spółka Akcyjna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Korea Metal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9"/>
              </w:rPr>
              <w:t>Australia, Recycle/Scrap, South 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 azurde Company For Jewelry</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5"/>
              </w:rPr>
              <w:t>Australia, Canada, Japan, Saudi Arabia,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Lingbao Gold Company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Lingbao Jinyuan Tonghui Refinery 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Luo yang Zijin Yinhui Metal Smelt 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Metalor Technologies (Suzhou)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South Africa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OJSC Kolyma Refinery</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Penglai Penggang Gold Industry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Sabin Metal Corp.</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Canada, China, United States</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Samduck Precious Metals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 Korea</w:t>
            </w: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65"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SAMWON METALS Corp.</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Australia, China, Hong Kong, South</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So Accurate Group, Inc.</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Thailand,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Super Dragon Technology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Recycle/Scrap, Taiwan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TongLing Nonferrous Metals Group</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Holdings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Torecom</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South 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Yantai Guodasafina High-tech</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Environmental Refinery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Yunnan Copper Industry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F&amp;X Electro-Materials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Recycle/Scrap,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FIR Metals &amp; Resource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Global Advanced Metals Aizu</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Canada,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Global Advanced Metals Boyertown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5"/>
              </w:rPr>
              <w:t>Australia, Brazil, Canada, China,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Mozambique,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Guangdong Zhiyuan New Material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China, Nigeria, Sierra Leone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Hengyang King Xing Lifeng New</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Materials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JiuJiang JinXin Nonferrous Metals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King-Tan Tantalum Industry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Ethiopia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LSM Brasil S.A.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Metallurgical Products India Pvt.,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Mitsui Mining &amp; Smelting</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Molycorp Silmet A.S.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Estonia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Plansee SE Liezen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Plansee SE Reutte</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QuantumClean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RFH Tantalum Smeltry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Peru,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Taki Chemicals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Telex Metals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Kazakhstan, Recycle/Scrap, Russia,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Yichun Jin Yang Rare Metal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AMG Advanced Metallurgical Group</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4"/>
              </w:rPr>
              <w:t>Ganzhou Huaxing Tungsten Products 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Mineração Taboca S.A.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 Active</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Yunnan Chengfeng Non-ferrous Metals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 Active</w:t>
            </w:r>
          </w:p>
        </w:tc>
        <w:tc>
          <w:tcPr>
            <w:tcW w:w="3080" w:type="dxa"/>
            <w:vAlign w:val="bottom"/>
          </w:tcPr>
          <w:p>
            <w:pPr>
              <w:spacing w:after="0"/>
              <w:rPr>
                <w:sz w:val="20"/>
                <w:szCs w:val="20"/>
                <w:color w:val="auto"/>
              </w:rPr>
            </w:pPr>
            <w:r>
              <w:rPr>
                <w:rFonts w:ascii="Arial" w:cs="Arial" w:eastAsia="Arial" w:hAnsi="Arial"/>
                <w:sz w:val="18"/>
                <w:szCs w:val="18"/>
                <w:color w:val="auto"/>
              </w:rPr>
              <w:t>China, Recycle/Scrap, Singapore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Alpha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89"/>
              </w:rPr>
              <w:t>Chile, China, Jersey, Peru, Recycle/Scrap,</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8"/>
              </w:rPr>
              <w:t>Spain, Taiwan, Thailand,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China Tin Group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Cooperativa Metalurgica de Rondônia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Brazil, Peru</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CV Serumpun Sebalai</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Malaysia, United States,</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Fenix Metals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Poland, Recycle/Scrap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6"/>
              </w:rPr>
              <w:t>Gejiu Non-Ferrous Metal Processing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2"/>
              </w:rPr>
              <w:t>Bolivia, Brazil, Canada, China, Indonesia,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Japan,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6500" w:type="dxa"/>
            <w:vAlign w:val="bottom"/>
            <w:gridSpan w:val="5"/>
          </w:tcPr>
          <w:p>
            <w:pPr>
              <w:ind w:left="120"/>
              <w:spacing w:after="0"/>
              <w:rPr>
                <w:sz w:val="20"/>
                <w:szCs w:val="20"/>
                <w:color w:val="auto"/>
              </w:rPr>
            </w:pPr>
            <w:r>
              <w:rPr>
                <w:rFonts w:ascii="Arial" w:cs="Arial" w:eastAsia="Arial" w:hAnsi="Arial"/>
                <w:sz w:val="18"/>
                <w:szCs w:val="18"/>
                <w:color w:val="auto"/>
              </w:rPr>
              <w:t>Jiangxi Ketai Advanced Material Co., Ltd. 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Magnu’s Minerais Metais e Ligas Ltda.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Melt Metais e Ligas S/A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Mitsubishi Materials Corporation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O.M. Manufacturing (Thailand)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Philippines,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O.M. Manufacturing Philippines, Inc.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Bolivia, Brazil, Canada, China,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 Philippines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Aries Kencana Sejahtera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Artha Cipta Langgeng</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Brazil, China, Germany,</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Indonesia, Malaysia</w:t>
            </w: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65"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PT Babel Inti Perkasa</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CFSP Compliant</w:t>
            </w: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Indonesia,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Bangka Tin Industry</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Bolivia, Brazil, Canada, China,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Belitung Industri Sejahtera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BilliTin Makmur Lestari</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Bolivia, Brazil, Canada, China, Malaysia,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DS Jaya Abadi</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1"/>
              </w:rPr>
              <w:t>Indonesia, Japan, Malaysia, Mozambique,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 Poland,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Eunindo Usaha Mandiri</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Justindo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Brazil, 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Mitra Stania Prima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8"/>
              </w:rPr>
              <w:t>Bolivia, Brazil, Chile, China, Indonesia,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Mexico,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Prima Timah Utama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Refined Bangka Tin</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Sariwiguna Binasentosa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Sumber Jaya Indah</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Timah (Persero) Tbk Kundur</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Canada, Chile, China, France,</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Indonesia, Malaysia, Peru, Thailand,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Tinindo Inter Nusa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Belgium, China, 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Rui Da Hung</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Japan, Taiwan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Soft Metais Ltda.</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White Solder Metalurgia e Mineração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7"/>
              </w:rPr>
              <w:t>Brazil, China, Germany, Peru, Thailand</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Yunnan Tin Group (Holding) Company</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Belgium, Bolivia, Brazil,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Limited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2"/>
              </w:rPr>
              <w:t>Canada, China, Ethiopia, Germany, Hong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Kong, Indonesia, Malaysia,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CNMC (Guangxi) PGMA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Complejo Metalurgico Vinto S.A.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Bolivia, 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CSC Pure Technologies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CV Duta Putra Bangka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CV Prima Timah Utama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Electroloy Metal Pte.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 China, Malaysia, Singapore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Estanho de Rondônia S.A.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 Taiwan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Feinhutte Halsbrucke GmbH</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Germany, Poland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Gejiu Zi-Li</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 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9"/>
              </w:rPr>
              <w:t>Heraeus Materials Technology GmbH &amp;</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6"/>
              </w:rPr>
              <w:t>Australia, China, Germany, Hong Kong,</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KG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Jersey, Singapore, South Korea,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Huichang Jinshunda Tin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Hyundai-Steel</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Jean Goldschmidt International SA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Belgium, 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Linwu Xianggui Smelter 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India,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Materials Eco-Refining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Japan, Recycle/Scrap</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Mineração Taboca S.A.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Nankang Nanshan Tin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Bolivia, China, Portugal,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Nghe Tinh Non-Ferrous Metals Joint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Stock Company</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Novosibirsk Integrated Tin Works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Kazakhstan, Peru, Philippines,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POSCO</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 South Korea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Alam Lestari Kencana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Australia, 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Bangka Kudai Tin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PT Bangka Timah Utama Sejahtera</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 China, Indonesia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Senju Metal Industry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4"/>
              </w:rPr>
              <w:t>Australia, Bolivia, Brazil, Canada, 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Japan, Malaysia, Peru</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SGS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4"/>
              </w:rPr>
              <w:t>Bolivia, Brazil, Canada, China, Malaysia,</w:t>
            </w: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Peru</w:t>
            </w:r>
          </w:p>
        </w:tc>
      </w:tr>
      <w:tr>
        <w:trPr>
          <w:trHeight w:val="36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4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3200" w:type="dxa"/>
            <w:vAlign w:val="bottom"/>
            <w:gridSpan w:val="2"/>
          </w:tcPr>
          <w:p>
            <w:pPr>
              <w:ind w:left="1060"/>
              <w:spacing w:after="0"/>
              <w:rPr>
                <w:sz w:val="20"/>
                <w:szCs w:val="20"/>
                <w:color w:val="auto"/>
              </w:rPr>
            </w:pPr>
            <w:r>
              <w:rPr>
                <w:rFonts w:ascii="Arial" w:cs="Arial" w:eastAsia="Arial" w:hAnsi="Arial"/>
                <w:sz w:val="14"/>
                <w:szCs w:val="14"/>
                <w:b w:val="1"/>
                <w:bCs w:val="1"/>
                <w:color w:val="auto"/>
              </w:rPr>
              <w:t>Smelter/Refiner</w:t>
            </w:r>
          </w:p>
        </w:tc>
        <w:tc>
          <w:tcPr>
            <w:tcW w:w="3180" w:type="dxa"/>
            <w:vAlign w:val="bottom"/>
            <w:gridSpan w:val="2"/>
          </w:tcPr>
          <w:p>
            <w:pPr>
              <w:ind w:left="940"/>
              <w:spacing w:after="0"/>
              <w:rPr>
                <w:sz w:val="20"/>
                <w:szCs w:val="20"/>
                <w:color w:val="auto"/>
              </w:rPr>
            </w:pPr>
            <w:r>
              <w:rPr>
                <w:rFonts w:ascii="Arial" w:cs="Arial" w:eastAsia="Arial" w:hAnsi="Arial"/>
                <w:sz w:val="14"/>
                <w:szCs w:val="14"/>
                <w:b w:val="1"/>
                <w:bCs w:val="1"/>
                <w:color w:val="auto"/>
              </w:rPr>
              <w:t>Certification Status</w:t>
            </w:r>
          </w:p>
        </w:tc>
        <w:tc>
          <w:tcPr>
            <w:tcW w:w="3080" w:type="dxa"/>
            <w:vAlign w:val="bottom"/>
          </w:tcPr>
          <w:p>
            <w:pPr>
              <w:ind w:left="760"/>
              <w:spacing w:after="0"/>
              <w:rPr>
                <w:sz w:val="20"/>
                <w:szCs w:val="20"/>
                <w:color w:val="auto"/>
              </w:rPr>
            </w:pPr>
            <w:r>
              <w:rPr>
                <w:rFonts w:ascii="Arial" w:cs="Arial" w:eastAsia="Arial" w:hAnsi="Arial"/>
                <w:sz w:val="14"/>
                <w:szCs w:val="14"/>
                <w:b w:val="1"/>
                <w:bCs w:val="1"/>
                <w:color w:val="auto"/>
              </w:rPr>
              <w:t>Mine Countries of Origin</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Xianghualing Tin Co., Ltd.</w:t>
            </w:r>
          </w:p>
        </w:tc>
        <w:tc>
          <w:tcPr>
            <w:tcW w:w="120" w:type="dxa"/>
            <w:vAlign w:val="bottom"/>
          </w:tcPr>
          <w:p>
            <w:pPr>
              <w:spacing w:after="0"/>
              <w:rPr>
                <w:sz w:val="16"/>
                <w:szCs w:val="16"/>
                <w:color w:val="auto"/>
              </w:rPr>
            </w:pPr>
          </w:p>
        </w:tc>
        <w:tc>
          <w:tcPr>
            <w:tcW w:w="3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Ganzhou Non-ferrous Metals Smelting</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Progressing, CFSP - Active</w:t>
            </w:r>
          </w:p>
        </w:tc>
        <w:tc>
          <w:tcPr>
            <w:tcW w:w="3080" w:type="dxa"/>
            <w:vAlign w:val="bottom"/>
          </w:tcPr>
          <w:p>
            <w:pPr>
              <w:spacing w:after="0"/>
              <w:rPr>
                <w:sz w:val="20"/>
                <w:szCs w:val="20"/>
                <w:color w:val="auto"/>
              </w:rPr>
            </w:pPr>
            <w:r>
              <w:rPr>
                <w:rFonts w:ascii="Arial" w:cs="Arial" w:eastAsia="Arial" w:hAnsi="Arial"/>
                <w:sz w:val="18"/>
                <w:szCs w:val="18"/>
                <w:color w:val="auto"/>
              </w:rPr>
              <w:t>Bolivia, China, Russia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9"/>
              </w:rPr>
              <w:t>Jiangwu H.C. Starck Tungsten Products</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Progressing, CFSP - Active</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Dayu Weiliang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Progressing</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6"/>
              </w:rPr>
              <w:t>Jiangxi Tonggu Non-ferrous Metallurgical</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Active, CFSP - Active</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&amp; Chemical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8"/>
              </w:rPr>
              <w:t>Jiangxi Xinsheng Tungsten Industry Co.,</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Active, CFSP - Active</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Jiangxi Yaosheng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Active, CFSP - Active</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Kennametal Fallon</w:t>
            </w:r>
          </w:p>
        </w:tc>
        <w:tc>
          <w:tcPr>
            <w:tcW w:w="3180" w:type="dxa"/>
            <w:vAlign w:val="bottom"/>
            <w:gridSpan w:val="2"/>
          </w:tcPr>
          <w:p>
            <w:pPr>
              <w:spacing w:after="0"/>
              <w:rPr>
                <w:sz w:val="20"/>
                <w:szCs w:val="20"/>
                <w:color w:val="auto"/>
              </w:rPr>
            </w:pPr>
            <w:r>
              <w:rPr>
                <w:rFonts w:ascii="Arial" w:cs="Arial" w:eastAsia="Arial" w:hAnsi="Arial"/>
                <w:sz w:val="18"/>
                <w:szCs w:val="18"/>
                <w:color w:val="auto"/>
              </w:rPr>
              <w:t>TICMC - Active, CFSP - Active</w:t>
            </w:r>
          </w:p>
        </w:tc>
        <w:tc>
          <w:tcPr>
            <w:tcW w:w="3080" w:type="dxa"/>
            <w:vAlign w:val="bottom"/>
          </w:tcPr>
          <w:p>
            <w:pPr>
              <w:spacing w:after="0"/>
              <w:rPr>
                <w:sz w:val="20"/>
                <w:szCs w:val="20"/>
                <w:color w:val="auto"/>
              </w:rPr>
            </w:pPr>
            <w:r>
              <w:rPr>
                <w:rFonts w:ascii="Arial" w:cs="Arial" w:eastAsia="Arial" w:hAnsi="Arial"/>
                <w:sz w:val="18"/>
                <w:szCs w:val="18"/>
                <w:color w:val="auto"/>
              </w:rPr>
              <w:t>Bolivia, China, Portugal,</w:t>
            </w:r>
          </w:p>
        </w:tc>
      </w:tr>
      <w:tr>
        <w:trPr>
          <w:trHeight w:val="230"/>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Recycle/Scrap, Russia,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A.L.M.T. Tungsten Corp.</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Chenzhou Diamond Tungsten Products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Chongyi Zhangyuan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8"/>
              </w:rPr>
              <w:t>Canada, China, Peru, Russia,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Fujian Jinxin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4"/>
              </w:rPr>
              <w:t>Ganzhou Huaxing Tungsten Products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7"/>
              </w:rPr>
              <w:t>Bolivia, Canada, China, Peru, Portugal,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5"/>
              </w:rPr>
              <w:t>Ganzhou Jiangwu Ferrotungsten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Global Tungsten &amp; Powders Corp.</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w w:val="97"/>
              </w:rPr>
              <w:t>Bolivia, Canada, China, Peru, Portugal,</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Spain,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Guangdong Xianglu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Canada, China, Russia,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Hunan Chunchang Nonferrous Metals</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Japan New Metals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Canada, China, Russia, Thailand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Jiangxi Gan Bei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Kennametal Huntsville</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Bolivia, China,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Malipo Haiyu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Niagara Refining LLC</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Brazil, Mexico, Portugal, Russia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Tejing (Vietnam) Tungsten Co., Ltd.</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 Vietnam</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3"/>
              </w:rPr>
              <w:t>Vietnam Youngsun Tungsten Industry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Wolfram Bergbau und Hütten AG</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Australia, Austria, 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w w:val="98"/>
              </w:rPr>
              <w:t>Xinhai Rendan Shaoguan Tungsten Co.,</w:t>
            </w:r>
          </w:p>
        </w:tc>
        <w:tc>
          <w:tcPr>
            <w:tcW w:w="3180" w:type="dxa"/>
            <w:vAlign w:val="bottom"/>
            <w:gridSpan w:val="2"/>
          </w:tcPr>
          <w:p>
            <w:pPr>
              <w:spacing w:after="0"/>
              <w:rPr>
                <w:sz w:val="20"/>
                <w:szCs w:val="20"/>
                <w:color w:val="auto"/>
              </w:rPr>
            </w:pPr>
            <w:r>
              <w:rPr>
                <w:rFonts w:ascii="Arial" w:cs="Arial" w:eastAsia="Arial" w:hAnsi="Arial"/>
                <w:sz w:val="18"/>
                <w:szCs w:val="18"/>
                <w:color w:val="auto"/>
              </w:rPr>
              <w:t>CFSP Compliant</w:t>
            </w: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Beijing Tian-Long Tungsten &amp;</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Molybdenum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Exotech Inc.</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Golden Egret Special Alloy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Hunan Chenzhou Mining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Izawa Metal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Jiangxi Minmetals Gao’an Non-ferrous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Metals 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Materion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Brazil, Canada, China, United States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North American Tungsten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Canada, China, Japan</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Nui Phao Mining Company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Vietnam</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Tamano Smelter, Hibi Kyodo Smelting</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Co., Ltd.</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Voss Metals Company, Inc.</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6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ind w:left="4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 w:name="page15"/>
    <w:bookmarkEnd w:id="14"/>
    <w:p>
      <w:pPr>
        <w:ind w:right="48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March 31, 2016, lists the SORs known to us to have supplied necessary conflict minerals contained in our covered products and that were either certified by one or more conflict free certification programs or that used only recycled or scrap minerals, but as to which we were unable to determine the countries of origin from which they sourced such conflict minerals: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20" w:type="dxa"/>
            <w:vAlign w:val="bottom"/>
          </w:tcPr>
          <w:p>
            <w:pPr>
              <w:ind w:left="72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4780" w:type="dxa"/>
            <w:vAlign w:val="bottom"/>
            <w:gridSpan w:val="2"/>
          </w:tcPr>
          <w:p>
            <w:pPr>
              <w:ind w:left="1860"/>
              <w:spacing w:after="0"/>
              <w:rPr>
                <w:sz w:val="20"/>
                <w:szCs w:val="20"/>
                <w:color w:val="auto"/>
              </w:rPr>
            </w:pPr>
            <w:r>
              <w:rPr>
                <w:rFonts w:ascii="Arial" w:cs="Arial" w:eastAsia="Arial" w:hAnsi="Arial"/>
                <w:sz w:val="14"/>
                <w:szCs w:val="14"/>
                <w:b w:val="1"/>
                <w:bCs w:val="1"/>
                <w:color w:val="auto"/>
              </w:rPr>
              <w:t>Smelter/Refiner</w:t>
            </w:r>
          </w:p>
        </w:tc>
        <w:tc>
          <w:tcPr>
            <w:tcW w:w="4680" w:type="dxa"/>
            <w:vAlign w:val="bottom"/>
          </w:tcPr>
          <w:p>
            <w:pPr>
              <w:ind w:left="1740"/>
              <w:spacing w:after="0"/>
              <w:rPr>
                <w:sz w:val="20"/>
                <w:szCs w:val="20"/>
                <w:color w:val="auto"/>
              </w:rPr>
            </w:pPr>
            <w:r>
              <w:rPr>
                <w:rFonts w:ascii="Arial" w:cs="Arial" w:eastAsia="Arial" w:hAnsi="Arial"/>
                <w:sz w:val="14"/>
                <w:szCs w:val="14"/>
                <w:b w:val="1"/>
                <w:bCs w:val="1"/>
                <w:color w:val="auto"/>
              </w:rPr>
              <w:t>Certification Status</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Asahi Refining Canada Limited</w:t>
            </w:r>
          </w:p>
        </w:tc>
        <w:tc>
          <w:tcPr>
            <w:tcW w:w="10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LBMA,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DODUCO GmbH</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Ishifuku Metal Industry Co., Ltd.</w:t>
            </w:r>
          </w:p>
        </w:tc>
        <w:tc>
          <w:tcPr>
            <w:tcW w:w="4680" w:type="dxa"/>
            <w:vAlign w:val="bottom"/>
          </w:tcPr>
          <w:p>
            <w:pPr>
              <w:spacing w:after="0"/>
              <w:rPr>
                <w:sz w:val="20"/>
                <w:szCs w:val="20"/>
                <w:color w:val="auto"/>
              </w:rPr>
            </w:pPr>
            <w:r>
              <w:rPr>
                <w:rFonts w:ascii="Arial" w:cs="Arial" w:eastAsia="Arial" w:hAnsi="Arial"/>
                <w:sz w:val="18"/>
                <w:szCs w:val="18"/>
                <w:color w:val="auto"/>
              </w:rPr>
              <w:t>LBMA,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Kennecott Utah Copper LLC</w:t>
            </w:r>
          </w:p>
        </w:tc>
        <w:tc>
          <w:tcPr>
            <w:tcW w:w="4680" w:type="dxa"/>
            <w:vAlign w:val="bottom"/>
          </w:tcPr>
          <w:p>
            <w:pPr>
              <w:spacing w:after="0"/>
              <w:rPr>
                <w:sz w:val="20"/>
                <w:szCs w:val="20"/>
                <w:color w:val="auto"/>
              </w:rPr>
            </w:pPr>
            <w:r>
              <w:rPr>
                <w:rFonts w:ascii="Arial" w:cs="Arial" w:eastAsia="Arial" w:hAnsi="Arial"/>
                <w:sz w:val="18"/>
                <w:szCs w:val="18"/>
                <w:color w:val="auto"/>
              </w:rPr>
              <w:t>LBMA, RJC,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MMTC-PAMP India Pvt., Ltd.</w:t>
            </w:r>
          </w:p>
        </w:tc>
        <w:tc>
          <w:tcPr>
            <w:tcW w:w="4680" w:type="dxa"/>
            <w:vAlign w:val="bottom"/>
          </w:tcPr>
          <w:p>
            <w:pPr>
              <w:spacing w:after="0"/>
              <w:rPr>
                <w:sz w:val="20"/>
                <w:szCs w:val="20"/>
                <w:color w:val="auto"/>
              </w:rPr>
            </w:pPr>
            <w:r>
              <w:rPr>
                <w:rFonts w:ascii="Arial" w:cs="Arial" w:eastAsia="Arial" w:hAnsi="Arial"/>
                <w:sz w:val="18"/>
                <w:szCs w:val="18"/>
                <w:color w:val="auto"/>
              </w:rPr>
              <w:t>LBMA,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w w:val="93"/>
              </w:rPr>
              <w:t>Ögussa Österreichische Gold- und Silber-Scheideanstalt GmbH</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Republic Metals Corporation</w:t>
            </w:r>
          </w:p>
        </w:tc>
        <w:tc>
          <w:tcPr>
            <w:tcW w:w="4680" w:type="dxa"/>
            <w:vAlign w:val="bottom"/>
          </w:tcPr>
          <w:p>
            <w:pPr>
              <w:spacing w:after="0"/>
              <w:rPr>
                <w:sz w:val="20"/>
                <w:szCs w:val="20"/>
                <w:color w:val="auto"/>
              </w:rPr>
            </w:pPr>
            <w:r>
              <w:rPr>
                <w:rFonts w:ascii="Arial" w:cs="Arial" w:eastAsia="Arial" w:hAnsi="Arial"/>
                <w:sz w:val="18"/>
                <w:szCs w:val="18"/>
                <w:color w:val="auto"/>
              </w:rPr>
              <w:t>LBMA, RJC,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Sichuan Tianze Precious Metals Co., Ltd.</w:t>
            </w:r>
          </w:p>
        </w:tc>
        <w:tc>
          <w:tcPr>
            <w:tcW w:w="4680" w:type="dxa"/>
            <w:vAlign w:val="bottom"/>
          </w:tcPr>
          <w:p>
            <w:pPr>
              <w:spacing w:after="0"/>
              <w:rPr>
                <w:sz w:val="20"/>
                <w:szCs w:val="20"/>
                <w:color w:val="auto"/>
              </w:rPr>
            </w:pPr>
            <w:r>
              <w:rPr>
                <w:rFonts w:ascii="Arial" w:cs="Arial" w:eastAsia="Arial" w:hAnsi="Arial"/>
                <w:sz w:val="18"/>
                <w:szCs w:val="18"/>
                <w:color w:val="auto"/>
              </w:rPr>
              <w:t>LBMA,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Singway Technology Co.,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T.C.A S.p.A</w:t>
            </w:r>
          </w:p>
        </w:tc>
        <w:tc>
          <w:tcPr>
            <w:tcW w:w="4680" w:type="dxa"/>
            <w:vAlign w:val="bottom"/>
          </w:tcPr>
          <w:p>
            <w:pPr>
              <w:spacing w:after="0"/>
              <w:rPr>
                <w:sz w:val="20"/>
                <w:szCs w:val="20"/>
                <w:color w:val="auto"/>
              </w:rPr>
            </w:pPr>
            <w:r>
              <w:rPr>
                <w:rFonts w:ascii="Arial" w:cs="Arial" w:eastAsia="Arial" w:hAnsi="Arial"/>
                <w:sz w:val="18"/>
                <w:szCs w:val="18"/>
                <w:color w:val="auto"/>
              </w:rPr>
              <w:t>LBMA,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Gold</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Umicore SA Business Unit Precious Metals Refining</w:t>
            </w:r>
          </w:p>
        </w:tc>
        <w:tc>
          <w:tcPr>
            <w:tcW w:w="4680" w:type="dxa"/>
            <w:vAlign w:val="bottom"/>
          </w:tcPr>
          <w:p>
            <w:pPr>
              <w:spacing w:after="0"/>
              <w:rPr>
                <w:sz w:val="20"/>
                <w:szCs w:val="20"/>
                <w:color w:val="auto"/>
              </w:rPr>
            </w:pPr>
            <w:r>
              <w:rPr>
                <w:rFonts w:ascii="Arial" w:cs="Arial" w:eastAsia="Arial" w:hAnsi="Arial"/>
                <w:sz w:val="18"/>
                <w:szCs w:val="18"/>
                <w:color w:val="auto"/>
              </w:rPr>
              <w:t>LBMA, 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D Block Metals, LLC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Exotech Inc.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H.C. Starck Smelting GmbH &amp; Co.KG</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Jiangxi Dinghai Tantalum &amp; Niobium Co.,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Jiujiang Zhongao Tantalum &amp; Niobium Co.,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Solikamsk Magnesium Works OAO</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Tranzact, Inc.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An Thai Minerals Company Limited</w:t>
            </w:r>
          </w:p>
        </w:tc>
        <w:tc>
          <w:tcPr>
            <w:tcW w:w="4680" w:type="dxa"/>
            <w:vAlign w:val="bottom"/>
          </w:tcPr>
          <w:p>
            <w:pPr>
              <w:spacing w:after="0"/>
              <w:rPr>
                <w:sz w:val="20"/>
                <w:szCs w:val="20"/>
                <w:color w:val="auto"/>
              </w:rPr>
            </w:pPr>
            <w:r>
              <w:rPr>
                <w:rFonts w:ascii="Arial" w:cs="Arial" w:eastAsia="Arial" w:hAnsi="Arial"/>
                <w:sz w:val="18"/>
                <w:szCs w:val="18"/>
                <w:color w:val="auto"/>
              </w:rPr>
              <w:t>CFSP - Active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CV Ayi Jaya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CV Gita Pesona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CV Venus Inti Perkasa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Elmet S.L.U. (Metallo Group)</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Metallic Resources, Inc.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Metallo-Chimique N.V.</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ATD Makmur Mandiri Jaya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Bangka Prima Tin</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Cipta Persada Mulia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Inti Stania Prima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Panca Mega Persada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Tommy Utama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PT Wahana Perkit Jaya</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Tin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VQB Mineral and Trading Group JSC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Asia Tungsten Products Vietnam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Dayu Jincheng Tungsten Industry Co., Ltd.</w:t>
            </w:r>
          </w:p>
        </w:tc>
        <w:tc>
          <w:tcPr>
            <w:tcW w:w="4680" w:type="dxa"/>
            <w:vAlign w:val="bottom"/>
          </w:tcPr>
          <w:p>
            <w:pPr>
              <w:spacing w:after="0"/>
              <w:rPr>
                <w:sz w:val="20"/>
                <w:szCs w:val="20"/>
                <w:color w:val="auto"/>
              </w:rPr>
            </w:pPr>
            <w:r>
              <w:rPr>
                <w:rFonts w:ascii="Arial" w:cs="Arial" w:eastAsia="Arial" w:hAnsi="Arial"/>
                <w:sz w:val="18"/>
                <w:szCs w:val="18"/>
                <w:color w:val="auto"/>
              </w:rPr>
              <w:t>TICMC - Progressing</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Ganzhou Yatai Tungsten Co.,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H.C. Starck Smelting GmbH &amp; Co.KG</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Hunan Chuangda Vanadium Tungsten Co., Ltd. Wuji</w:t>
            </w:r>
          </w:p>
        </w:tc>
        <w:tc>
          <w:tcPr>
            <w:tcW w:w="4680" w:type="dxa"/>
            <w:vAlign w:val="bottom"/>
          </w:tcPr>
          <w:p>
            <w:pPr>
              <w:spacing w:after="0"/>
              <w:rPr>
                <w:sz w:val="20"/>
                <w:szCs w:val="20"/>
                <w:color w:val="auto"/>
              </w:rPr>
            </w:pPr>
            <w:r>
              <w:rPr>
                <w:rFonts w:ascii="Arial" w:cs="Arial" w:eastAsia="Arial" w:hAnsi="Arial"/>
                <w:sz w:val="18"/>
                <w:szCs w:val="18"/>
                <w:color w:val="auto"/>
              </w:rPr>
              <w:t>TICMC - Progressing, CFSP - Active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Hunan Chuangda Vanadium Tungsten Co., Ltd. Yanglin</w:t>
            </w:r>
          </w:p>
        </w:tc>
        <w:tc>
          <w:tcPr>
            <w:tcW w:w="4680" w:type="dxa"/>
            <w:vAlign w:val="bottom"/>
          </w:tcPr>
          <w:p>
            <w:pPr>
              <w:spacing w:after="0"/>
              <w:rPr>
                <w:sz w:val="20"/>
                <w:szCs w:val="20"/>
                <w:color w:val="auto"/>
              </w:rPr>
            </w:pPr>
            <w:r>
              <w:rPr>
                <w:rFonts w:ascii="Arial" w:cs="Arial" w:eastAsia="Arial" w:hAnsi="Arial"/>
                <w:sz w:val="18"/>
                <w:szCs w:val="18"/>
                <w:color w:val="auto"/>
              </w:rPr>
              <w:t>TICMC - Progressing, CFSP - Active</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Hydrometallurg, JSC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Jiangxi Xiushui Xianggan Nonferrous Metals Co., Ltd.</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w w:val="95"/>
              </w:rPr>
              <w:t>Nui Phao H.C. Starck Tungsten Chemicals Manufacturing LLC</w:t>
            </w:r>
          </w:p>
        </w:tc>
        <w:tc>
          <w:tcPr>
            <w:tcW w:w="4680" w:type="dxa"/>
            <w:vAlign w:val="bottom"/>
          </w:tcPr>
          <w:p>
            <w:pPr>
              <w:spacing w:after="0"/>
              <w:rPr>
                <w:sz w:val="20"/>
                <w:szCs w:val="20"/>
                <w:color w:val="auto"/>
              </w:rPr>
            </w:pPr>
            <w:r>
              <w:rPr>
                <w:rFonts w:ascii="Arial" w:cs="Arial" w:eastAsia="Arial" w:hAnsi="Arial"/>
                <w:sz w:val="18"/>
                <w:szCs w:val="18"/>
                <w:color w:val="auto"/>
              </w:rPr>
              <w:t>CFSP Compliant</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Pobedit, JSC</w:t>
            </w:r>
          </w:p>
        </w:tc>
        <w:tc>
          <w:tcPr>
            <w:tcW w:w="4680" w:type="dxa"/>
            <w:vAlign w:val="bottom"/>
          </w:tcPr>
          <w:p>
            <w:pPr>
              <w:spacing w:after="0"/>
              <w:rPr>
                <w:sz w:val="20"/>
                <w:szCs w:val="20"/>
                <w:color w:val="auto"/>
              </w:rPr>
            </w:pPr>
            <w:r>
              <w:rPr>
                <w:rFonts w:ascii="Arial" w:cs="Arial" w:eastAsia="Arial" w:hAnsi="Arial"/>
                <w:sz w:val="18"/>
                <w:szCs w:val="18"/>
                <w:color w:val="auto"/>
              </w:rPr>
              <w:t>TICMC - Active</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Tungsten</w:t>
            </w:r>
          </w:p>
        </w:tc>
        <w:tc>
          <w:tcPr>
            <w:tcW w:w="4900" w:type="dxa"/>
            <w:vAlign w:val="bottom"/>
            <w:gridSpan w:val="3"/>
          </w:tcPr>
          <w:p>
            <w:pPr>
              <w:ind w:left="120"/>
              <w:spacing w:after="0"/>
              <w:rPr>
                <w:sz w:val="20"/>
                <w:szCs w:val="20"/>
                <w:color w:val="auto"/>
              </w:rPr>
            </w:pPr>
            <w:r>
              <w:rPr>
                <w:rFonts w:ascii="Arial" w:cs="Arial" w:eastAsia="Arial" w:hAnsi="Arial"/>
                <w:sz w:val="18"/>
                <w:szCs w:val="18"/>
                <w:color w:val="auto"/>
              </w:rPr>
              <w:t>Sanher Tungsten Vietnam Co., Ltd.</w:t>
            </w:r>
          </w:p>
        </w:tc>
        <w:tc>
          <w:tcPr>
            <w:tcW w:w="4680" w:type="dxa"/>
            <w:vAlign w:val="bottom"/>
          </w:tcPr>
          <w:p>
            <w:pPr>
              <w:spacing w:after="0"/>
              <w:rPr>
                <w:sz w:val="20"/>
                <w:szCs w:val="20"/>
                <w:color w:val="auto"/>
              </w:rPr>
            </w:pPr>
            <w:r>
              <w:rPr>
                <w:rFonts w:ascii="Arial" w:cs="Arial" w:eastAsia="Arial" w:hAnsi="Arial"/>
                <w:sz w:val="18"/>
                <w:szCs w:val="18"/>
                <w:color w:val="auto"/>
              </w:rPr>
              <w:t>CFSP - Active</w:t>
            </w:r>
          </w:p>
        </w:tc>
      </w:tr>
      <w:tr>
        <w:trPr>
          <w:trHeight w:val="36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0" w:type="dxa"/>
            <w:vAlign w:val="bottom"/>
            <w:gridSpan w:val="2"/>
          </w:tcPr>
          <w:p>
            <w:pPr>
              <w:jc w:val="right"/>
              <w:ind w:right="759"/>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which is as of March 31, 2016, lists the SORs known to us to have supplied necessary conflict minerals contained in our covered products and that were not certified by one or more conflict free certification programs. In addition, despite our diligence efforts we were unable to determine the countries from which these SORs sourced necessary conflict minerals.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6"/>
                <w:szCs w:val="16"/>
                <w:color w:val="auto"/>
              </w:rPr>
            </w:pPr>
          </w:p>
        </w:tc>
        <w:tc>
          <w:tcPr>
            <w:tcW w:w="844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Smelter/Refiner</w:t>
            </w:r>
          </w:p>
        </w:tc>
      </w:tr>
      <w:tr>
        <w:trPr>
          <w:trHeight w:val="195"/>
        </w:trPr>
        <w:tc>
          <w:tcPr>
            <w:tcW w:w="2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Gold</w:t>
            </w:r>
          </w:p>
        </w:tc>
        <w:tc>
          <w:tcPr>
            <w:tcW w:w="120" w:type="dxa"/>
            <w:vAlign w:val="bottom"/>
          </w:tcPr>
          <w:p>
            <w:pPr>
              <w:spacing w:after="0"/>
              <w:rPr>
                <w:sz w:val="16"/>
                <w:szCs w:val="16"/>
                <w:color w:val="auto"/>
              </w:rPr>
            </w:pPr>
          </w:p>
        </w:tc>
        <w:tc>
          <w:tcPr>
            <w:tcW w:w="8440" w:type="dxa"/>
            <w:vAlign w:val="bottom"/>
          </w:tcPr>
          <w:p>
            <w:pPr>
              <w:spacing w:after="0" w:line="195" w:lineRule="exact"/>
              <w:rPr>
                <w:sz w:val="20"/>
                <w:szCs w:val="20"/>
                <w:color w:val="auto"/>
              </w:rPr>
            </w:pPr>
            <w:r>
              <w:rPr>
                <w:rFonts w:ascii="Arial" w:cs="Arial" w:eastAsia="Arial" w:hAnsi="Arial"/>
                <w:sz w:val="18"/>
                <w:szCs w:val="18"/>
                <w:color w:val="auto"/>
              </w:rPr>
              <w:t>Aktyubinsk Copper Company TOO</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Al Etihad Gold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Emirates Gold DMCC</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Fidelity Printers and Refiners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House of Currency of Brazil (Casa da Moeda do Brazil)</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Hunan Chenzhou Mining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Kaloti Precious Metals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Korea Zinc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Metalli Preziosi S.p.A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Metallic Resources, Inc.</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Morris and Watson</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Rio Tinto Group</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SAXONIA Edelmetalle GmbH</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Shandong Gold Mining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Shandong Tiancheng Biological Gold Industrial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Gold</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WIELAND Edelmetalle GmbH</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ABS Industrial Resources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Avon Specialty Metals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Gannon &amp; Scott</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Guizhou Zhenhua Xinyun Technology Ltd., Kaili branch</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Hunan Chunchang Nonferrous Metals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JS International Industrial Limited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JX Nippon Mining &amp; Metals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Phoenix Metal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Resind Indústria e Comércio Ltda.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Treibacher Industrie AG</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An Vinh Joint Stock Mineral Processing Company</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Best Metais e Soldas SA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Chenzhou Yunxiang Mining and Metallurgy Company Limited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Colonial Metals, Inc</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Dowa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Electro-Mechanical Facility of the Cao Bang Minerals &amp; Metallurgy Joint Stock Company</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Elmet S.A. de C.V.</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Gejiu Fengming Metalurgy Chemical Plant</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Gejiu Yunxin Nonferrous Electrolysis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Guangxi Non-ferrous Metals Group Company Limited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Ishifuku Metal Industry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Japan New Metals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Jiangxi Copper Company Limited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JX Nippon Mining &amp; Metals Co.,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Kovohutě Příbram</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Metahub Industries Sdn. Bhd.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Metalor Technologies SA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Mitsui Mining &amp; Smelting</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Omodeo Metalleghe</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Phoenix Metal Ltd</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PT Fang Di MulTindo</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PT Karimun Mining</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PT Seirama Tin investment</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PT Tirus Putra Mandiri</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Resind Indústria e Comércio Ltda.</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Ritchey Metals</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Tin</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Sumitomo Metal Mining Co., Ltd.</w:t>
            </w:r>
          </w:p>
        </w:tc>
      </w:tr>
      <w:tr>
        <w:trPr>
          <w:trHeight w:val="365"/>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560" w:type="dxa"/>
            <w:vAlign w:val="bottom"/>
            <w:gridSpan w:val="2"/>
          </w:tcPr>
          <w:p>
            <w:pPr>
              <w:ind w:left="35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20"/>
          </w:cols>
          <w:pgMar w:left="2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Tungsten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TongLing Nonferrous Metals Group Holdings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-215900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Tuyen Quang Non-Ferrous Metals Joint Stock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Umicore SA Business Unit Precious Metals Refining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Air Products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 Nonferrous Metal Mining (Group)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ERAMET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Ganxian Shirui New Material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Ganzhou Haichuang Tungsten Industry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Jiujiang Tanbre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 International Industrial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JX Nippon Mining &amp; Metals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Luoyang Mudu Tungsten &amp; Molybdenum Technology Co., Ltd.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Sumitomo Metal Mining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Xiamen Honglu Tungsten Molybdenum Industry Co. Ltd.</w:t>
      </w:r>
    </w:p>
    <w:p>
      <w:pPr>
        <w:spacing w:after="0" w:line="200" w:lineRule="exact"/>
        <w:rPr>
          <w:sz w:val="20"/>
          <w:szCs w:val="20"/>
          <w:color w:val="auto"/>
        </w:rPr>
      </w:pPr>
    </w:p>
    <w:p>
      <w:pPr>
        <w:sectPr>
          <w:pgSz w:w="11900" w:h="16838" w:orient="portrait"/>
          <w:cols w:equalWidth="0" w:num="2">
            <w:col w:w="1580" w:space="720"/>
            <w:col w:w="9080"/>
          </w:cols>
          <w:pgMar w:left="240" w:top="274" w:right="27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Process Improvements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Integrate Cameron products and practices — </w:t>
      </w:r>
      <w:r>
        <w:rPr>
          <w:rFonts w:ascii="Arial" w:cs="Arial" w:eastAsia="Arial" w:hAnsi="Arial"/>
          <w:sz w:val="18"/>
          <w:szCs w:val="18"/>
          <w:color w:val="auto"/>
        </w:rPr>
        <w:t>On April 1, 2016, we acquired Cameron International Corporation (“Cameron”), a provider of flow</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products, systems and services. We will integrate the Cameron products subject to the Rule into our conflict minerals program and systems and will review and evaluate Cameron’s processes and procedures to identify and implement synergies. We will flag the Cameron products in our various systems and incorporate them into our third-party data collection and reporting tool.</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We received a response rate of 63% from our Tier 1 suppliers for 2015, as opposed to 46% for 2014. We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engage with our Tier 1 suppliers to attempt to increase supply chain transparency, including follow up with unresponsive suppliers. In addition, we will work with our Tier 1 suppliers to obtain even more product-level responses. As stated previously, 69% of our supplier responses were at the product level, as opposed to 2% for 2014. Finally, we will encourage improvement from those Tier 1 suppliers who provided a response at the product level but stated that 25% or less of their supply chain had provided a response. We will engage with these suppliers to remind them of the expectations set forth in our Conflict Minerals Policy and provide assistance where practicable.</w:t>
      </w:r>
    </w:p>
    <w:p>
      <w:pPr>
        <w:spacing w:after="0" w:line="19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Educational certification </w:t>
      </w:r>
      <w:r>
        <w:rPr>
          <w:rFonts w:ascii="Arial" w:cs="Arial" w:eastAsia="Arial" w:hAnsi="Arial"/>
          <w:sz w:val="18"/>
          <w:szCs w:val="18"/>
          <w:color w:val="auto"/>
        </w:rPr>
        <w:t>— More than 80% of our employees targeted for training on the Rule completed their annual training in 2015. These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members of the legal, engineering, manufacturing, sustaining, procurement and sourcing, sales, finance and compliance functions. We will continue targeted annual training and seek to improve the completion percentage, while also targeting new employees, including those from the Cameron acquisition. We will also develop additional training materials for enhanced understanding of various procedures for targeted employees who are integral to our reporting requirements under the Rule.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sectPr>
      <w:pgSz w:w="11900" w:h="16838" w:orient="portrait"/>
      <w:cols w:equalWidth="0" w:num="1">
        <w:col w:w="11380"/>
      </w:cols>
      <w:pgMar w:left="240" w:top="27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2019-12-05T09:51:38Z</dcterms:created>
  <dcterms:modified xsi:type="dcterms:W3CDTF">2019-12-05T09:51:38Z</dcterms:modified>
</cp:coreProperties>
</file>