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April 28,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20" w:right="400" w:hanging="419"/>
        <w:spacing w:after="0" w:line="277" w:lineRule="auto"/>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Quarterly Report Under Section 219 of the Iran Threat Reduction and Syria Human Rights Act of 2012 and Section 13(r) of the Exchange Act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right="280" w:firstLine="440"/>
        <w:spacing w:after="0" w:line="301" w:lineRule="auto"/>
        <w:rPr>
          <w:sz w:val="20"/>
          <w:szCs w:val="20"/>
          <w:color w:val="auto"/>
        </w:rPr>
      </w:pPr>
      <w:r>
        <w:rPr>
          <w:rFonts w:ascii="Arial" w:cs="Arial" w:eastAsia="Arial" w:hAnsi="Arial"/>
          <w:sz w:val="16"/>
          <w:szCs w:val="16"/>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Quarterly Report on Form 10-Q for the fiscal quarter ended March 31, 2021, which was filed with the U.S. Securities and Exchange Commission on April 28, 2021. Such disclosure appears on page 24 of the Quarterly Report on Form 10-Q and is incorporated by reference herein.</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Saul R. Laureles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Saul R. Laureles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1020"/>
      </w:cols>
      <w:pgMar w:left="440" w:top="2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2021-04-28T16:35:08Z</dcterms:created>
  <dcterms:modified xsi:type="dcterms:W3CDTF">2021-04-28T16:35:08Z</dcterms:modified>
</cp:coreProperties>
</file>