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1-4601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7"/>
              </w:rPr>
              <w:t>CURAÇAO</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52-0684746</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6"/>
              </w:rPr>
              <w:t>42 RUE SAINT-DOMINIQUE</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PARIS, FRANCE</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75007</w:t>
            </w: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5599 SAN FELIPE, 17</w:t>
            </w:r>
            <w:r>
              <w:rPr>
                <w:rFonts w:ascii="Arial" w:cs="Arial" w:eastAsia="Arial" w:hAnsi="Arial"/>
                <w:sz w:val="15"/>
                <w:szCs w:val="15"/>
                <w:color w:val="auto"/>
                <w:w w:val="93"/>
              </w:rPr>
              <w:t>th</w:t>
            </w:r>
            <w:r>
              <w:rPr>
                <w:rFonts w:ascii="Arial" w:cs="Arial" w:eastAsia="Arial" w:hAnsi="Arial"/>
                <w:sz w:val="18"/>
                <w:szCs w:val="18"/>
                <w:color w:val="auto"/>
                <w:w w:val="93"/>
              </w:rPr>
              <w:t xml:space="preserve"> FLOOR</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5"/>
              </w:rPr>
              <w:t>HOUSTON, TEXAS, U.S.A.</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77056</w:t>
            </w: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PARKSTRAAT 83</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8"/>
              </w:rPr>
              <w:t>THE HAGUE,</w:t>
            </w:r>
          </w:p>
        </w:tc>
        <w:tc>
          <w:tcPr>
            <w:tcW w:w="58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THE NETHERLANDS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2514 JG</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1"/>
              </w:rPr>
              <w:t>(Addresses of principal executive offices)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(Zip Codes)</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(713) 375-3400</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1" w:lineRule="exact"/>
        <w:rPr>
          <w:sz w:val="20"/>
          <w:szCs w:val="20"/>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41" w:lineRule="exact"/>
        <w:rPr>
          <w:sz w:val="20"/>
          <w:szCs w:val="20"/>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46" w:gutter="0" w:footer="0" w:header="0"/>
        </w:sectPr>
      </w:pPr>
    </w:p>
    <w:p>
      <w:pPr>
        <w:spacing w:after="0" w:line="1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56" w:lineRule="exact"/>
        <w:rPr>
          <w:sz w:val="20"/>
          <w:szCs w:val="20"/>
          <w:color w:val="auto"/>
        </w:rPr>
      </w:pPr>
    </w:p>
    <w:p>
      <w:pPr>
        <w:sectPr>
          <w:pgSz w:w="11900" w:h="16838" w:orient="portrait"/>
          <w:cols w:equalWidth="0" w:num="4">
            <w:col w:w="2440" w:space="720"/>
            <w:col w:w="1420" w:space="720"/>
            <w:col w:w="3340" w:space="680"/>
            <w:col w:w="2100"/>
          </w:cols>
          <w:pgMar w:left="240" w:top="122" w:right="239" w:bottom="46"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0"/>
          <w:szCs w:val="20"/>
          <w:color w:val="auto"/>
        </w:rPr>
      </w:pPr>
    </w:p>
    <w:p>
      <w:pPr>
        <w:ind w:left="514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Outstanding at June 30, 2011</w:t>
            </w:r>
          </w:p>
        </w:tc>
      </w:tr>
      <w:tr>
        <w:trPr>
          <w:trHeight w:val="426"/>
        </w:trPr>
        <w:tc>
          <w:tcPr>
            <w:tcW w:w="5420" w:type="dxa"/>
            <w:vAlign w:val="bottom"/>
          </w:tcPr>
          <w:p>
            <w:pPr>
              <w:jc w:val="center"/>
              <w:spacing w:after="0"/>
              <w:rPr>
                <w:sz w:val="20"/>
                <w:szCs w:val="20"/>
                <w:color w:val="auto"/>
              </w:rPr>
            </w:pPr>
            <w:r>
              <w:rPr>
                <w:rFonts w:ascii="Arial" w:cs="Arial" w:eastAsia="Arial" w:hAnsi="Arial"/>
                <w:sz w:val="18"/>
                <w:szCs w:val="18"/>
                <w:color w:val="auto"/>
                <w:w w:val="94"/>
              </w:rPr>
              <w:t>COMMON STOCK, $0.01 PAR VALUE PER SHARE</w:t>
            </w:r>
          </w:p>
        </w:tc>
        <w:tc>
          <w:tcPr>
            <w:tcW w:w="6000" w:type="dxa"/>
            <w:vAlign w:val="bottom"/>
            <w:gridSpan w:val="2"/>
          </w:tcPr>
          <w:p>
            <w:pPr>
              <w:jc w:val="right"/>
              <w:ind w:right="2128"/>
              <w:spacing w:after="0"/>
              <w:rPr>
                <w:sz w:val="20"/>
                <w:szCs w:val="20"/>
                <w:color w:val="auto"/>
              </w:rPr>
            </w:pPr>
            <w:r>
              <w:rPr>
                <w:rFonts w:ascii="Arial" w:cs="Arial" w:eastAsia="Arial" w:hAnsi="Arial"/>
                <w:sz w:val="18"/>
                <w:szCs w:val="18"/>
                <w:color w:val="auto"/>
              </w:rPr>
              <w:t>1,349,367,325</w:t>
            </w:r>
          </w:p>
        </w:tc>
      </w:tr>
      <w:tr>
        <w:trPr>
          <w:trHeight w:val="189"/>
        </w:trPr>
        <w:tc>
          <w:tcPr>
            <w:tcW w:w="5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46"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Second Quarter 2011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3"/>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0" w:type="dxa"/>
            <w:vAlign w:val="bottom"/>
            <w:gridSpan w:val="3"/>
            <w:vMerge w:val="restart"/>
          </w:tcPr>
          <w:p>
            <w:pPr>
              <w:spacing w:after="0"/>
              <w:rPr>
                <w:sz w:val="14"/>
                <w:szCs w:val="14"/>
                <w:color w:val="auto"/>
              </w:rPr>
            </w:pPr>
          </w:p>
        </w:tc>
        <w:tc>
          <w:tcPr>
            <w:tcW w:w="9600" w:type="dxa"/>
            <w:vAlign w:val="bottom"/>
            <w:gridSpan w:val="12"/>
            <w:vMerge w:val="restart"/>
          </w:tcPr>
          <w:p>
            <w:pPr>
              <w:ind w:left="3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0" w:type="dxa"/>
            <w:vAlign w:val="bottom"/>
            <w:gridSpan w:val="3"/>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9600" w:type="dxa"/>
            <w:vAlign w:val="bottom"/>
            <w:gridSpan w:val="1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80" w:type="dxa"/>
            <w:vAlign w:val="bottom"/>
          </w:tcPr>
          <w:p>
            <w:pPr>
              <w:spacing w:after="0"/>
              <w:rPr>
                <w:sz w:val="24"/>
                <w:szCs w:val="24"/>
                <w:color w:val="auto"/>
              </w:rPr>
            </w:pPr>
          </w:p>
        </w:tc>
        <w:tc>
          <w:tcPr>
            <w:tcW w:w="440" w:type="dxa"/>
            <w:vAlign w:val="bottom"/>
            <w:gridSpan w:val="3"/>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2.</w:t>
              </w:r>
            </w:hyperlink>
          </w:p>
        </w:tc>
        <w:tc>
          <w:tcPr>
            <w:tcW w:w="520" w:type="dxa"/>
            <w:vAlign w:val="bottom"/>
            <w:gridSpan w:val="4"/>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Item 3.</w:t>
              </w:r>
            </w:hyperlink>
          </w:p>
        </w:tc>
        <w:tc>
          <w:tcPr>
            <w:tcW w:w="520" w:type="dxa"/>
            <w:vAlign w:val="bottom"/>
            <w:gridSpan w:val="4"/>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Item 4.</w:t>
              </w:r>
            </w:hyperlink>
          </w:p>
        </w:tc>
        <w:tc>
          <w:tcPr>
            <w:tcW w:w="520" w:type="dxa"/>
            <w:vAlign w:val="bottom"/>
            <w:gridSpan w:val="4"/>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5"/>
          </w:tcPr>
          <w:p>
            <w:pP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w:t>
              </w:r>
            </w:hyperlink>
          </w:p>
        </w:tc>
        <w:tc>
          <w:tcPr>
            <w:tcW w:w="360" w:type="dxa"/>
            <w:vAlign w:val="bottom"/>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1.</w:t>
              </w:r>
            </w:hyperlink>
          </w:p>
        </w:tc>
        <w:tc>
          <w:tcPr>
            <w:tcW w:w="16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600" w:type="dxa"/>
            <w:vAlign w:val="bottom"/>
            <w:gridSpan w:val="12"/>
          </w:tcPr>
          <w:p>
            <w:pPr>
              <w:ind w:left="360"/>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2.</w:t>
              </w:r>
            </w:hyperlink>
          </w:p>
        </w:tc>
        <w:tc>
          <w:tcPr>
            <w:tcW w:w="120" w:type="dxa"/>
            <w:vAlign w:val="bottom"/>
            <w:gridSpan w:val="2"/>
          </w:tcPr>
          <w:p>
            <w:pPr>
              <w:spacing w:after="0"/>
              <w:rPr>
                <w:sz w:val="24"/>
                <w:szCs w:val="24"/>
                <w:color w:val="auto"/>
              </w:rPr>
            </w:pPr>
          </w:p>
        </w:tc>
        <w:tc>
          <w:tcPr>
            <w:tcW w:w="400" w:type="dxa"/>
            <w:vAlign w:val="bottom"/>
            <w:gridSpan w:val="2"/>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3.</w:t>
              </w:r>
            </w:hyperlink>
          </w:p>
        </w:tc>
        <w:tc>
          <w:tcPr>
            <w:tcW w:w="520" w:type="dxa"/>
            <w:vAlign w:val="bottom"/>
            <w:gridSpan w:val="4"/>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5.</w:t>
              </w:r>
            </w:hyperlink>
          </w:p>
        </w:tc>
        <w:tc>
          <w:tcPr>
            <w:tcW w:w="520" w:type="dxa"/>
            <w:vAlign w:val="bottom"/>
            <w:gridSpan w:val="4"/>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6.</w:t>
              </w:r>
            </w:hyperlink>
          </w:p>
        </w:tc>
        <w:tc>
          <w:tcPr>
            <w:tcW w:w="520" w:type="dxa"/>
            <w:vAlign w:val="bottom"/>
            <w:gridSpan w:val="4"/>
          </w:tcPr>
          <w:p>
            <w:pPr>
              <w:spacing w:after="0"/>
              <w:rPr>
                <w:sz w:val="24"/>
                <w:szCs w:val="24"/>
                <w:color w:val="auto"/>
              </w:rPr>
            </w:pPr>
          </w:p>
        </w:tc>
        <w:tc>
          <w:tcPr>
            <w:tcW w:w="9600" w:type="dxa"/>
            <w:vAlign w:val="bottom"/>
            <w:gridSpan w:val="12"/>
          </w:tcPr>
          <w:p>
            <w:pPr>
              <w:ind w:left="360"/>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4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 w:type="dxa"/>
            <w:vAlign w:val="bottom"/>
          </w:tcPr>
          <w:p>
            <w:pPr>
              <w:spacing w:after="0"/>
              <w:rPr>
                <w:sz w:val="24"/>
                <w:szCs w:val="24"/>
                <w:color w:val="auto"/>
              </w:rPr>
            </w:pPr>
          </w:p>
        </w:tc>
        <w:tc>
          <w:tcPr>
            <w:tcW w:w="620" w:type="dxa"/>
            <w:vAlign w:val="bottom"/>
            <w:gridSpan w:val="4"/>
            <w:vMerge w:val="restart"/>
          </w:tcPr>
          <w:p>
            <w:pPr>
              <w:spacing w:after="0"/>
              <w:rPr>
                <w:sz w:val="20"/>
                <w:szCs w:val="20"/>
                <w:color w:val="auto"/>
              </w:rPr>
            </w:pPr>
            <w:r>
              <w:rPr>
                <w:rFonts w:ascii="Arial" w:cs="Arial" w:eastAsia="Arial" w:hAnsi="Arial"/>
                <w:sz w:val="18"/>
                <w:szCs w:val="18"/>
                <w:color w:val="0000EE"/>
                <w:w w:val="89"/>
              </w:rPr>
              <w:t>EX-31.1</w:t>
            </w:r>
          </w:p>
        </w:tc>
        <w:tc>
          <w:tcPr>
            <w:tcW w:w="360" w:type="dxa"/>
            <w:vAlign w:val="bottom"/>
            <w:vMerge w:val="restart"/>
          </w:tcPr>
          <w:p>
            <w:pPr>
              <w:spacing w:after="0"/>
              <w:rPr>
                <w:sz w:val="24"/>
                <w:szCs w:val="24"/>
                <w:color w:val="auto"/>
              </w:rPr>
            </w:pPr>
          </w:p>
        </w:tc>
        <w:tc>
          <w:tcPr>
            <w:tcW w:w="9600" w:type="dxa"/>
            <w:vAlign w:val="bottom"/>
            <w:gridSpan w:val="12"/>
          </w:tcPr>
          <w:p>
            <w:pPr>
              <w:ind w:left="360"/>
              <w:spacing w:after="0"/>
              <w:rPr>
                <w:sz w:val="20"/>
                <w:szCs w:val="20"/>
                <w:color w:val="auto"/>
              </w:rPr>
            </w:pPr>
            <w:r>
              <w:rPr>
                <w:rFonts w:ascii="Arial" w:cs="Arial" w:eastAsia="Arial" w:hAnsi="Arial"/>
                <w:sz w:val="18"/>
                <w:szCs w:val="18"/>
                <w:color w:val="auto"/>
              </w:rPr>
              <w:t>Certifications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tcBorders>
              <w:bottom w:val="single" w:sz="8" w:color="0000EE"/>
            </w:tcBorders>
            <w:gridSpan w:val="4"/>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EX-31.2</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EX-32.1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EX-32.2</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520" w:type="dxa"/>
            <w:vAlign w:val="bottom"/>
          </w:tcPr>
          <w:p>
            <w:pPr>
              <w:spacing w:after="0"/>
              <w:rPr>
                <w:sz w:val="14"/>
                <w:szCs w:val="14"/>
                <w:color w:val="auto"/>
              </w:rPr>
            </w:pPr>
          </w:p>
        </w:tc>
        <w:tc>
          <w:tcPr>
            <w:tcW w:w="2800" w:type="dxa"/>
            <w:vAlign w:val="bottom"/>
            <w:gridSpan w:val="8"/>
          </w:tcPr>
          <w:p>
            <w:pPr>
              <w:ind w:left="40"/>
              <w:spacing w:after="0"/>
              <w:rPr>
                <w:sz w:val="20"/>
                <w:szCs w:val="20"/>
                <w:color w:val="auto"/>
              </w:rPr>
            </w:pPr>
            <w:r>
              <w:rPr>
                <w:rFonts w:ascii="Arial" w:cs="Arial" w:eastAsia="Arial" w:hAnsi="Arial"/>
                <w:sz w:val="14"/>
                <w:szCs w:val="14"/>
                <w:i w:val="1"/>
                <w:iCs w:val="1"/>
                <w:color w:val="auto"/>
                <w:w w:val="96"/>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Six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w w:val="96"/>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Oilfield Services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8,990</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5,937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17,111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631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9,621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18,337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&amp; other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Oilfield Services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7,032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4,652</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13,522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Distribution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1,178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Research &amp; engineering</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274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&amp; administrative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Merger &amp; integration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on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374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669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Net Income</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noncontrolling interests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1,119</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818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2,063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0.83</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0.69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0.82</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0.68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1,352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Assuming dilution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1,366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1,208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 30, 2011</w:t>
            </w: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(Unaudited)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3,555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less allowance for doubtful accounts (2011 — $203; 2010 — $185)</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9,356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4,306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1,157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19,942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12,315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13,935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4,996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54,019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51,767</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6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800" w:type="dxa"/>
            <w:vAlign w:val="bottom"/>
            <w:gridSpan w:val="2"/>
          </w:tcPr>
          <w:p>
            <w:pPr>
              <w:ind w:left="16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liability for taxes on income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Long-term debt — current portion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2,573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12,376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5,745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1,488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21,957</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12,044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(4,417)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26,815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(2,594)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Schlumberger stockholders’ equity</w:t>
            </w: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31,848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32,062</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54,019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40"/>
              <w:spacing w:after="0"/>
              <w:rPr>
                <w:sz w:val="20"/>
                <w:szCs w:val="20"/>
                <w:color w:val="auto"/>
              </w:rPr>
            </w:pPr>
            <w:r>
              <w:rPr>
                <w:rFonts w:ascii="Arial" w:cs="Arial" w:eastAsia="Arial" w:hAnsi="Arial"/>
                <w:sz w:val="14"/>
                <w:szCs w:val="14"/>
                <w:color w:val="auto"/>
                <w:w w:val="97"/>
              </w:rPr>
              <w:t>Six Months Ended Jun.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2,287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Income from discontinued operations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1,593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Earnings of companies carried at equity, less dividends received</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 expense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 expense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Pension and other postretirement benefits funding</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5"/>
                <w:szCs w:val="15"/>
                <w:color w:val="auto"/>
              </w:rPr>
              <w:t>(2)</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Increase in receivables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(Increase) decrease in inventories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(Increase) decrease in other current assets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Increase (decrease) in accounts payable and accrued liabilities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(Decrease) increase in estimated liability for taxes on income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Increase (decrease) in other liabilities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20"/>
              <w:spacing w:after="0"/>
              <w:rPr>
                <w:sz w:val="20"/>
                <w:szCs w:val="20"/>
                <w:color w:val="auto"/>
              </w:rPr>
            </w:pPr>
            <w:r>
              <w:rPr>
                <w:rFonts w:ascii="Arial" w:cs="Arial" w:eastAsia="Arial" w:hAnsi="Arial"/>
                <w:sz w:val="18"/>
                <w:szCs w:val="18"/>
                <w:color w:val="auto"/>
              </w:rPr>
              <w:t>Other — net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2,086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(1,720)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Acquisition of Geoservices, net of cash acquired</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Multiclient seismic data capitalized</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Business acquisitions, net of cash acquired</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sale of investments, net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Proceeds from employee stock purchase plan</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Tax benefits on stock options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repurchase program</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3,568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Net decrease in short-term borrowings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(386</w:t>
            </w: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0"/>
        </w:trPr>
        <w:tc>
          <w:tcPr>
            <w:tcW w:w="2060" w:type="dxa"/>
            <w:vAlign w:val="bottom"/>
            <w:gridSpan w:val="3"/>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20" w:type="dxa"/>
            <w:vAlign w:val="bottom"/>
            <w:gridSpan w:val="4"/>
          </w:tcPr>
          <w:p>
            <w:pPr>
              <w:spacing w:after="0"/>
              <w:rPr>
                <w:sz w:val="20"/>
                <w:szCs w:val="20"/>
                <w:color w:val="auto"/>
              </w:rPr>
            </w:pPr>
            <w:r>
              <w:rPr>
                <w:rFonts w:ascii="Arial" w:cs="Arial" w:eastAsia="Arial" w:hAnsi="Arial"/>
                <w:sz w:val="18"/>
                <w:szCs w:val="18"/>
                <w:color w:val="auto"/>
              </w:rPr>
              <w:t>Cash flows from discontinued operations — investing activities</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385</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decrease in cash before translation effect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Translation effect on cash</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Cash, end of period</w:t>
            </w:r>
          </w:p>
        </w:tc>
        <w:tc>
          <w:tcPr>
            <w:tcW w:w="1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0" w:type="dxa"/>
            <w:vAlign w:val="bottom"/>
            <w:gridSpan w:val="2"/>
          </w:tcPr>
          <w:p>
            <w:pPr>
              <w:spacing w:after="0"/>
              <w:rPr>
                <w:sz w:val="20"/>
                <w:szCs w:val="20"/>
                <w:color w:val="auto"/>
              </w:rPr>
            </w:pPr>
            <w:r>
              <w:rPr>
                <w:rFonts w:ascii="Arial" w:cs="Arial" w:eastAsia="Arial" w:hAnsi="Arial"/>
                <w:sz w:val="15"/>
                <w:szCs w:val="15"/>
                <w:color w:val="auto"/>
                <w:w w:val="97"/>
              </w:rPr>
              <w:t>(1)</w:t>
            </w:r>
          </w:p>
        </w:tc>
        <w:tc>
          <w:tcPr>
            <w:tcW w:w="7320" w:type="dxa"/>
            <w:vAlign w:val="bottom"/>
            <w:gridSpan w:val="2"/>
          </w:tcPr>
          <w:p>
            <w:pPr>
              <w:ind w:left="260"/>
              <w:spacing w:after="0"/>
              <w:rPr>
                <w:sz w:val="20"/>
                <w:szCs w:val="20"/>
                <w:color w:val="auto"/>
              </w:rPr>
            </w:pPr>
            <w:r>
              <w:rPr>
                <w:rFonts w:ascii="Arial" w:cs="Arial" w:eastAsia="Arial" w:hAnsi="Arial"/>
                <w:sz w:val="18"/>
                <w:szCs w:val="18"/>
                <w:color w:val="auto"/>
              </w:rPr>
              <w:t>Includes multiclient seismic data costs.</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gridSpan w:val="2"/>
          </w:tcPr>
          <w:p>
            <w:pPr>
              <w:spacing w:after="0"/>
              <w:rPr>
                <w:sz w:val="20"/>
                <w:szCs w:val="20"/>
                <w:color w:val="auto"/>
              </w:rPr>
            </w:pPr>
            <w:r>
              <w:rPr>
                <w:rFonts w:ascii="Arial" w:cs="Arial" w:eastAsia="Arial" w:hAnsi="Arial"/>
                <w:sz w:val="15"/>
                <w:szCs w:val="15"/>
                <w:color w:val="auto"/>
                <w:w w:val="97"/>
              </w:rPr>
              <w:t>(2)</w:t>
            </w:r>
          </w:p>
        </w:tc>
        <w:tc>
          <w:tcPr>
            <w:tcW w:w="7320" w:type="dxa"/>
            <w:vAlign w:val="bottom"/>
            <w:gridSpan w:val="2"/>
          </w:tcPr>
          <w:p>
            <w:pPr>
              <w:ind w:left="260"/>
              <w:spacing w:after="0"/>
              <w:rPr>
                <w:sz w:val="20"/>
                <w:szCs w:val="20"/>
                <w:color w:val="auto"/>
              </w:rPr>
            </w:pPr>
            <w:r>
              <w:rPr>
                <w:rFonts w:ascii="Arial" w:cs="Arial" w:eastAsia="Arial" w:hAnsi="Arial"/>
                <w:sz w:val="18"/>
                <w:szCs w:val="18"/>
                <w:color w:val="auto"/>
              </w:rPr>
              <w:t>Net of the effect of business acquisitions and divestitures.</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gridSpan w:val="4"/>
            <w:vMerge w:val="restart"/>
          </w:tcPr>
          <w:p>
            <w:pPr>
              <w:jc w:val="center"/>
              <w:ind w:right="4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vMerge w:val="restart"/>
          </w:tcPr>
          <w:p>
            <w:pPr>
              <w:jc w:val="right"/>
              <w:spacing w:after="0"/>
              <w:rPr>
                <w:sz w:val="20"/>
                <w:szCs w:val="20"/>
                <w:color w:val="auto"/>
              </w:rPr>
            </w:pPr>
            <w:r>
              <w:rPr>
                <w:rFonts w:ascii="Arial" w:cs="Arial" w:eastAsia="Arial" w:hAnsi="Arial"/>
                <w:sz w:val="14"/>
                <w:szCs w:val="14"/>
                <w:color w:val="auto"/>
              </w:rPr>
              <w:t>Common Stock</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2010 - June 30, 2010</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3"/>
          </w:tcPr>
          <w:p>
            <w:pPr>
              <w:ind w:left="80"/>
              <w:spacing w:after="0" w:line="154" w:lineRule="exact"/>
              <w:rPr>
                <w:sz w:val="20"/>
                <w:szCs w:val="20"/>
                <w:color w:val="auto"/>
              </w:rPr>
            </w:pPr>
            <w:r>
              <w:rPr>
                <w:rFonts w:ascii="Arial" w:cs="Arial" w:eastAsia="Arial" w:hAnsi="Arial"/>
                <w:sz w:val="14"/>
                <w:szCs w:val="14"/>
                <w:color w:val="auto"/>
              </w:rPr>
              <w:t>Retained</w:t>
            </w:r>
          </w:p>
        </w:tc>
        <w:tc>
          <w:tcPr>
            <w:tcW w:w="1320" w:type="dxa"/>
            <w:vAlign w:val="bottom"/>
            <w:gridSpan w:val="4"/>
          </w:tcPr>
          <w:p>
            <w:pPr>
              <w:jc w:val="center"/>
              <w:ind w:right="420"/>
              <w:spacing w:after="0" w:line="154" w:lineRule="exact"/>
              <w:rPr>
                <w:sz w:val="20"/>
                <w:szCs w:val="20"/>
                <w:color w:val="auto"/>
              </w:rPr>
            </w:pPr>
            <w:r>
              <w:rPr>
                <w:rFonts w:ascii="Arial" w:cs="Arial" w:eastAsia="Arial" w:hAnsi="Arial"/>
                <w:sz w:val="14"/>
                <w:szCs w:val="14"/>
                <w:color w:val="auto"/>
                <w:w w:val="91"/>
              </w:rPr>
              <w:t>Comprehensive</w:t>
            </w:r>
          </w:p>
        </w:tc>
        <w:tc>
          <w:tcPr>
            <w:tcW w:w="220" w:type="dxa"/>
            <w:vAlign w:val="bottom"/>
          </w:tcPr>
          <w:p>
            <w:pPr>
              <w:spacing w:after="0"/>
              <w:rPr>
                <w:sz w:val="13"/>
                <w:szCs w:val="13"/>
                <w:color w:val="auto"/>
              </w:rPr>
            </w:pPr>
          </w:p>
        </w:tc>
        <w:tc>
          <w:tcPr>
            <w:tcW w:w="1020" w:type="dxa"/>
            <w:vAlign w:val="bottom"/>
            <w:gridSpan w:val="4"/>
          </w:tcPr>
          <w:p>
            <w:pPr>
              <w:spacing w:after="0" w:line="154"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w w:val="92"/>
              </w:rPr>
              <w:t>Issued</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In Treasury</w:t>
            </w:r>
          </w:p>
        </w:tc>
        <w:tc>
          <w:tcPr>
            <w:tcW w:w="660" w:type="dxa"/>
            <w:vAlign w:val="bottom"/>
          </w:tcPr>
          <w:p>
            <w:pPr>
              <w:spacing w:after="0"/>
              <w:rPr>
                <w:sz w:val="12"/>
                <w:szCs w:val="12"/>
                <w:color w:val="auto"/>
              </w:rPr>
            </w:pPr>
          </w:p>
        </w:tc>
        <w:tc>
          <w:tcPr>
            <w:tcW w:w="132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2"/>
                <w:szCs w:val="12"/>
                <w:color w:val="auto"/>
              </w:rPr>
            </w:pPr>
          </w:p>
        </w:tc>
        <w:tc>
          <w:tcPr>
            <w:tcW w:w="1200" w:type="dxa"/>
            <w:vAlign w:val="bottom"/>
            <w:gridSpan w:val="3"/>
          </w:tcPr>
          <w:p>
            <w:pPr>
              <w:jc w:val="center"/>
              <w:ind w:right="560"/>
              <w:spacing w:after="0" w:line="142" w:lineRule="exact"/>
              <w:rPr>
                <w:sz w:val="20"/>
                <w:szCs w:val="20"/>
                <w:color w:val="auto"/>
              </w:rPr>
            </w:pPr>
            <w:r>
              <w:rPr>
                <w:rFonts w:ascii="Arial" w:cs="Arial" w:eastAsia="Arial" w:hAnsi="Arial"/>
                <w:sz w:val="14"/>
                <w:szCs w:val="14"/>
                <w:color w:val="auto"/>
                <w:w w:val="94"/>
              </w:rPr>
              <w:t>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Arial" w:cs="Arial" w:eastAsia="Arial" w:hAnsi="Arial"/>
                <w:sz w:val="14"/>
                <w:szCs w:val="14"/>
                <w:color w:val="auto"/>
                <w:w w:val="96"/>
              </w:rPr>
              <w:t>Interests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4,777</w:t>
            </w:r>
          </w:p>
        </w:tc>
        <w:tc>
          <w:tcPr>
            <w:tcW w:w="7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(5,002)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$ 22,019</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(2,674)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fair value of derivatives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Deferred employee benefits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Shares sold to optionees, less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exchanged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(872)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cost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Shares issued on conversion of debentures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303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noncontrolling interests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Dividends declared ($0.42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benefits on stock options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w:t>
            </w:r>
          </w:p>
        </w:tc>
        <w:tc>
          <w:tcPr>
            <w:tcW w:w="7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(5,420)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$ 23,007</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(2,729)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$ 19,884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4"/>
            <w:vMerge w:val="restart"/>
          </w:tcPr>
          <w:p>
            <w:pPr>
              <w:jc w:val="center"/>
              <w:ind w:right="4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vMerge w:val="restart"/>
          </w:tcPr>
          <w:p>
            <w:pPr>
              <w:jc w:val="right"/>
              <w:spacing w:after="0"/>
              <w:rPr>
                <w:sz w:val="20"/>
                <w:szCs w:val="20"/>
                <w:color w:val="auto"/>
              </w:rPr>
            </w:pPr>
            <w:r>
              <w:rPr>
                <w:rFonts w:ascii="Arial" w:cs="Arial" w:eastAsia="Arial" w:hAnsi="Arial"/>
                <w:sz w:val="14"/>
                <w:szCs w:val="14"/>
                <w:color w:val="auto"/>
              </w:rPr>
              <w:t>Common Stock</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2011 - June 30, 2011</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3"/>
          </w:tcPr>
          <w:p>
            <w:pPr>
              <w:ind w:left="80"/>
              <w:spacing w:after="0" w:line="154" w:lineRule="exact"/>
              <w:rPr>
                <w:sz w:val="20"/>
                <w:szCs w:val="20"/>
                <w:color w:val="auto"/>
              </w:rPr>
            </w:pPr>
            <w:r>
              <w:rPr>
                <w:rFonts w:ascii="Arial" w:cs="Arial" w:eastAsia="Arial" w:hAnsi="Arial"/>
                <w:sz w:val="14"/>
                <w:szCs w:val="14"/>
                <w:color w:val="auto"/>
              </w:rPr>
              <w:t>Retained</w:t>
            </w:r>
          </w:p>
        </w:tc>
        <w:tc>
          <w:tcPr>
            <w:tcW w:w="1320" w:type="dxa"/>
            <w:vAlign w:val="bottom"/>
            <w:gridSpan w:val="4"/>
          </w:tcPr>
          <w:p>
            <w:pPr>
              <w:jc w:val="center"/>
              <w:ind w:right="420"/>
              <w:spacing w:after="0" w:line="154" w:lineRule="exact"/>
              <w:rPr>
                <w:sz w:val="20"/>
                <w:szCs w:val="20"/>
                <w:color w:val="auto"/>
              </w:rPr>
            </w:pPr>
            <w:r>
              <w:rPr>
                <w:rFonts w:ascii="Arial" w:cs="Arial" w:eastAsia="Arial" w:hAnsi="Arial"/>
                <w:sz w:val="14"/>
                <w:szCs w:val="14"/>
                <w:color w:val="auto"/>
                <w:w w:val="91"/>
              </w:rPr>
              <w:t>Comprehensive</w:t>
            </w:r>
          </w:p>
        </w:tc>
        <w:tc>
          <w:tcPr>
            <w:tcW w:w="220" w:type="dxa"/>
            <w:vAlign w:val="bottom"/>
          </w:tcPr>
          <w:p>
            <w:pPr>
              <w:spacing w:after="0"/>
              <w:rPr>
                <w:sz w:val="13"/>
                <w:szCs w:val="13"/>
                <w:color w:val="auto"/>
              </w:rPr>
            </w:pPr>
          </w:p>
        </w:tc>
        <w:tc>
          <w:tcPr>
            <w:tcW w:w="1020" w:type="dxa"/>
            <w:vAlign w:val="bottom"/>
            <w:gridSpan w:val="4"/>
          </w:tcPr>
          <w:p>
            <w:pPr>
              <w:spacing w:after="0" w:line="154"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w w:val="92"/>
              </w:rPr>
              <w:t>Issued</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In Treasury</w:t>
            </w:r>
          </w:p>
        </w:tc>
        <w:tc>
          <w:tcPr>
            <w:tcW w:w="660" w:type="dxa"/>
            <w:vAlign w:val="bottom"/>
          </w:tcPr>
          <w:p>
            <w:pPr>
              <w:spacing w:after="0"/>
              <w:rPr>
                <w:sz w:val="12"/>
                <w:szCs w:val="12"/>
                <w:color w:val="auto"/>
              </w:rPr>
            </w:pPr>
          </w:p>
        </w:tc>
        <w:tc>
          <w:tcPr>
            <w:tcW w:w="132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2"/>
                <w:szCs w:val="12"/>
                <w:color w:val="auto"/>
              </w:rPr>
            </w:pPr>
          </w:p>
        </w:tc>
        <w:tc>
          <w:tcPr>
            <w:tcW w:w="1200" w:type="dxa"/>
            <w:vAlign w:val="bottom"/>
            <w:gridSpan w:val="3"/>
          </w:tcPr>
          <w:p>
            <w:pPr>
              <w:jc w:val="center"/>
              <w:ind w:right="560"/>
              <w:spacing w:after="0" w:line="142" w:lineRule="exact"/>
              <w:rPr>
                <w:sz w:val="20"/>
                <w:szCs w:val="20"/>
                <w:color w:val="auto"/>
              </w:rPr>
            </w:pPr>
            <w:r>
              <w:rPr>
                <w:rFonts w:ascii="Arial" w:cs="Arial" w:eastAsia="Arial" w:hAnsi="Arial"/>
                <w:sz w:val="14"/>
                <w:szCs w:val="14"/>
                <w:color w:val="auto"/>
                <w:w w:val="94"/>
              </w:rPr>
              <w:t>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Arial" w:cs="Arial" w:eastAsia="Arial" w:hAnsi="Arial"/>
                <w:sz w:val="14"/>
                <w:szCs w:val="14"/>
                <w:color w:val="auto"/>
                <w:w w:val="96"/>
              </w:rPr>
              <w:t>Interests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4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11,920</w:t>
            </w:r>
          </w:p>
        </w:tc>
        <w:tc>
          <w:tcPr>
            <w:tcW w:w="7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(3,136)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$ 25,210</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(2,768)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fair value of derivatives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Deferred employee benefits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Shares sold to optionees, less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exchanged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183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(1,551)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cost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Dividends declared ($0.50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520" w:type="dxa"/>
            <w:vAlign w:val="bottom"/>
            <w:gridSpan w:val="3"/>
          </w:tcPr>
          <w:p>
            <w:pPr>
              <w:spacing w:after="0"/>
              <w:rPr>
                <w:sz w:val="20"/>
                <w:szCs w:val="20"/>
                <w:color w:val="auto"/>
              </w:rPr>
            </w:pPr>
            <w:r>
              <w:rPr>
                <w:rFonts w:ascii="Arial" w:cs="Arial" w:eastAsia="Arial" w:hAnsi="Arial"/>
                <w:sz w:val="18"/>
                <w:szCs w:val="18"/>
                <w:color w:val="auto"/>
              </w:rPr>
              <w:t>Balance, June 30, 2011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(4,417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$ 26,815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(2,594)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$ 32,062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b w:val="1"/>
                <w:bCs w:val="1"/>
                <w:color w:val="auto"/>
              </w:rPr>
              <w:t>SHARES OF COMMON STOCK</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820"/>
              <w:spacing w:after="0"/>
              <w:rPr>
                <w:sz w:val="20"/>
                <w:szCs w:val="20"/>
                <w:color w:val="auto"/>
              </w:rPr>
            </w:pPr>
            <w:r>
              <w:rPr>
                <w:rFonts w:ascii="Arial" w:cs="Arial" w:eastAsia="Arial" w:hAnsi="Arial"/>
                <w:sz w:val="14"/>
                <w:szCs w:val="14"/>
                <w:color w:val="auto"/>
                <w:w w:val="87"/>
              </w:rPr>
              <w:t>Issued</w:t>
            </w:r>
          </w:p>
        </w:tc>
        <w:tc>
          <w:tcPr>
            <w:tcW w:w="1240" w:type="dxa"/>
            <w:vAlign w:val="bottom"/>
            <w:gridSpan w:val="5"/>
          </w:tcPr>
          <w:p>
            <w:pPr>
              <w:jc w:val="right"/>
              <w:ind w:right="580"/>
              <w:spacing w:after="0"/>
              <w:rPr>
                <w:sz w:val="20"/>
                <w:szCs w:val="20"/>
                <w:color w:val="auto"/>
              </w:rPr>
            </w:pPr>
            <w:r>
              <w:rPr>
                <w:rFonts w:ascii="Arial" w:cs="Arial" w:eastAsia="Arial" w:hAnsi="Arial"/>
                <w:sz w:val="14"/>
                <w:szCs w:val="14"/>
                <w:color w:val="auto"/>
                <w:w w:val="90"/>
              </w:rPr>
              <w:t>In Treasury</w:t>
            </w: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1,434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w w:val="88"/>
              </w:rPr>
              <w:t>Shares sold to optionees, less shares exchanged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Shares issued under employee stock purchase plan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1,434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248"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2011 are not necessarily indicative of the results that may be expected for the full year ending December 31, 2011. The December 31, 2010 balance sheet information has been derived from the Schlumberger audited 2010 financial statements. For further information, refer to the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and notes thereto, included in the Schlumberger Annual Report on Form 10-K for the year ended December 31, 2010,</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Securities and Exchange Commission on February 4, 2011.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the prior year have been reclassified to conform to the current year presentation.</w:t>
      </w:r>
    </w:p>
    <w:p>
      <w:pPr>
        <w:spacing w:after="0" w:line="22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first six months of 2011 and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2011:</w:t>
      </w:r>
    </w:p>
    <w:p>
      <w:pPr>
        <w:spacing w:after="0" w:line="117" w:lineRule="exact"/>
        <w:rPr>
          <w:sz w:val="20"/>
          <w:szCs w:val="20"/>
          <w:color w:val="auto"/>
        </w:rPr>
      </w:pPr>
    </w:p>
    <w:p>
      <w:pPr>
        <w:ind w:left="660" w:right="14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Schlumberger made a $50 million grant to the Schlumberger Foundation to support the Foundation’s Faculty for the Future program. This program supports talented women scientists from the developing world by helping them pursue advanced graduate studies in scientific disciplines at leading universities worldwide. This $50 million charge ($40 million after-tax) is classified in </w:t>
      </w:r>
      <w:r>
        <w:rPr>
          <w:rFonts w:ascii="Arial" w:cs="Arial" w:eastAsia="Arial" w:hAnsi="Arial"/>
          <w:sz w:val="18"/>
          <w:szCs w:val="18"/>
          <w:i w:val="1"/>
          <w:iCs w:val="1"/>
          <w:color w:val="auto"/>
        </w:rPr>
        <w:t>General &amp; administrative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92" w:lineRule="exact"/>
        <w:rPr>
          <w:rFonts w:ascii="Arial" w:cs="Arial" w:eastAsia="Arial" w:hAnsi="Arial"/>
          <w:sz w:val="18"/>
          <w:szCs w:val="18"/>
          <w:b w:val="1"/>
          <w:bCs w:val="1"/>
          <w:color w:val="auto"/>
        </w:rPr>
      </w:pPr>
    </w:p>
    <w:p>
      <w:pPr>
        <w:jc w:val="both"/>
        <w:ind w:left="660" w:right="280" w:hanging="436"/>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 xml:space="preserve">Schlumberger recorded $32 million of pretax merger and integration-related charges ($24 million after-tax) in connection with the acquisitions of Smith International, Inc. (“Smith”) and Geoservices. This amount is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2011:</w:t>
      </w:r>
    </w:p>
    <w:p>
      <w:pPr>
        <w:spacing w:after="0" w:line="117" w:lineRule="exact"/>
        <w:rPr>
          <w:sz w:val="20"/>
          <w:szCs w:val="20"/>
          <w:color w:val="auto"/>
        </w:rPr>
      </w:pPr>
    </w:p>
    <w:p>
      <w:pPr>
        <w:ind w:left="660" w:right="2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Schlumberger recorded $34 million of pretax merger and integration-related charges ($28 million after-tax) in connection with the acquisitions of Smith and Geoservices.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these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w w:val="97"/>
              </w:rPr>
              <w:t>(Stated in millions)</w:t>
            </w:r>
          </w:p>
        </w:tc>
        <w:tc>
          <w:tcPr>
            <w:tcW w:w="5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i w:val="1"/>
                <w:iCs w:val="1"/>
                <w:color w:val="auto"/>
                <w:w w:val="92"/>
              </w:rPr>
              <w:t>Consolidated Statement</w:t>
            </w:r>
          </w:p>
        </w:tc>
      </w:tr>
      <w:tr>
        <w:trPr>
          <w:trHeight w:val="167"/>
        </w:trPr>
        <w:tc>
          <w:tcPr>
            <w:tcW w:w="7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8"/>
              </w:rPr>
              <w:t>Pretax</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Tax</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Net</w:t>
            </w:r>
          </w:p>
        </w:tc>
        <w:tc>
          <w:tcPr>
            <w:tcW w:w="5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 xml:space="preserve">of Income </w:t>
            </w:r>
            <w:r>
              <w:rPr>
                <w:rFonts w:ascii="Arial" w:cs="Arial" w:eastAsia="Arial" w:hAnsi="Arial"/>
                <w:sz w:val="14"/>
                <w:szCs w:val="14"/>
                <w:color w:val="auto"/>
                <w:w w:val="94"/>
              </w:rPr>
              <w:t>Classification</w:t>
            </w:r>
          </w:p>
        </w:tc>
      </w:tr>
      <w:tr>
        <w:trPr>
          <w:trHeight w:val="210"/>
        </w:trPr>
        <w:tc>
          <w:tcPr>
            <w:tcW w:w="7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integration costs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40" w:type="dxa"/>
            <w:vAlign w:val="bottom"/>
            <w:gridSpan w:val="2"/>
            <w:shd w:val="clear" w:color="auto" w:fill="CCEEFF"/>
          </w:tcPr>
          <w:p>
            <w:pPr>
              <w:ind w:left="580"/>
              <w:spacing w:after="0"/>
              <w:rPr>
                <w:sz w:val="20"/>
                <w:szCs w:val="20"/>
                <w:color w:val="auto"/>
              </w:rPr>
            </w:pPr>
            <w:r>
              <w:rPr>
                <w:rFonts w:ascii="Arial" w:cs="Arial" w:eastAsia="Arial" w:hAnsi="Arial"/>
                <w:sz w:val="18"/>
                <w:szCs w:val="18"/>
                <w:i w:val="1"/>
                <w:iCs w:val="1"/>
                <w:color w:val="auto"/>
              </w:rPr>
              <w:t>Merger &amp; integration</w:t>
            </w:r>
          </w:p>
        </w:tc>
      </w:tr>
      <w:tr>
        <w:trPr>
          <w:trHeight w:val="223"/>
        </w:trPr>
        <w:tc>
          <w:tcPr>
            <w:tcW w:w="70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40" w:type="dxa"/>
            <w:vAlign w:val="bottom"/>
            <w:gridSpan w:val="2"/>
          </w:tcPr>
          <w:p>
            <w:pPr>
              <w:jc w:val="center"/>
              <w:ind w:left="490"/>
              <w:spacing w:after="0"/>
              <w:rPr>
                <w:sz w:val="20"/>
                <w:szCs w:val="20"/>
                <w:color w:val="auto"/>
              </w:rPr>
            </w:pPr>
            <w:r>
              <w:rPr>
                <w:rFonts w:ascii="Arial" w:cs="Arial" w:eastAsia="Arial" w:hAnsi="Arial"/>
                <w:sz w:val="18"/>
                <w:szCs w:val="18"/>
                <w:i w:val="1"/>
                <w:iCs w:val="1"/>
                <w:color w:val="auto"/>
                <w:w w:val="94"/>
              </w:rPr>
              <w:t>General &amp; administrative</w:t>
            </w:r>
          </w:p>
        </w:tc>
      </w:tr>
      <w:tr>
        <w:trPr>
          <w:trHeight w:val="216"/>
        </w:trPr>
        <w:tc>
          <w:tcPr>
            <w:tcW w:w="70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412"/>
        </w:trPr>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quarter of 2010:</w:t>
      </w:r>
    </w:p>
    <w:p>
      <w:pPr>
        <w:spacing w:after="0" w:line="117" w:lineRule="exact"/>
        <w:rPr>
          <w:sz w:val="20"/>
          <w:szCs w:val="20"/>
          <w:color w:val="auto"/>
        </w:rPr>
      </w:pPr>
    </w:p>
    <w:p>
      <w:pPr>
        <w:ind w:left="660" w:right="6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Schlumberger incurred $35 million of merger-related costs in connection with the Smith and Geoservices transactions. These costs primarily consisted of legal and other advisory fees.</w:t>
      </w:r>
    </w:p>
    <w:p>
      <w:pPr>
        <w:spacing w:after="0" w:line="75" w:lineRule="exact"/>
        <w:rPr>
          <w:rFonts w:ascii="Arial" w:cs="Arial" w:eastAsia="Arial" w:hAnsi="Arial"/>
          <w:sz w:val="18"/>
          <w:szCs w:val="18"/>
          <w:b w:val="1"/>
          <w:bCs w:val="1"/>
          <w:color w:val="auto"/>
        </w:rPr>
      </w:pPr>
    </w:p>
    <w:p>
      <w:pPr>
        <w:ind w:left="660" w:right="20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During March 2010, the Patient Protection and Affordable Care Act (“PPACA”) was signed into law in the United States. Among other things, the PPACA eliminated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w:t>
      </w:r>
    </w:p>
    <w:p>
      <w:pPr>
        <w:spacing w:after="0" w:line="9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these charges: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w w:val="95"/>
              </w:rPr>
              <w:t>(Stated in millions)</w:t>
            </w:r>
          </w:p>
        </w:tc>
        <w:tc>
          <w:tcPr>
            <w:tcW w:w="5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i w:val="1"/>
                <w:iCs w:val="1"/>
                <w:color w:val="auto"/>
                <w:w w:val="90"/>
              </w:rPr>
              <w:t>Consolidated Statement</w:t>
            </w:r>
          </w:p>
        </w:tc>
      </w:tr>
      <w:tr>
        <w:trPr>
          <w:trHeight w:val="167"/>
        </w:trPr>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8"/>
              </w:rPr>
              <w:t>Pretax</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Tax</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Net</w:t>
            </w:r>
          </w:p>
        </w:tc>
        <w:tc>
          <w:tcPr>
            <w:tcW w:w="5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 xml:space="preserve">of Income </w:t>
            </w:r>
            <w:r>
              <w:rPr>
                <w:rFonts w:ascii="Arial" w:cs="Arial" w:eastAsia="Arial" w:hAnsi="Arial"/>
                <w:sz w:val="14"/>
                <w:szCs w:val="14"/>
                <w:color w:val="auto"/>
                <w:w w:val="94"/>
              </w:rPr>
              <w:t>Classification</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5"/>
              </w:rPr>
              <w:t>Merger &amp; integration</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Impact of elimination of tax deduction related to Medicare Part 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subsidy</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i w:val="1"/>
                <w:iCs w:val="1"/>
                <w:color w:val="auto"/>
              </w:rPr>
              <w:t>Taxes on income</w:t>
            </w: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6"/>
        </w:trPr>
        <w:tc>
          <w:tcPr>
            <w:tcW w:w="5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a reconciliation from basic earnings per share from continuing operations of Schlumberger to diluted earnings per share from continuing operations of Schlumberger: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4"/>
              </w:rPr>
              <w:t>(Stated in millions, except per share amounts)</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color w:val="auto"/>
              </w:rPr>
              <w:t>2010</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Schlumberger</w:t>
            </w:r>
          </w:p>
        </w:tc>
        <w:tc>
          <w:tcPr>
            <w:tcW w:w="300" w:type="dxa"/>
            <w:vAlign w:val="bottom"/>
          </w:tcPr>
          <w:p>
            <w:pPr>
              <w:spacing w:after="0"/>
              <w:rPr>
                <w:sz w:val="10"/>
                <w:szCs w:val="10"/>
                <w:color w:val="auto"/>
              </w:rPr>
            </w:pPr>
          </w:p>
        </w:tc>
        <w:tc>
          <w:tcPr>
            <w:tcW w:w="13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Earnings per</w:t>
            </w:r>
          </w:p>
        </w:tc>
        <w:tc>
          <w:tcPr>
            <w:tcW w:w="62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color w:val="auto"/>
              </w:rPr>
              <w:t>Schlumberger</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tcPr>
          <w:p>
            <w:pPr>
              <w:jc w:val="right"/>
              <w:spacing w:after="0" w:line="119" w:lineRule="exact"/>
              <w:rPr>
                <w:sz w:val="20"/>
                <w:szCs w:val="20"/>
                <w:color w:val="auto"/>
              </w:rPr>
            </w:pPr>
            <w:r>
              <w:rPr>
                <w:rFonts w:ascii="Arial" w:cs="Arial" w:eastAsia="Arial" w:hAnsi="Arial"/>
                <w:sz w:val="13"/>
                <w:szCs w:val="13"/>
                <w:color w:val="auto"/>
              </w:rPr>
              <w:t>Earnings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Income from</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Share from</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Income from</w:t>
            </w:r>
          </w:p>
        </w:tc>
        <w:tc>
          <w:tcPr>
            <w:tcW w:w="6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8"/>
              </w:rPr>
              <w:t>Average</w:t>
            </w:r>
          </w:p>
        </w:tc>
        <w:tc>
          <w:tcPr>
            <w:tcW w:w="32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Share from</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30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Continuing</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8"/>
              </w:rPr>
              <w:t>Continuing</w:t>
            </w:r>
          </w:p>
        </w:tc>
        <w:tc>
          <w:tcPr>
            <w:tcW w:w="6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5"/>
              </w:rPr>
              <w:t>Shares</w:t>
            </w:r>
          </w:p>
        </w:tc>
        <w:tc>
          <w:tcPr>
            <w:tcW w:w="32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Continuing</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Operations</w:t>
            </w:r>
          </w:p>
        </w:tc>
        <w:tc>
          <w:tcPr>
            <w:tcW w:w="16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Operations</w:t>
            </w:r>
          </w:p>
        </w:tc>
        <w:tc>
          <w:tcPr>
            <w:tcW w:w="1640" w:type="dxa"/>
            <w:vAlign w:val="bottom"/>
            <w:gridSpan w:val="3"/>
          </w:tcPr>
          <w:p>
            <w:pPr>
              <w:jc w:val="center"/>
              <w:ind w:left="176"/>
              <w:spacing w:after="0"/>
              <w:rPr>
                <w:sz w:val="20"/>
                <w:szCs w:val="20"/>
                <w:color w:val="auto"/>
              </w:rPr>
            </w:pPr>
            <w:r>
              <w:rPr>
                <w:rFonts w:ascii="Arial" w:cs="Arial" w:eastAsia="Arial" w:hAnsi="Arial"/>
                <w:sz w:val="14"/>
                <w:szCs w:val="14"/>
                <w:color w:val="auto"/>
                <w:w w:val="92"/>
              </w:rPr>
              <w:t>Outstanding</w:t>
            </w:r>
          </w:p>
        </w:tc>
        <w:tc>
          <w:tcPr>
            <w:tcW w:w="3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Second Quarter</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gridSpan w:val="2"/>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1,119</w:t>
            </w:r>
          </w:p>
        </w:tc>
        <w:tc>
          <w:tcPr>
            <w:tcW w:w="320" w:type="dxa"/>
            <w:vAlign w:val="bottom"/>
          </w:tcPr>
          <w:p>
            <w:pPr>
              <w:spacing w:after="0"/>
              <w:rPr>
                <w:sz w:val="18"/>
                <w:szCs w:val="18"/>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1,352</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0.83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1,192</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1,366</w:t>
            </w:r>
          </w:p>
        </w:tc>
        <w:tc>
          <w:tcPr>
            <w:tcW w:w="6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0.82</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340" w:type="dxa"/>
            <w:vAlign w:val="bottom"/>
          </w:tcPr>
          <w:p>
            <w:pPr>
              <w:spacing w:after="0"/>
              <w:rPr>
                <w:sz w:val="19"/>
                <w:szCs w:val="19"/>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46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Schlumberger</w:t>
            </w:r>
          </w:p>
        </w:tc>
        <w:tc>
          <w:tcPr>
            <w:tcW w:w="300" w:type="dxa"/>
            <w:vAlign w:val="bottom"/>
          </w:tcPr>
          <w:p>
            <w:pPr>
              <w:spacing w:after="0"/>
              <w:rPr>
                <w:sz w:val="24"/>
                <w:szCs w:val="24"/>
                <w:color w:val="auto"/>
              </w:rPr>
            </w:pPr>
          </w:p>
        </w:tc>
        <w:tc>
          <w:tcPr>
            <w:tcW w:w="13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Earnings per</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Schlumberger</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color w:val="auto"/>
              </w:rPr>
              <w:t>Earnings per</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Income from</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Share from</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Income from</w:t>
            </w:r>
          </w:p>
        </w:tc>
        <w:tc>
          <w:tcPr>
            <w:tcW w:w="6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8"/>
              </w:rPr>
              <w:t>Average</w:t>
            </w:r>
          </w:p>
        </w:tc>
        <w:tc>
          <w:tcPr>
            <w:tcW w:w="32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Share from</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30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Continuing</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8"/>
              </w:rPr>
              <w:t>Continuing</w:t>
            </w:r>
          </w:p>
        </w:tc>
        <w:tc>
          <w:tcPr>
            <w:tcW w:w="6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5"/>
              </w:rPr>
              <w:t>Shares</w:t>
            </w:r>
          </w:p>
        </w:tc>
        <w:tc>
          <w:tcPr>
            <w:tcW w:w="32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Continuing</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Operations</w:t>
            </w:r>
          </w:p>
        </w:tc>
        <w:tc>
          <w:tcPr>
            <w:tcW w:w="16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Operations</w:t>
            </w:r>
          </w:p>
        </w:tc>
        <w:tc>
          <w:tcPr>
            <w:tcW w:w="1640" w:type="dxa"/>
            <w:vAlign w:val="bottom"/>
            <w:gridSpan w:val="3"/>
          </w:tcPr>
          <w:p>
            <w:pPr>
              <w:jc w:val="center"/>
              <w:ind w:left="176"/>
              <w:spacing w:after="0"/>
              <w:rPr>
                <w:sz w:val="20"/>
                <w:szCs w:val="20"/>
                <w:color w:val="auto"/>
              </w:rPr>
            </w:pPr>
            <w:r>
              <w:rPr>
                <w:rFonts w:ascii="Arial" w:cs="Arial" w:eastAsia="Arial" w:hAnsi="Arial"/>
                <w:sz w:val="14"/>
                <w:szCs w:val="14"/>
                <w:color w:val="auto"/>
                <w:w w:val="92"/>
              </w:rPr>
              <w:t>Outstanding</w:t>
            </w:r>
          </w:p>
        </w:tc>
        <w:tc>
          <w:tcPr>
            <w:tcW w:w="3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gridSpan w:val="2"/>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2,063</w:t>
            </w:r>
          </w:p>
        </w:tc>
        <w:tc>
          <w:tcPr>
            <w:tcW w:w="320" w:type="dxa"/>
            <w:vAlign w:val="bottom"/>
          </w:tcPr>
          <w:p>
            <w:pPr>
              <w:spacing w:after="0"/>
              <w:rPr>
                <w:sz w:val="18"/>
                <w:szCs w:val="18"/>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1,356</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1,490</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1,194</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1,370</w:t>
            </w:r>
          </w:p>
        </w:tc>
        <w:tc>
          <w:tcPr>
            <w:tcW w:w="6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340" w:type="dxa"/>
            <w:vAlign w:val="bottom"/>
          </w:tcPr>
          <w:p>
            <w:pPr>
              <w:spacing w:after="0"/>
              <w:rPr>
                <w:sz w:val="19"/>
                <w:szCs w:val="19"/>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gridSpan w:val="3"/>
          </w:tcPr>
          <w:p>
            <w:pPr>
              <w:ind w:left="460"/>
              <w:spacing w:after="0"/>
              <w:rPr>
                <w:sz w:val="20"/>
                <w:szCs w:val="20"/>
                <w:color w:val="auto"/>
              </w:rPr>
            </w:pPr>
            <w:r>
              <w:rPr>
                <w:rFonts w:ascii="Arial" w:cs="Arial" w:eastAsia="Arial" w:hAnsi="Arial"/>
                <w:sz w:val="14"/>
                <w:szCs w:val="14"/>
                <w:i w:val="1"/>
                <w:iCs w:val="1"/>
                <w:color w:val="auto"/>
                <w:w w:val="93"/>
              </w:rPr>
              <w:t>(Stated in millions)</w:t>
            </w:r>
          </w:p>
        </w:tc>
      </w:tr>
      <w:tr>
        <w:trPr>
          <w:trHeight w:val="171"/>
        </w:trPr>
        <w:tc>
          <w:tcPr>
            <w:tcW w:w="98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r>
      <w:tr>
        <w:trPr>
          <w:trHeight w:val="407"/>
        </w:trPr>
        <w:tc>
          <w:tcPr>
            <w:tcW w:w="9860" w:type="dxa"/>
            <w:vAlign w:val="bottom"/>
          </w:tcPr>
          <w:p>
            <w:pPr>
              <w:spacing w:after="0"/>
              <w:rPr>
                <w:sz w:val="20"/>
                <w:szCs w:val="20"/>
                <w:color w:val="auto"/>
              </w:rPr>
            </w:pPr>
            <w:r>
              <w:rPr>
                <w:rFonts w:ascii="Arial" w:cs="Arial" w:eastAsia="Arial" w:hAnsi="Arial"/>
                <w:sz w:val="18"/>
                <w:szCs w:val="18"/>
                <w:color w:val="auto"/>
              </w:rPr>
              <w:t>Second Quarter</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14</w:t>
            </w:r>
          </w:p>
        </w:tc>
      </w:tr>
      <w:tr>
        <w:trPr>
          <w:trHeight w:val="234"/>
        </w:trPr>
        <w:tc>
          <w:tcPr>
            <w:tcW w:w="9860" w:type="dxa"/>
            <w:vAlign w:val="bottom"/>
          </w:tcPr>
          <w:p>
            <w:pPr>
              <w:spacing w:after="0"/>
              <w:rPr>
                <w:sz w:val="20"/>
                <w:szCs w:val="20"/>
                <w:color w:val="auto"/>
              </w:rPr>
            </w:pPr>
            <w:r>
              <w:rPr>
                <w:rFonts w:ascii="Arial" w:cs="Arial" w:eastAsia="Arial" w:hAnsi="Arial"/>
                <w:sz w:val="18"/>
                <w:szCs w:val="18"/>
                <w:color w:val="auto"/>
              </w:rPr>
              <w:t>Six Months</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8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13</w:t>
            </w:r>
          </w:p>
        </w:tc>
      </w:tr>
    </w:tbl>
    <w:p>
      <w:pPr>
        <w:spacing w:after="0" w:line="19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August 27, 2010, Schlumberger acquired all of the outstanding shares of Smith, a leading supplier of premium products and services to the oil industry.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Schlumberger issued approximately 176 million shares of its common stock which were valued at $9.8 billion at the time of closing, to effect this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Smith reported revenue of approximately $4.4 billion during the first six months of 2010.</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April 23, 2010, Schlumberger completed the acquisition of Geoservices, a privately owned oilfield services company specializing in mud logging, slickline and production surveillance operations for $915 million in cash.</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the first six months of 2011, Schlumberger made certain acquisitions and minority interest investments, none of which were significant on an individual basis, for cash payments, net of cash acquired, of $122 million.</w:t>
      </w:r>
    </w:p>
    <w:p>
      <w:pPr>
        <w:spacing w:after="0" w:line="16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Jun. 30,</w:t>
            </w: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0" w:type="dxa"/>
            <w:vAlign w:val="bottom"/>
            <w:gridSpan w:val="4"/>
            <w:vMerge w:val="continue"/>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Jun. 30,</w:t>
            </w: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28,298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15,983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12,315</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$ 12,071</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0" w:type="dxa"/>
            <w:vAlign w:val="bottom"/>
            <w:gridSpan w:val="4"/>
            <w:vMerge w:val="continue"/>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24"/>
                <w:szCs w:val="24"/>
                <w:color w:val="auto"/>
              </w:rPr>
            </w:pP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500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4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4"/>
        </w:trPr>
        <w:tc>
          <w:tcPr>
            <w:tcW w:w="5000" w:type="dxa"/>
            <w:vAlign w:val="bottom"/>
            <w:gridSpan w:val="4"/>
          </w:tcPr>
          <w:p>
            <w:pPr>
              <w:spacing w:after="0"/>
              <w:rPr>
                <w:sz w:val="20"/>
                <w:szCs w:val="20"/>
                <w:color w:val="auto"/>
              </w:rPr>
            </w:pPr>
            <w:r>
              <w:rPr>
                <w:rFonts w:ascii="Arial" w:cs="Arial" w:eastAsia="Arial" w:hAnsi="Arial"/>
                <w:sz w:val="18"/>
                <w:szCs w:val="18"/>
                <w:color w:val="auto"/>
              </w:rPr>
              <w:t>Six Months</w:t>
            </w:r>
          </w:p>
        </w:tc>
        <w:tc>
          <w:tcPr>
            <w:tcW w:w="4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80" w:type="dxa"/>
            <w:vAlign w:val="bottom"/>
          </w:tcPr>
          <w:p>
            <w:pPr>
              <w:jc w:val="right"/>
              <w:ind w:right="337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2011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8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i w:val="1"/>
                <w:iCs w:val="1"/>
                <w:color w:val="auto"/>
                <w:w w:val="97"/>
              </w:rPr>
              <w:t>(Stated in millions)</w:t>
            </w: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Capitalized in period</w:t>
            </w:r>
          </w:p>
        </w:tc>
        <w:tc>
          <w:tcPr>
            <w:tcW w:w="3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r>
      <w:tr>
        <w:trPr>
          <w:trHeight w:val="223"/>
        </w:trPr>
        <w:tc>
          <w:tcPr>
            <w:tcW w:w="10280" w:type="dxa"/>
            <w:vAlign w:val="bottom"/>
          </w:tcPr>
          <w:p>
            <w:pPr>
              <w:spacing w:after="0"/>
              <w:rPr>
                <w:sz w:val="20"/>
                <w:szCs w:val="20"/>
                <w:color w:val="auto"/>
              </w:rPr>
            </w:pPr>
            <w:r>
              <w:rPr>
                <w:rFonts w:ascii="Arial" w:cs="Arial" w:eastAsia="Arial" w:hAnsi="Arial"/>
                <w:sz w:val="18"/>
                <w:szCs w:val="18"/>
                <w:color w:val="auto"/>
              </w:rPr>
              <w:t>Balance at June 30, 2011</w:t>
            </w: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10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connection with the change in reportable segments as discussed in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Schlumberger reallocated the goodwill that existed as of December 31, 2010 to the new reporting units on a relative fair value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six months ended June 30, 2011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rPr>
              <w:t>Reservoir</w:t>
            </w:r>
          </w:p>
        </w:tc>
        <w:tc>
          <w:tcPr>
            <w:tcW w:w="300" w:type="dxa"/>
            <w:vAlign w:val="bottom"/>
          </w:tcPr>
          <w:p>
            <w:pPr>
              <w:spacing w:after="0"/>
              <w:rPr>
                <w:sz w:val="15"/>
                <w:szCs w:val="15"/>
                <w:color w:val="auto"/>
              </w:rPr>
            </w:pPr>
          </w:p>
        </w:tc>
        <w:tc>
          <w:tcPr>
            <w:tcW w:w="1320" w:type="dxa"/>
            <w:vAlign w:val="bottom"/>
            <w:gridSpan w:val="3"/>
            <w:vMerge w:val="restart"/>
          </w:tcPr>
          <w:p>
            <w:pPr>
              <w:jc w:val="right"/>
              <w:ind w:right="720"/>
              <w:spacing w:after="0"/>
              <w:rPr>
                <w:sz w:val="20"/>
                <w:szCs w:val="20"/>
                <w:color w:val="auto"/>
              </w:rPr>
            </w:pPr>
            <w:r>
              <w:rPr>
                <w:rFonts w:ascii="Arial" w:cs="Arial" w:eastAsia="Arial" w:hAnsi="Arial"/>
                <w:sz w:val="14"/>
                <w:szCs w:val="14"/>
                <w:color w:val="auto"/>
                <w:w w:val="96"/>
              </w:rPr>
              <w:t>Reservoir</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w w:val="92"/>
              </w:rPr>
              <w:t>Characterization</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w w:val="92"/>
              </w:rPr>
              <w:t>Production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Drilling</w:t>
            </w:r>
          </w:p>
        </w:tc>
        <w:tc>
          <w:tcPr>
            <w:tcW w:w="6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Distribution</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Adjustments relating to Smith acquisition</w:t>
            </w: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Divestiture of business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Impact of changes in exchange rates and other acquisitions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8,148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Intangible assets principally comprise technology/technical know-how, tradenames and customer relationships. The gross book value, accumulated amortization and net book value of intangible assets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Jun. 30, 2011</w:t>
            </w: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Dec. 31, 2010</w:t>
            </w:r>
          </w:p>
        </w:tc>
        <w:tc>
          <w:tcPr>
            <w:tcW w:w="1480" w:type="dxa"/>
            <w:vAlign w:val="bottom"/>
          </w:tcPr>
          <w:p>
            <w:pPr>
              <w:jc w:val="right"/>
              <w:ind w:right="237"/>
              <w:spacing w:after="0"/>
              <w:rPr>
                <w:sz w:val="20"/>
                <w:szCs w:val="20"/>
                <w:color w:val="auto"/>
              </w:rPr>
            </w:pPr>
            <w:r>
              <w:rPr>
                <w:rFonts w:ascii="Arial" w:cs="Arial" w:eastAsia="Arial" w:hAnsi="Arial"/>
                <w:sz w:val="14"/>
                <w:szCs w:val="14"/>
                <w:color w:val="auto"/>
                <w:w w:val="98"/>
              </w:rPr>
              <w:t>(</w:t>
            </w:r>
            <w:r>
              <w:rPr>
                <w:rFonts w:ascii="Arial" w:cs="Arial" w:eastAsia="Arial" w:hAnsi="Arial"/>
                <w:sz w:val="14"/>
                <w:szCs w:val="14"/>
                <w:i w:val="1"/>
                <w:iCs w:val="1"/>
                <w:color w:val="auto"/>
                <w:w w:val="98"/>
              </w:rPr>
              <w:t>Stated in millions</w:t>
            </w: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vMerge w:val="continue"/>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220" w:type="dxa"/>
            <w:vAlign w:val="bottom"/>
          </w:tcPr>
          <w:p>
            <w:pPr>
              <w:jc w:val="right"/>
              <w:ind w:right="416"/>
              <w:spacing w:after="0" w:line="119" w:lineRule="exact"/>
              <w:rPr>
                <w:sz w:val="20"/>
                <w:szCs w:val="20"/>
                <w:color w:val="auto"/>
              </w:rPr>
            </w:pPr>
            <w:r>
              <w:rPr>
                <w:rFonts w:ascii="Arial" w:cs="Arial" w:eastAsia="Arial" w:hAnsi="Arial"/>
                <w:sz w:val="13"/>
                <w:szCs w:val="13"/>
                <w:b w:val="1"/>
                <w:bCs w:val="1"/>
                <w:color w:val="auto"/>
              </w:rPr>
              <w:t>Gross</w:t>
            </w:r>
          </w:p>
        </w:tc>
        <w:tc>
          <w:tcPr>
            <w:tcW w:w="1540" w:type="dxa"/>
            <w:vAlign w:val="bottom"/>
          </w:tcPr>
          <w:p>
            <w:pPr>
              <w:jc w:val="right"/>
              <w:ind w:right="277"/>
              <w:spacing w:after="0" w:line="119" w:lineRule="exact"/>
              <w:rPr>
                <w:sz w:val="20"/>
                <w:szCs w:val="20"/>
                <w:color w:val="auto"/>
              </w:rPr>
            </w:pPr>
            <w:r>
              <w:rPr>
                <w:rFonts w:ascii="Arial" w:cs="Arial" w:eastAsia="Arial" w:hAnsi="Arial"/>
                <w:sz w:val="13"/>
                <w:szCs w:val="13"/>
                <w:b w:val="1"/>
                <w:bCs w:val="1"/>
                <w:color w:val="auto"/>
              </w:rPr>
              <w:t>Accumulated</w:t>
            </w:r>
          </w:p>
        </w:tc>
        <w:tc>
          <w:tcPr>
            <w:tcW w:w="116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Net Book</w:t>
            </w:r>
          </w:p>
        </w:tc>
        <w:tc>
          <w:tcPr>
            <w:tcW w:w="420" w:type="dxa"/>
            <w:vAlign w:val="bottom"/>
          </w:tcPr>
          <w:p>
            <w:pPr>
              <w:spacing w:after="0"/>
              <w:rPr>
                <w:sz w:val="10"/>
                <w:szCs w:val="10"/>
                <w:color w:val="auto"/>
              </w:rPr>
            </w:pPr>
          </w:p>
        </w:tc>
        <w:tc>
          <w:tcPr>
            <w:tcW w:w="1200" w:type="dxa"/>
            <w:vAlign w:val="bottom"/>
          </w:tcPr>
          <w:p>
            <w:pPr>
              <w:jc w:val="right"/>
              <w:ind w:right="424"/>
              <w:spacing w:after="0" w:line="119" w:lineRule="exact"/>
              <w:rPr>
                <w:sz w:val="20"/>
                <w:szCs w:val="20"/>
                <w:color w:val="auto"/>
              </w:rPr>
            </w:pPr>
            <w:r>
              <w:rPr>
                <w:rFonts w:ascii="Arial" w:cs="Arial" w:eastAsia="Arial" w:hAnsi="Arial"/>
                <w:sz w:val="13"/>
                <w:szCs w:val="13"/>
                <w:color w:val="auto"/>
              </w:rPr>
              <w:t>Gross</w:t>
            </w:r>
          </w:p>
        </w:tc>
        <w:tc>
          <w:tcPr>
            <w:tcW w:w="1220" w:type="dxa"/>
            <w:vAlign w:val="bottom"/>
          </w:tcPr>
          <w:p>
            <w:pPr>
              <w:jc w:val="right"/>
              <w:ind w:right="17"/>
              <w:spacing w:after="0" w:line="119" w:lineRule="exact"/>
              <w:rPr>
                <w:sz w:val="20"/>
                <w:szCs w:val="20"/>
                <w:color w:val="auto"/>
              </w:rPr>
            </w:pPr>
            <w:r>
              <w:rPr>
                <w:rFonts w:ascii="Arial" w:cs="Arial" w:eastAsia="Arial" w:hAnsi="Arial"/>
                <w:sz w:val="13"/>
                <w:szCs w:val="13"/>
                <w:color w:val="auto"/>
              </w:rPr>
              <w:t>Accumulated</w:t>
            </w:r>
          </w:p>
        </w:tc>
        <w:tc>
          <w:tcPr>
            <w:tcW w:w="1480" w:type="dxa"/>
            <w:vAlign w:val="bottom"/>
          </w:tcPr>
          <w:p>
            <w:pPr>
              <w:jc w:val="right"/>
              <w:ind w:right="157"/>
              <w:spacing w:after="0" w:line="119" w:lineRule="exact"/>
              <w:rPr>
                <w:sz w:val="20"/>
                <w:szCs w:val="20"/>
                <w:color w:val="auto"/>
              </w:rPr>
            </w:pPr>
            <w:r>
              <w:rPr>
                <w:rFonts w:ascii="Arial" w:cs="Arial" w:eastAsia="Arial" w:hAnsi="Arial"/>
                <w:sz w:val="13"/>
                <w:szCs w:val="13"/>
                <w:color w:val="auto"/>
              </w:rPr>
              <w:t>Net Book</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Book Value</w:t>
            </w:r>
          </w:p>
        </w:tc>
        <w:tc>
          <w:tcPr>
            <w:tcW w:w="15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5"/>
                <w:szCs w:val="15"/>
                <w:color w:val="auto"/>
              </w:rPr>
            </w:pPr>
          </w:p>
        </w:tc>
        <w:tc>
          <w:tcPr>
            <w:tcW w:w="12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Book Value</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Amortization</w:t>
            </w: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Technology/Technical Know-How</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$1,838</w:t>
            </w:r>
          </w:p>
        </w:tc>
        <w:tc>
          <w:tcPr>
            <w:tcW w:w="1540" w:type="dxa"/>
            <w:vAlign w:val="bottom"/>
            <w:shd w:val="clear" w:color="auto" w:fill="CCEEFF"/>
          </w:tcPr>
          <w:p>
            <w:pPr>
              <w:jc w:val="right"/>
              <w:ind w:right="557"/>
              <w:spacing w:after="0"/>
              <w:rPr>
                <w:sz w:val="20"/>
                <w:szCs w:val="20"/>
                <w:color w:val="auto"/>
              </w:rPr>
            </w:pPr>
            <w:r>
              <w:rPr>
                <w:rFonts w:ascii="Arial" w:cs="Arial" w:eastAsia="Arial" w:hAnsi="Arial"/>
                <w:sz w:val="18"/>
                <w:szCs w:val="18"/>
                <w:b w:val="1"/>
                <w:bCs w:val="1"/>
                <w:color w:val="auto"/>
              </w:rPr>
              <w:t>$273</w:t>
            </w:r>
          </w:p>
        </w:tc>
        <w:tc>
          <w:tcPr>
            <w:tcW w:w="116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$1,565</w:t>
            </w:r>
          </w:p>
        </w:tc>
        <w:tc>
          <w:tcPr>
            <w:tcW w:w="162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$1,846</w:t>
            </w:r>
          </w:p>
        </w:tc>
        <w:tc>
          <w:tcPr>
            <w:tcW w:w="12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$215</w:t>
            </w:r>
          </w:p>
        </w:tc>
        <w:tc>
          <w:tcPr>
            <w:tcW w:w="1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Tradenames</w:t>
            </w:r>
          </w:p>
        </w:tc>
        <w:tc>
          <w:tcPr>
            <w:tcW w:w="1220" w:type="dxa"/>
            <w:vAlign w:val="bottom"/>
          </w:tcPr>
          <w:p>
            <w:pPr>
              <w:jc w:val="right"/>
              <w:ind w:right="396"/>
              <w:spacing w:after="0"/>
              <w:rPr>
                <w:sz w:val="20"/>
                <w:szCs w:val="20"/>
                <w:color w:val="auto"/>
              </w:rPr>
            </w:pPr>
            <w:r>
              <w:rPr>
                <w:rFonts w:ascii="Arial" w:cs="Arial" w:eastAsia="Arial" w:hAnsi="Arial"/>
                <w:sz w:val="18"/>
                <w:szCs w:val="18"/>
                <w:b w:val="1"/>
                <w:bCs w:val="1"/>
                <w:color w:val="auto"/>
              </w:rPr>
              <w:t>1,677</w:t>
            </w:r>
          </w:p>
        </w:tc>
        <w:tc>
          <w:tcPr>
            <w:tcW w:w="1540" w:type="dxa"/>
            <w:vAlign w:val="bottom"/>
          </w:tcPr>
          <w:p>
            <w:pPr>
              <w:jc w:val="right"/>
              <w:ind w:right="557"/>
              <w:spacing w:after="0"/>
              <w:rPr>
                <w:sz w:val="20"/>
                <w:szCs w:val="20"/>
                <w:color w:val="auto"/>
              </w:rPr>
            </w:pPr>
            <w:r>
              <w:rPr>
                <w:rFonts w:ascii="Arial" w:cs="Arial" w:eastAsia="Arial" w:hAnsi="Arial"/>
                <w:sz w:val="18"/>
                <w:szCs w:val="18"/>
                <w:b w:val="1"/>
                <w:bCs w:val="1"/>
                <w:color w:val="auto"/>
              </w:rPr>
              <w:t>96</w:t>
            </w:r>
          </w:p>
        </w:tc>
        <w:tc>
          <w:tcPr>
            <w:tcW w:w="1160" w:type="dxa"/>
            <w:vAlign w:val="bottom"/>
          </w:tcPr>
          <w:p>
            <w:pPr>
              <w:jc w:val="right"/>
              <w:ind w:right="236"/>
              <w:spacing w:after="0"/>
              <w:rPr>
                <w:sz w:val="20"/>
                <w:szCs w:val="20"/>
                <w:color w:val="auto"/>
              </w:rPr>
            </w:pPr>
            <w:r>
              <w:rPr>
                <w:rFonts w:ascii="Arial" w:cs="Arial" w:eastAsia="Arial" w:hAnsi="Arial"/>
                <w:sz w:val="18"/>
                <w:szCs w:val="18"/>
                <w:b w:val="1"/>
                <w:bCs w:val="1"/>
                <w:color w:val="auto"/>
              </w:rPr>
              <w:t>1,581</w:t>
            </w:r>
          </w:p>
        </w:tc>
        <w:tc>
          <w:tcPr>
            <w:tcW w:w="1620" w:type="dxa"/>
            <w:vAlign w:val="bottom"/>
            <w:gridSpan w:val="2"/>
          </w:tcPr>
          <w:p>
            <w:pPr>
              <w:jc w:val="right"/>
              <w:ind w:right="404"/>
              <w:spacing w:after="0"/>
              <w:rPr>
                <w:sz w:val="20"/>
                <w:szCs w:val="20"/>
                <w:color w:val="auto"/>
              </w:rPr>
            </w:pPr>
            <w:r>
              <w:rPr>
                <w:rFonts w:ascii="Arial" w:cs="Arial" w:eastAsia="Arial" w:hAnsi="Arial"/>
                <w:sz w:val="18"/>
                <w:szCs w:val="18"/>
                <w:color w:val="auto"/>
              </w:rPr>
              <w:t>1,678</w:t>
            </w:r>
          </w:p>
        </w:tc>
        <w:tc>
          <w:tcPr>
            <w:tcW w:w="1220" w:type="dxa"/>
            <w:vAlign w:val="bottom"/>
          </w:tcPr>
          <w:p>
            <w:pPr>
              <w:jc w:val="right"/>
              <w:ind w:right="257"/>
              <w:spacing w:after="0"/>
              <w:rPr>
                <w:sz w:val="20"/>
                <w:szCs w:val="20"/>
                <w:color w:val="auto"/>
              </w:rPr>
            </w:pPr>
            <w:r>
              <w:rPr>
                <w:rFonts w:ascii="Arial" w:cs="Arial" w:eastAsia="Arial" w:hAnsi="Arial"/>
                <w:sz w:val="18"/>
                <w:szCs w:val="18"/>
                <w:color w:val="auto"/>
              </w:rPr>
              <w:t>61</w:t>
            </w:r>
          </w:p>
        </w:tc>
        <w:tc>
          <w:tcPr>
            <w:tcW w:w="1480" w:type="dxa"/>
            <w:vAlign w:val="bottom"/>
          </w:tcPr>
          <w:p>
            <w:pPr>
              <w:jc w:val="right"/>
              <w:ind w:right="237"/>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1,953</w:t>
            </w:r>
          </w:p>
        </w:tc>
        <w:tc>
          <w:tcPr>
            <w:tcW w:w="1540" w:type="dxa"/>
            <w:vAlign w:val="bottom"/>
            <w:shd w:val="clear" w:color="auto" w:fill="CCEEFF"/>
          </w:tcPr>
          <w:p>
            <w:pPr>
              <w:jc w:val="right"/>
              <w:ind w:right="557"/>
              <w:spacing w:after="0"/>
              <w:rPr>
                <w:sz w:val="20"/>
                <w:szCs w:val="20"/>
                <w:color w:val="auto"/>
              </w:rPr>
            </w:pPr>
            <w:r>
              <w:rPr>
                <w:rFonts w:ascii="Arial" w:cs="Arial" w:eastAsia="Arial" w:hAnsi="Arial"/>
                <w:sz w:val="18"/>
                <w:szCs w:val="18"/>
                <w:b w:val="1"/>
                <w:bCs w:val="1"/>
                <w:color w:val="auto"/>
              </w:rPr>
              <w:t>165</w:t>
            </w:r>
          </w:p>
        </w:tc>
        <w:tc>
          <w:tcPr>
            <w:tcW w:w="116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1,788</w:t>
            </w:r>
          </w:p>
        </w:tc>
        <w:tc>
          <w:tcPr>
            <w:tcW w:w="162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1,963</w:t>
            </w:r>
          </w:p>
        </w:tc>
        <w:tc>
          <w:tcPr>
            <w:tcW w:w="12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129</w:t>
            </w:r>
          </w:p>
        </w:tc>
        <w:tc>
          <w:tcPr>
            <w:tcW w:w="1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rPr>
              <w:t>358</w:t>
            </w: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b w:val="1"/>
                <w:bCs w:val="1"/>
                <w:color w:val="auto"/>
              </w:rPr>
              <w:t>296</w:t>
            </w: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62</w:t>
            </w:r>
          </w:p>
        </w:tc>
        <w:tc>
          <w:tcPr>
            <w:tcW w:w="420" w:type="dxa"/>
            <w:vAlign w:val="bottom"/>
          </w:tcPr>
          <w:p>
            <w:pPr>
              <w:spacing w:after="0"/>
              <w:rPr>
                <w:sz w:val="19"/>
                <w:szCs w:val="19"/>
                <w:color w:val="auto"/>
              </w:rPr>
            </w:pPr>
          </w:p>
        </w:tc>
        <w:tc>
          <w:tcPr>
            <w:tcW w:w="1200" w:type="dxa"/>
            <w:vAlign w:val="bottom"/>
            <w:tcBorders>
              <w:bottom w:val="single" w:sz="8" w:color="auto"/>
            </w:tcBorders>
          </w:tcPr>
          <w:p>
            <w:pPr>
              <w:jc w:val="right"/>
              <w:ind w:right="404"/>
              <w:spacing w:after="0"/>
              <w:rPr>
                <w:sz w:val="20"/>
                <w:szCs w:val="20"/>
                <w:color w:val="auto"/>
              </w:rPr>
            </w:pPr>
            <w:r>
              <w:rPr>
                <w:rFonts w:ascii="Arial" w:cs="Arial" w:eastAsia="Arial" w:hAnsi="Arial"/>
                <w:sz w:val="18"/>
                <w:szCs w:val="18"/>
                <w:color w:val="auto"/>
              </w:rPr>
              <w:t>378</w:t>
            </w:r>
          </w:p>
        </w:tc>
        <w:tc>
          <w:tcPr>
            <w:tcW w:w="12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298</w:t>
            </w:r>
          </w:p>
        </w:tc>
        <w:tc>
          <w:tcPr>
            <w:tcW w:w="14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$5,826</w:t>
            </w:r>
          </w:p>
        </w:tc>
        <w:tc>
          <w:tcPr>
            <w:tcW w:w="1540" w:type="dxa"/>
            <w:vAlign w:val="bottom"/>
            <w:shd w:val="clear" w:color="auto" w:fill="CCEEFF"/>
          </w:tcPr>
          <w:p>
            <w:pPr>
              <w:jc w:val="right"/>
              <w:ind w:right="557"/>
              <w:spacing w:after="0"/>
              <w:rPr>
                <w:sz w:val="20"/>
                <w:szCs w:val="20"/>
                <w:color w:val="auto"/>
              </w:rPr>
            </w:pPr>
            <w:r>
              <w:rPr>
                <w:rFonts w:ascii="Arial" w:cs="Arial" w:eastAsia="Arial" w:hAnsi="Arial"/>
                <w:sz w:val="18"/>
                <w:szCs w:val="18"/>
                <w:b w:val="1"/>
                <w:bCs w:val="1"/>
                <w:color w:val="auto"/>
              </w:rPr>
              <w:t>$830</w:t>
            </w:r>
          </w:p>
        </w:tc>
        <w:tc>
          <w:tcPr>
            <w:tcW w:w="116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$4,996</w:t>
            </w:r>
          </w:p>
        </w:tc>
        <w:tc>
          <w:tcPr>
            <w:tcW w:w="162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$5,865</w:t>
            </w:r>
          </w:p>
        </w:tc>
        <w:tc>
          <w:tcPr>
            <w:tcW w:w="12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$703</w:t>
            </w:r>
          </w:p>
        </w:tc>
        <w:tc>
          <w:tcPr>
            <w:tcW w:w="1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9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407"/>
        </w:trPr>
        <w:tc>
          <w:tcPr>
            <w:tcW w:w="9280" w:type="dxa"/>
            <w:vAlign w:val="bottom"/>
          </w:tcPr>
          <w:p>
            <w:pPr>
              <w:spacing w:after="0"/>
              <w:rPr>
                <w:sz w:val="20"/>
                <w:szCs w:val="20"/>
                <w:color w:val="auto"/>
              </w:rPr>
            </w:pPr>
            <w:r>
              <w:rPr>
                <w:rFonts w:ascii="Arial" w:cs="Arial" w:eastAsia="Arial" w:hAnsi="Arial"/>
                <w:sz w:val="18"/>
                <w:szCs w:val="18"/>
                <w:color w:val="auto"/>
              </w:rPr>
              <w:t>Second Quarter</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4"/>
        </w:trPr>
        <w:tc>
          <w:tcPr>
            <w:tcW w:w="9280" w:type="dxa"/>
            <w:vAlign w:val="bottom"/>
          </w:tcPr>
          <w:p>
            <w:pPr>
              <w:spacing w:after="0"/>
              <w:rPr>
                <w:sz w:val="20"/>
                <w:szCs w:val="20"/>
                <w:color w:val="auto"/>
              </w:rPr>
            </w:pPr>
            <w:r>
              <w:rPr>
                <w:rFonts w:ascii="Arial" w:cs="Arial" w:eastAsia="Arial" w:hAnsi="Arial"/>
                <w:sz w:val="18"/>
                <w:szCs w:val="18"/>
                <w:color w:val="auto"/>
              </w:rPr>
              <w:t>Six Months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21 years.</w:t>
      </w:r>
    </w:p>
    <w:p>
      <w:pPr>
        <w:spacing w:after="0" w:line="117"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Based on the net book value of intangible assets at June 30, 2011, amortization charged to income for the subsequent five years is estimated to be: remainder of 2011 — $164 million; 2012 — $308 million; 2013 — $294 million; 2014 — $287 million; 2015 — $273 million and 2016 — $254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Schlumberger is exposed to market risks related to fluctuations in foreign currency exchange rates, commodity prices and interest rates. To mitigate these risks, Schlumberger utilizes derivative instruments. Schlumberger does not enter into derivative transactions for speculative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multinational company, Schlumberger conducts business in approximately 80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are reclassified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into earnings in the same period or periods that the hedged item is recognized in earnings. The ineffective portion of changes in the fair value of hedging instruments, if any, is recorded directly to earnings.</w:t>
      </w:r>
    </w:p>
    <w:p>
      <w:pPr>
        <w:spacing w:after="0" w:line="8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 xml:space="preserve">At June 30, 2011, Schlumberger recognized a cumulative net $19 million gain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June 30, 2011, contracts were outstanding for the US dollar equivalent of $7.3 billion in various foreign currencies.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2011, $41 million of commodity forward contracts were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73"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 xml:space="preserve">During the third quarter of 2009, Schlumberger entered into an interest rate swap for a notional amount of $450 million in order to hedge changes in the fair value of Schlumberger’s $450 million 3.00% Notes due 2013. Under the terms of this swap, Schlumberger receives interest at a fixed rate of 3.0% annually and pays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gains and losses recognized on changes in the fair value of the hedged debt. This results in no net gain or loss being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June 30, 2011, Schlumberger had fixed rate debt aggregating $5.6 billion and variable rate debt aggregating $4.0 billion, after taking into account the effects of the interest rate swaps.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$3.9 billion at June 30, 2011, and were comprised primarily of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4"/>
                <w:szCs w:val="14"/>
                <w:i w:val="1"/>
                <w:iCs w:val="1"/>
                <w:color w:val="auto"/>
              </w:rPr>
              <w:t>(Stated in millions)</w:t>
            </w: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Fair Value of Derivatives</w:t>
            </w: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7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Jun. 30,</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color w:val="auto"/>
              </w:rPr>
              <w:t>Dec. 31,</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9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6"/>
              </w:rPr>
              <w:t>Consolidated Balance Sheet 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6"/>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Derivative designated as hedges: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3280" w:type="dxa"/>
            <w:vAlign w:val="bottom"/>
            <w:gridSpan w:val="2"/>
          </w:tcPr>
          <w:p>
            <w:pPr>
              <w:ind w:left="34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Derivative not designated as hedges: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280" w:type="dxa"/>
            <w:vAlign w:val="bottom"/>
            <w:gridSpan w:val="2"/>
          </w:tcPr>
          <w:p>
            <w:pPr>
              <w:ind w:left="34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280" w:type="dxa"/>
            <w:vAlign w:val="bottom"/>
            <w:gridSpan w:val="2"/>
          </w:tcPr>
          <w:p>
            <w:pPr>
              <w:ind w:left="34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Derivative designated as hedges: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w w:val="91"/>
              </w:rPr>
              <w:t>Accounts payable and 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3280" w:type="dxa"/>
            <w:vAlign w:val="bottom"/>
            <w:gridSpan w:val="2"/>
          </w:tcPr>
          <w:p>
            <w:pPr>
              <w:ind w:left="34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w w:val="91"/>
              </w:rPr>
              <w:t>Accounts payable and accrued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Derivative not designated as hedges: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3280" w:type="dxa"/>
            <w:vAlign w:val="bottom"/>
            <w:gridSpan w:val="2"/>
          </w:tcPr>
          <w:p>
            <w:pPr>
              <w:ind w:left="340"/>
              <w:spacing w:after="0"/>
              <w:rPr>
                <w:sz w:val="20"/>
                <w:szCs w:val="20"/>
                <w:color w:val="auto"/>
              </w:rPr>
            </w:pPr>
            <w:r>
              <w:rPr>
                <w:rFonts w:ascii="Arial" w:cs="Arial" w:eastAsia="Arial" w:hAnsi="Arial"/>
                <w:sz w:val="18"/>
                <w:szCs w:val="18"/>
                <w:i w:val="1"/>
                <w:iCs w:val="1"/>
                <w:color w:val="auto"/>
                <w:w w:val="91"/>
              </w:rPr>
              <w:t>Accounts payable and 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contacts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w w:val="91"/>
              </w:rPr>
              <w:t>Accounts payable and accrued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effect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of derivative instruments designated as fair value hedges and those not designated as hedges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8"/>
            <w:vMerge w:val="restart"/>
          </w:tcPr>
          <w:p>
            <w:pPr>
              <w:jc w:val="right"/>
              <w:ind w:right="120"/>
              <w:spacing w:after="0"/>
              <w:rPr>
                <w:sz w:val="20"/>
                <w:szCs w:val="20"/>
                <w:color w:val="auto"/>
              </w:rPr>
            </w:pPr>
            <w:r>
              <w:rPr>
                <w:rFonts w:ascii="Arial" w:cs="Arial" w:eastAsia="Arial" w:hAnsi="Arial"/>
                <w:sz w:val="14"/>
                <w:szCs w:val="14"/>
                <w:b w:val="1"/>
                <w:bCs w:val="1"/>
                <w:color w:val="auto"/>
              </w:rPr>
              <w:t>Gain (Loss) Recognized in Income</w:t>
            </w:r>
          </w:p>
        </w:tc>
        <w:tc>
          <w:tcPr>
            <w:tcW w:w="1700" w:type="dxa"/>
            <w:vAlign w:val="bottom"/>
            <w:gridSpan w:val="4"/>
          </w:tcPr>
          <w:p>
            <w:pPr>
              <w:jc w:val="right"/>
              <w:ind w:right="540"/>
              <w:spacing w:after="0"/>
              <w:rPr>
                <w:sz w:val="20"/>
                <w:szCs w:val="20"/>
                <w:color w:val="auto"/>
              </w:rPr>
            </w:pPr>
            <w:r>
              <w:rPr>
                <w:rFonts w:ascii="Arial" w:cs="Arial" w:eastAsia="Arial" w:hAnsi="Arial"/>
                <w:sz w:val="14"/>
                <w:szCs w:val="14"/>
                <w:i w:val="1"/>
                <w:iCs w:val="1"/>
                <w:color w:val="auto"/>
                <w:w w:val="98"/>
              </w:rPr>
              <w:t>(Stated in millions)</w:t>
            </w: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8"/>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Second Quarter</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Six Months</w:t>
            </w:r>
          </w:p>
        </w:tc>
        <w:tc>
          <w:tcPr>
            <w:tcW w:w="5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Consolidated Statement of Income Classification</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2"/>
                <w:szCs w:val="12"/>
                <w:color w:val="auto"/>
              </w:rPr>
            </w:pPr>
          </w:p>
        </w:tc>
        <w:tc>
          <w:tcPr>
            <w:tcW w:w="2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Derivatives designated as fair value</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Foreign exchange contracts</w:t>
            </w:r>
          </w:p>
        </w:tc>
        <w:tc>
          <w:tcPr>
            <w:tcW w:w="520" w:type="dxa"/>
            <w:vAlign w:val="bottom"/>
          </w:tcPr>
          <w:p>
            <w:pPr>
              <w:jc w:val="right"/>
              <w:ind w:right="366"/>
              <w:spacing w:after="0"/>
              <w:rPr>
                <w:sz w:val="20"/>
                <w:szCs w:val="20"/>
                <w:color w:val="auto"/>
              </w:rPr>
            </w:pPr>
            <w:r>
              <w:rPr>
                <w:rFonts w:ascii="Arial" w:cs="Arial" w:eastAsia="Arial" w:hAnsi="Arial"/>
                <w:sz w:val="15"/>
                <w:szCs w:val="15"/>
                <w:b w:val="1"/>
                <w:bCs w:val="1"/>
                <w:color w:val="auto"/>
                <w:w w:val="71"/>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18"/>
                <w:szCs w:val="18"/>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2980" w:type="dxa"/>
            <w:vAlign w:val="bottom"/>
          </w:tcPr>
          <w:p>
            <w:pPr>
              <w:spacing w:after="0"/>
              <w:rPr>
                <w:sz w:val="20"/>
                <w:szCs w:val="20"/>
                <w:color w:val="auto"/>
              </w:rPr>
            </w:pPr>
            <w:r>
              <w:rPr>
                <w:rFonts w:ascii="Arial" w:cs="Arial" w:eastAsia="Arial" w:hAnsi="Arial"/>
                <w:sz w:val="18"/>
                <w:szCs w:val="18"/>
                <w:i w:val="1"/>
                <w:iCs w:val="1"/>
                <w:color w:val="auto"/>
              </w:rPr>
              <w:t>Cost of revenue — Oilfield Services</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2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Pr>
          <w:p>
            <w:pPr>
              <w:spacing w:after="0"/>
              <w:rPr>
                <w:sz w:val="19"/>
                <w:szCs w:val="19"/>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b w:val="1"/>
                <w:bCs w:val="1"/>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10</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Foreign exchange contracts</w:t>
            </w:r>
          </w:p>
        </w:tc>
        <w:tc>
          <w:tcPr>
            <w:tcW w:w="520" w:type="dxa"/>
            <w:vAlign w:val="bottom"/>
          </w:tcPr>
          <w:p>
            <w:pPr>
              <w:jc w:val="right"/>
              <w:ind w:right="366"/>
              <w:spacing w:after="0"/>
              <w:rPr>
                <w:sz w:val="20"/>
                <w:szCs w:val="20"/>
                <w:color w:val="auto"/>
              </w:rPr>
            </w:pPr>
            <w:r>
              <w:rPr>
                <w:rFonts w:ascii="Arial" w:cs="Arial" w:eastAsia="Arial" w:hAnsi="Arial"/>
                <w:sz w:val="15"/>
                <w:szCs w:val="15"/>
                <w:b w:val="1"/>
                <w:bCs w:val="1"/>
                <w:color w:val="auto"/>
                <w:w w:val="71"/>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36</w:t>
            </w:r>
          </w:p>
        </w:tc>
        <w:tc>
          <w:tcPr>
            <w:tcW w:w="280" w:type="dxa"/>
            <w:vAlign w:val="bottom"/>
          </w:tcPr>
          <w:p>
            <w:pPr>
              <w:spacing w:after="0"/>
              <w:rPr>
                <w:sz w:val="18"/>
                <w:szCs w:val="18"/>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2980" w:type="dxa"/>
            <w:vAlign w:val="bottom"/>
          </w:tcPr>
          <w:p>
            <w:pPr>
              <w:spacing w:after="0"/>
              <w:rPr>
                <w:sz w:val="20"/>
                <w:szCs w:val="20"/>
                <w:color w:val="auto"/>
              </w:rPr>
            </w:pPr>
            <w:r>
              <w:rPr>
                <w:rFonts w:ascii="Arial" w:cs="Arial" w:eastAsia="Arial" w:hAnsi="Arial"/>
                <w:sz w:val="18"/>
                <w:szCs w:val="18"/>
                <w:i w:val="1"/>
                <w:iCs w:val="1"/>
                <w:color w:val="auto"/>
              </w:rPr>
              <w:t>Cost of revenue — Oilfield Services</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 contracts</w:t>
            </w: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2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 — Oilfield Services</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0"/>
              </w:rPr>
              <w:t>Gain (Loss) Reclassified</w:t>
            </w:r>
          </w:p>
        </w:tc>
        <w:tc>
          <w:tcPr>
            <w:tcW w:w="1740" w:type="dxa"/>
            <w:vAlign w:val="bottom"/>
            <w:gridSpan w:val="4"/>
          </w:tcPr>
          <w:p>
            <w:pPr>
              <w:jc w:val="right"/>
              <w:ind w:right="540"/>
              <w:spacing w:after="0"/>
              <w:rPr>
                <w:sz w:val="20"/>
                <w:szCs w:val="20"/>
                <w:color w:val="auto"/>
              </w:rPr>
            </w:pPr>
            <w:r>
              <w:rPr>
                <w:rFonts w:ascii="Arial" w:cs="Arial" w:eastAsia="Arial" w:hAnsi="Arial"/>
                <w:sz w:val="14"/>
                <w:szCs w:val="14"/>
                <w:i w:val="1"/>
                <w:iCs w:val="1"/>
                <w:color w:val="auto"/>
              </w:rPr>
              <w:t>(Stated in millions)</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 Accumulated OCI</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94"/>
              </w:rPr>
              <w:t>into Income</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5"/>
          </w:tcPr>
          <w:p>
            <w:pPr>
              <w:jc w:val="right"/>
              <w:ind w:right="1060"/>
              <w:spacing w:after="0" w:line="142" w:lineRule="exact"/>
              <w:rPr>
                <w:sz w:val="20"/>
                <w:szCs w:val="20"/>
                <w:color w:val="auto"/>
              </w:rPr>
            </w:pPr>
            <w:r>
              <w:rPr>
                <w:rFonts w:ascii="Arial" w:cs="Arial" w:eastAsia="Arial" w:hAnsi="Arial"/>
                <w:sz w:val="14"/>
                <w:szCs w:val="14"/>
                <w:b w:val="1"/>
                <w:bCs w:val="1"/>
                <w:color w:val="auto"/>
              </w:rPr>
              <w:t>Second Quarter</w:t>
            </w:r>
          </w:p>
        </w:tc>
        <w:tc>
          <w:tcPr>
            <w:tcW w:w="160" w:type="dxa"/>
            <w:vAlign w:val="bottom"/>
          </w:tcPr>
          <w:p>
            <w:pPr>
              <w:spacing w:after="0"/>
              <w:rPr>
                <w:sz w:val="12"/>
                <w:szCs w:val="12"/>
                <w:color w:val="auto"/>
              </w:rPr>
            </w:pPr>
          </w:p>
        </w:tc>
        <w:tc>
          <w:tcPr>
            <w:tcW w:w="126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Six Months</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80" w:type="dxa"/>
            <w:vAlign w:val="bottom"/>
            <w:gridSpan w:val="10"/>
            <w:vMerge w:val="restart"/>
          </w:tcPr>
          <w:p>
            <w:pPr>
              <w:spacing w:after="0"/>
              <w:rPr>
                <w:sz w:val="20"/>
                <w:szCs w:val="20"/>
                <w:color w:val="auto"/>
              </w:rPr>
            </w:pPr>
            <w:r>
              <w:rPr>
                <w:rFonts w:ascii="Arial" w:cs="Arial" w:eastAsia="Arial" w:hAnsi="Arial"/>
                <w:sz w:val="14"/>
                <w:szCs w:val="14"/>
                <w:b w:val="1"/>
                <w:bCs w:val="1"/>
                <w:color w:val="auto"/>
                <w:w w:val="91"/>
              </w:rPr>
              <w:t>Consolidated Statement of Income Classification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2"/>
                <w:szCs w:val="12"/>
                <w:color w:val="auto"/>
              </w:rPr>
            </w:pPr>
          </w:p>
        </w:tc>
        <w:tc>
          <w:tcPr>
            <w:tcW w:w="2980" w:type="dxa"/>
            <w:vAlign w:val="bottom"/>
            <w:tcBorders>
              <w:bottom w:val="single" w:sz="8" w:color="auto"/>
            </w:tcBorders>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(335)</w:t>
            </w:r>
          </w:p>
        </w:tc>
        <w:tc>
          <w:tcPr>
            <w:tcW w:w="2980" w:type="dxa"/>
            <w:vAlign w:val="bottom"/>
            <w:gridSpan w:val="10"/>
            <w:shd w:val="clear" w:color="auto" w:fill="CCEEFF"/>
          </w:tcPr>
          <w:p>
            <w:pPr>
              <w:spacing w:after="0"/>
              <w:rPr>
                <w:sz w:val="20"/>
                <w:szCs w:val="20"/>
                <w:color w:val="auto"/>
              </w:rPr>
            </w:pPr>
            <w:r>
              <w:rPr>
                <w:rFonts w:ascii="Arial" w:cs="Arial" w:eastAsia="Arial" w:hAnsi="Arial"/>
                <w:sz w:val="18"/>
                <w:szCs w:val="18"/>
                <w:i w:val="1"/>
                <w:iCs w:val="1"/>
                <w:color w:val="auto"/>
              </w:rPr>
              <w:t>Cost of revenue — Oilfield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4"/>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1760" w:type="dxa"/>
            <w:vAlign w:val="bottom"/>
            <w:gridSpan w:val="6"/>
          </w:tcPr>
          <w:p>
            <w:pPr>
              <w:spacing w:after="0"/>
              <w:rPr>
                <w:sz w:val="20"/>
                <w:szCs w:val="20"/>
                <w:color w:val="auto"/>
              </w:rPr>
            </w:pPr>
            <w:r>
              <w:rPr>
                <w:rFonts w:ascii="Arial" w:cs="Arial" w:eastAsia="Arial" w:hAnsi="Arial"/>
                <w:sz w:val="18"/>
                <w:szCs w:val="18"/>
                <w:i w:val="1"/>
                <w:iCs w:val="1"/>
                <w:color w:val="auto"/>
                <w:w w:val="90"/>
              </w:rPr>
              <w:t>Research &amp; engineering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322</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vMerge w:val="restart"/>
          </w:tcPr>
          <w:p>
            <w:pPr>
              <w:jc w:val="center"/>
              <w:ind w:left="321"/>
              <w:spacing w:after="0"/>
              <w:rPr>
                <w:sz w:val="20"/>
                <w:szCs w:val="20"/>
                <w:color w:val="auto"/>
              </w:rPr>
            </w:pPr>
            <w:r>
              <w:rPr>
                <w:rFonts w:ascii="Arial" w:cs="Arial" w:eastAsia="Arial" w:hAnsi="Arial"/>
                <w:sz w:val="14"/>
                <w:szCs w:val="14"/>
                <w:b w:val="1"/>
                <w:bCs w:val="1"/>
                <w:color w:val="auto"/>
                <w:w w:val="93"/>
              </w:rPr>
              <w:t>Gain (Loss)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i w:val="1"/>
                <w:iCs w:val="1"/>
                <w:color w:val="auto"/>
              </w:rPr>
              <w:t>(Stated in millions)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Recognized in OCI</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5"/>
          </w:tcPr>
          <w:p>
            <w:pPr>
              <w:jc w:val="right"/>
              <w:ind w:right="1060"/>
              <w:spacing w:after="0" w:line="142" w:lineRule="exact"/>
              <w:rPr>
                <w:sz w:val="20"/>
                <w:szCs w:val="20"/>
                <w:color w:val="auto"/>
              </w:rPr>
            </w:pPr>
            <w:r>
              <w:rPr>
                <w:rFonts w:ascii="Arial" w:cs="Arial" w:eastAsia="Arial" w:hAnsi="Arial"/>
                <w:sz w:val="14"/>
                <w:szCs w:val="14"/>
                <w:b w:val="1"/>
                <w:bCs w:val="1"/>
                <w:color w:val="auto"/>
              </w:rPr>
              <w:t>Second Quarter</w:t>
            </w:r>
          </w:p>
        </w:tc>
        <w:tc>
          <w:tcPr>
            <w:tcW w:w="160" w:type="dxa"/>
            <w:vAlign w:val="bottom"/>
          </w:tcPr>
          <w:p>
            <w:pPr>
              <w:spacing w:after="0"/>
              <w:rPr>
                <w:sz w:val="12"/>
                <w:szCs w:val="12"/>
                <w:color w:val="auto"/>
              </w:rPr>
            </w:pPr>
          </w:p>
        </w:tc>
        <w:tc>
          <w:tcPr>
            <w:tcW w:w="126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Six Months</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2010</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3360" w:type="dxa"/>
            <w:vAlign w:val="bottom"/>
            <w:gridSpan w:val="5"/>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(264)</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296</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(422)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60" w:type="dxa"/>
            <w:vAlign w:val="bottom"/>
            <w:gridSpan w:val="5"/>
          </w:tcPr>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 30,</w:t>
            </w:r>
          </w:p>
        </w:tc>
        <w:tc>
          <w:tcPr>
            <w:tcW w:w="1220" w:type="dxa"/>
            <w:vAlign w:val="bottom"/>
            <w:gridSpan w:val="4"/>
          </w:tcPr>
          <w:p>
            <w:pP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4.50%</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Guaranteed Notes due 2014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90"/>
              </w:rPr>
              <w:t>2.75%</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Guaranteed Notes due 2015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1,428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4.200% Guaranteed Notes due 2021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90"/>
              </w:rPr>
              <w:t>5.25%</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Guaranteed Notes due 2013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2.65%</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Guaranteed Notes due 2016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90"/>
              </w:rPr>
              <w:t>3.00%</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Guaranteed Notes due 2013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9.75%</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4"/>
          </w:tcPr>
          <w:p>
            <w:pPr>
              <w:spacing w:after="0"/>
              <w:rPr>
                <w:sz w:val="20"/>
                <w:szCs w:val="20"/>
                <w:color w:val="auto"/>
              </w:rPr>
            </w:pPr>
            <w:r>
              <w:rPr>
                <w:rFonts w:ascii="Arial" w:cs="Arial" w:eastAsia="Arial" w:hAnsi="Arial"/>
                <w:sz w:val="18"/>
                <w:szCs w:val="18"/>
                <w:color w:val="auto"/>
              </w:rPr>
              <w:t>8.625% Senior Notes due 2014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6.00%</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2016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4"/>
          </w:tcPr>
          <w:p>
            <w:pPr>
              <w:spacing w:after="0"/>
              <w:rPr>
                <w:sz w:val="20"/>
                <w:szCs w:val="20"/>
                <w:color w:val="auto"/>
              </w:rPr>
            </w:pPr>
            <w:r>
              <w:rPr>
                <w:rFonts w:ascii="Arial" w:cs="Arial" w:eastAsia="Arial" w:hAnsi="Arial"/>
                <w:sz w:val="18"/>
                <w:szCs w:val="18"/>
                <w:color w:val="auto"/>
              </w:rPr>
              <w:t>Commercial paper borrowings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variable rate debt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5,732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adjustment — hedging</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spacing w:after="0" w:line="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During the first quarter of 2011, Schlumberger repurchased all of the outstanding 9.75% Senior Notes due 2019, the 8.625% Senior Notes due 2014 and the 6.00% Senior Notes due 2016 for approximately $1.26 billion. These transactions did not result in any significant gains or losses.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2011, Schlumberger issued $1.1 billion of 4.200% Guaranteed Notes due 2021.</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During the first quarter of 2011, Schlumberger issued $500 million of 2.65% Guaranteed Notes due 2016. Schlumberger entered into agreements to swap these dollar notes for euros on the date of issue until maturity, effectively making this a euro denominated debt on which Schlumberger will pay interest in euros at a rate of 2.39%.</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June 30, 2011 and December 31, 2010 was $5.9 billion and $5.6 billion, respectively, and was estimated based on quoted market prices.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was subject to US and non-US income taxes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Second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5"/>
              </w:rPr>
              <w:t>Six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559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Outside United States</w:t>
            </w:r>
          </w:p>
        </w:tc>
        <w:tc>
          <w:tcPr>
            <w:tcW w:w="2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1,812</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1,498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Schlumberger recorded pretax charges of $82 million ($44 million in the US and $38 million outside of the US) during the second quarter of 2011.</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Schlumberger recorded $116 million of pretax charges during the six months ended June 30, 2011 ($68 million in the US and $48 million outside of the US) and $34 million of pretax charges during the three months ended March 31, 2011.</w:t>
      </w:r>
    </w:p>
    <w:p>
      <w:pPr>
        <w:spacing w:after="0" w:line="62" w:lineRule="exact"/>
        <w:rPr>
          <w:sz w:val="20"/>
          <w:szCs w:val="20"/>
          <w:color w:val="auto"/>
        </w:rPr>
      </w:pPr>
    </w:p>
    <w:p>
      <w:pPr>
        <w:ind w:right="3600"/>
        <w:spacing w:after="0" w:line="389" w:lineRule="auto"/>
        <w:rPr>
          <w:sz w:val="20"/>
          <w:szCs w:val="20"/>
          <w:color w:val="auto"/>
        </w:rPr>
      </w:pPr>
      <w:r>
        <w:rPr>
          <w:rFonts w:ascii="Arial" w:cs="Arial" w:eastAsia="Arial" w:hAnsi="Arial"/>
          <w:sz w:val="18"/>
          <w:szCs w:val="18"/>
          <w:color w:val="auto"/>
        </w:rPr>
        <w:t xml:space="preserve">During the first quarter of 2010, Schlumberger recorded net pretax charges of $35 million outside of the US. These charges are included in the table above and are more fully described in Note 2 — </w:t>
      </w:r>
      <w:r>
        <w:rPr>
          <w:rFonts w:ascii="Arial" w:cs="Arial" w:eastAsia="Arial" w:hAnsi="Arial"/>
          <w:sz w:val="18"/>
          <w:szCs w:val="18"/>
          <w:i w:val="1"/>
          <w:iCs w:val="1"/>
          <w:color w:val="auto"/>
        </w:rPr>
        <w:t>Charges.</w:t>
      </w:r>
      <w:r>
        <w:rPr>
          <w:rFonts w:ascii="Arial" w:cs="Arial" w:eastAsia="Arial" w:hAnsi="Arial"/>
          <w:sz w:val="18"/>
          <w:szCs w:val="18"/>
          <w:color w:val="auto"/>
        </w:rPr>
        <w:t xml:space="preserve"> The components of net deferred tax assets (liabilities)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Jun. 30,</w:t>
            </w: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5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Intangible assets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non-US subsidiaries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net</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above deferred tax balances at June 30, 2011 and December 31, 2010 were net of valuation allowances relating to net operating losses in certain countries of $276 million and $263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Second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w w:val="95"/>
              </w:rPr>
              <w:t>Six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United States — Federal</w:t>
            </w:r>
          </w:p>
        </w:tc>
        <w:tc>
          <w:tcPr>
            <w:tcW w:w="2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296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451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 State</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Outside United States</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234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462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697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Deferred:</w:t>
            </w:r>
          </w:p>
        </w:tc>
        <w:tc>
          <w:tcPr>
            <w:tcW w:w="2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 Federal</w:t>
            </w: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(125)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United States — State</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(11)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Outside United States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113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(28)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60" w:type="dxa"/>
            <w:vAlign w:val="bottom"/>
          </w:tcPr>
          <w:p>
            <w:pPr>
              <w:spacing w:after="0"/>
              <w:rPr>
                <w:sz w:val="20"/>
                <w:szCs w:val="20"/>
                <w:color w:val="auto"/>
              </w:rPr>
            </w:pPr>
            <w:r>
              <w:rPr>
                <w:rFonts w:ascii="Arial" w:cs="Arial" w:eastAsia="Arial" w:hAnsi="Arial"/>
                <w:sz w:val="18"/>
                <w:szCs w:val="18"/>
                <w:color w:val="auto"/>
              </w:rPr>
              <w:t>Consolidated taxes on income</w:t>
            </w:r>
          </w:p>
        </w:tc>
        <w:tc>
          <w:tcPr>
            <w:tcW w:w="2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374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669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80" w:type="dxa"/>
            <w:vAlign w:val="bottom"/>
            <w:vMerge w:val="restart"/>
          </w:tcPr>
          <w:p>
            <w:pPr>
              <w:jc w:val="right"/>
              <w:ind w:right="59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w w:val="95"/>
              </w:rPr>
              <w:t>Second Quarter</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gridSpan w:val="3"/>
          </w:tcPr>
          <w:p>
            <w:pPr>
              <w:jc w:val="right"/>
              <w:ind w:right="228"/>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2010</w:t>
            </w:r>
          </w:p>
        </w:tc>
        <w:tc>
          <w:tcPr>
            <w:tcW w:w="560" w:type="dxa"/>
            <w:vAlign w:val="bottom"/>
          </w:tcPr>
          <w:p>
            <w:pPr>
              <w:spacing w:after="0"/>
              <w:rPr>
                <w:sz w:val="12"/>
                <w:szCs w:val="12"/>
                <w:color w:val="auto"/>
              </w:rPr>
            </w:pPr>
          </w:p>
        </w:tc>
        <w:tc>
          <w:tcPr>
            <w:tcW w:w="7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560" w:type="dxa"/>
            <w:vAlign w:val="bottom"/>
            <w:gridSpan w:val="5"/>
          </w:tcPr>
          <w:p>
            <w:pPr>
              <w:jc w:val="right"/>
              <w:ind w:right="300"/>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9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35%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w:t>
            </w:r>
          </w:p>
        </w:tc>
        <w:tc>
          <w:tcPr>
            <w:tcW w:w="15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US state income taxes</w:t>
            </w:r>
          </w:p>
        </w:tc>
        <w:tc>
          <w:tcPr>
            <w:tcW w:w="900" w:type="dxa"/>
            <w:vAlign w:val="bottom"/>
            <w:gridSpan w:val="3"/>
          </w:tcPr>
          <w:p>
            <w:pPr>
              <w:jc w:val="right"/>
              <w:ind w:right="208"/>
              <w:spacing w:after="0"/>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9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(10)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5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Charges (See Note 2)</w:t>
            </w:r>
          </w:p>
        </w:tc>
        <w:tc>
          <w:tcPr>
            <w:tcW w:w="320" w:type="dxa"/>
            <w:vAlign w:val="bottom"/>
          </w:tcPr>
          <w:p>
            <w:pPr>
              <w:spacing w:after="0"/>
              <w:rPr>
                <w:sz w:val="18"/>
                <w:szCs w:val="18"/>
                <w:color w:val="auto"/>
              </w:rPr>
            </w:pPr>
          </w:p>
        </w:tc>
        <w:tc>
          <w:tcPr>
            <w:tcW w:w="13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5"/>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25%</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880" w:type="dxa"/>
            <w:vAlign w:val="bottom"/>
            <w:gridSpan w:val="2"/>
            <w:vMerge w:val="continue"/>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w:t>
            </w:r>
          </w:p>
        </w:tc>
        <w:tc>
          <w:tcPr>
            <w:tcW w:w="980" w:type="dxa"/>
            <w:vAlign w:val="bottom"/>
            <w:gridSpan w:val="3"/>
            <w:vMerge w:val="continue"/>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governmental authorities and is currently unable to predict the outcome of this matter.</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Smith received an administrative subpoena with respect to its historical business practices in certain countries that are subject to United States trade and economic sanctions. Schlumberger is cooperating with the governmental authorities and is currently unable to predict the outcome of these matters.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April 20, 2010, a fire and explosion occurred onboard the semisubmersible drilling rig </w:t>
      </w:r>
      <w:r>
        <w:rPr>
          <w:rFonts w:ascii="Arial" w:cs="Arial" w:eastAsia="Arial" w:hAnsi="Arial"/>
          <w:sz w:val="17"/>
          <w:szCs w:val="17"/>
          <w:i w:val="1"/>
          <w:iCs w:val="1"/>
          <w:color w:val="auto"/>
        </w:rPr>
        <w:t>Deepwater Horizon</w:t>
      </w:r>
      <w:r>
        <w:rPr>
          <w:rFonts w:ascii="Arial" w:cs="Arial" w:eastAsia="Arial" w:hAnsi="Arial"/>
          <w:sz w:val="17"/>
          <w:szCs w:val="17"/>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7"/>
          <w:szCs w:val="17"/>
          <w:i w:val="1"/>
          <w:iCs w:val="1"/>
          <w:color w:val="auto"/>
        </w:rPr>
        <w:t>Deepwater Horizon</w:t>
      </w:r>
      <w:r>
        <w:rPr>
          <w:rFonts w:ascii="Arial" w:cs="Arial" w:eastAsia="Arial" w:hAnsi="Arial"/>
          <w:sz w:val="17"/>
          <w:szCs w:val="17"/>
          <w:color w:val="auto"/>
        </w:rPr>
        <w:t xml:space="preserve"> incident, and additional legal actions may be filed in the future. Based on information currently known, the amount of any potential loss attributable to M-I SWACO with respect to potential liabilities related to the incident would not be material to Schlumberger’s consolidated financial position.</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and, as such, that any liability that might ensue would not be material in relation to Schlumberger’s consolidated financial position. However, litigation is inherently uncertain and it is not possible to predict the ultimate disposition of these proceedings.</w:t>
      </w:r>
    </w:p>
    <w:p>
      <w:pPr>
        <w:spacing w:after="0" w:line="75"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Schlumberger previously reported its results on the basis of five business segments — Schlumberger Oilfield Services, WesternGeco, M-I SWACO, Smith Oilfield and Distribution and by geographical areas within Schlumberger Oilfield Services. As a result of the acquisitions of Smith and Geoservices, the range of Schlumberger’s activities comprising exploration and production services is so broad that it has changed the primary way in which it allocates resources and assesses performance. Consequently, effective with the first quarter of 2011, Schlumberger changed its primary reporting to product group segments (the “Groups”).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Groups are as follows:</w:t>
      </w:r>
    </w:p>
    <w:p>
      <w:pPr>
        <w:spacing w:after="0" w:line="117" w:lineRule="exact"/>
        <w:rPr>
          <w:sz w:val="20"/>
          <w:szCs w:val="20"/>
          <w:color w:val="auto"/>
        </w:rPr>
      </w:pPr>
    </w:p>
    <w:p>
      <w:pPr>
        <w:ind w:left="660" w:right="300" w:hanging="436"/>
        <w:spacing w:after="0" w:line="308"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Reservoir Characterization Group </w:t>
      </w:r>
      <w:r>
        <w:rPr>
          <w:rFonts w:ascii="Arial" w:cs="Arial" w:eastAsia="Arial" w:hAnsi="Arial"/>
          <w:sz w:val="17"/>
          <w:szCs w:val="17"/>
          <w:color w:val="auto"/>
        </w:rPr>
        <w:t>— Consists of the principal technologies involved in the finding and defining of hydrocarbon deposits.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WesternGeco, Wireline, Testing Services, Schlumberger Information Services and Data &amp; Consulting Services.</w:t>
      </w:r>
    </w:p>
    <w:p>
      <w:pPr>
        <w:spacing w:after="0" w:line="51" w:lineRule="exact"/>
        <w:rPr>
          <w:rFonts w:ascii="Arial" w:cs="Arial" w:eastAsia="Arial" w:hAnsi="Arial"/>
          <w:sz w:val="17"/>
          <w:szCs w:val="17"/>
          <w:b w:val="1"/>
          <w:bCs w:val="1"/>
          <w:color w:val="auto"/>
        </w:rPr>
      </w:pPr>
    </w:p>
    <w:p>
      <w:pPr>
        <w:ind w:left="660" w:right="380" w:hanging="436"/>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Drilling Group </w:t>
      </w:r>
      <w:r>
        <w:rPr>
          <w:rFonts w:ascii="Arial" w:cs="Arial" w:eastAsia="Arial" w:hAnsi="Arial"/>
          <w:sz w:val="18"/>
          <w:szCs w:val="18"/>
          <w:color w:val="auto"/>
        </w:rPr>
        <w:t>— Consists of the principal technologies involved in the drilling and positioning of oil and gas wells and is comprised of Bits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Technologies, M-I SWACO, Geoservices, Drilling and Measurements, Pathfinder, Drilling Tools and Remedial Services, Dynamic Pressure Management and Integrated Project Management (“IPM”) well construction projects.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342"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Reservoir Production Group </w:t>
      </w:r>
      <w:r>
        <w:rPr>
          <w:rFonts w:ascii="Arial" w:cs="Arial" w:eastAsia="Arial" w:hAnsi="Arial"/>
          <w:sz w:val="16"/>
          <w:szCs w:val="16"/>
          <w:color w:val="auto"/>
        </w:rPr>
        <w:t>— Consists of the principal technologies involved in the lifetime production of oil and gas reservoirs and includes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Completions and Artificial Lift, together with the Subsea and Water and Carbon Services activities and the production activities of IPM.</w:t>
      </w:r>
    </w:p>
    <w:p>
      <w:pPr>
        <w:spacing w:after="0" w:line="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Groups are collectively referred to as “Oilfield Services”. Additionally, Schlumberger also reports the Distribution business, acquired in the Smith transaction, as a separate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All prior period segment disclosures have been recast to reflect the new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7"/>
            <w:vMerge w:val="restart"/>
          </w:tcPr>
          <w:p>
            <w:pPr>
              <w:jc w:val="right"/>
              <w:ind w:right="1060"/>
              <w:spacing w:after="0"/>
              <w:rPr>
                <w:sz w:val="20"/>
                <w:szCs w:val="20"/>
                <w:color w:val="auto"/>
              </w:rPr>
            </w:pPr>
            <w:r>
              <w:rPr>
                <w:rFonts w:ascii="Arial" w:cs="Arial" w:eastAsia="Arial" w:hAnsi="Arial"/>
                <w:sz w:val="14"/>
                <w:szCs w:val="14"/>
                <w:b w:val="1"/>
                <w:bCs w:val="1"/>
                <w:color w:val="auto"/>
              </w:rPr>
              <w:t>Second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color w:val="auto"/>
              </w:rPr>
              <w:t>Second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2,461</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2,302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3,458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538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3,060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613</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2,088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(135)</w:t>
            </w:r>
          </w:p>
        </w:tc>
        <w:tc>
          <w:tcPr>
            <w:tcW w:w="1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5"/>
                <w:szCs w:val="15"/>
                <w:b w:val="1"/>
                <w:bCs w:val="1"/>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Charges </w:t>
            </w:r>
            <w:r>
              <w:rPr>
                <w:rFonts w:ascii="Arial" w:cs="Arial" w:eastAsia="Arial" w:hAnsi="Arial"/>
                <w:sz w:val="18"/>
                <w:szCs w:val="18"/>
                <w:color w:val="auto"/>
              </w:rPr>
              <w:t>(see Note 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Excludes interest income included in the segment results ($- million in 2011; $4 million in 2010).</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Excludes interest expense included in the segment results ($- million in 2011; $4 million in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vMerge w:val="restart"/>
          </w:tcPr>
          <w:p>
            <w:pPr>
              <w:jc w:val="right"/>
              <w:ind w:right="1200"/>
              <w:spacing w:after="0"/>
              <w:rPr>
                <w:sz w:val="20"/>
                <w:szCs w:val="20"/>
                <w:color w:val="auto"/>
              </w:rPr>
            </w:pPr>
            <w:r>
              <w:rPr>
                <w:rFonts w:ascii="Arial" w:cs="Arial" w:eastAsia="Arial" w:hAnsi="Arial"/>
                <w:sz w:val="14"/>
                <w:szCs w:val="14"/>
                <w:b w:val="1"/>
                <w:bCs w:val="1"/>
                <w:color w:val="auto"/>
              </w:rPr>
              <w:t>Six Months 2011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color w:val="auto"/>
              </w:rPr>
              <w:t>Six Months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before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4,654</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1,062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4,549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6,662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1,005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5,777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1,141</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3,971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17,111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(278)</w:t>
            </w:r>
          </w:p>
        </w:tc>
        <w:tc>
          <w:tcPr>
            <w:tcW w:w="14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5"/>
                <w:szCs w:val="15"/>
                <w:b w:val="1"/>
                <w:bCs w:val="1"/>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(140)</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Charges </w:t>
            </w:r>
            <w:r>
              <w:rPr>
                <w:rFonts w:ascii="Arial" w:cs="Arial" w:eastAsia="Arial" w:hAnsi="Arial"/>
                <w:sz w:val="18"/>
                <w:szCs w:val="18"/>
                <w:color w:val="auto"/>
              </w:rPr>
              <w:t>(see Note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18,337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Excludes interest income included in the segment results ($- million in 2011; $7 million in 2010).</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Excludes interest expense included in the segment results ($2 million in 2011; $7 million in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color w:val="auto"/>
              </w:rPr>
              <w:t>Second Quarter</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vMerge w:val="restart"/>
          </w:tcPr>
          <w:p>
            <w:pPr>
              <w:jc w:val="right"/>
              <w:ind w:right="5"/>
              <w:spacing w:after="0"/>
              <w:rPr>
                <w:sz w:val="20"/>
                <w:szCs w:val="20"/>
                <w:color w:val="auto"/>
              </w:rPr>
            </w:pPr>
            <w:r>
              <w:rPr>
                <w:rFonts w:ascii="Arial" w:cs="Arial" w:eastAsia="Arial" w:hAnsi="Arial"/>
                <w:sz w:val="14"/>
                <w:szCs w:val="14"/>
                <w:color w:val="auto"/>
              </w:rPr>
              <w:t>Six Months</w:t>
            </w:r>
          </w:p>
        </w:tc>
        <w:tc>
          <w:tcPr>
            <w:tcW w:w="500" w:type="dxa"/>
            <w:vAlign w:val="bottom"/>
          </w:tcPr>
          <w:p>
            <w:pPr>
              <w:spacing w:after="0"/>
              <w:rPr>
                <w:sz w:val="15"/>
                <w:szCs w:val="15"/>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w w:val="89"/>
              </w:rPr>
              <w:t>2010</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2010</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Int’l</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US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Int’l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Int’l</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248"/>
              <w:spacing w:after="0" w:line="142" w:lineRule="exact"/>
              <w:rPr>
                <w:sz w:val="20"/>
                <w:szCs w:val="20"/>
                <w:color w:val="auto"/>
              </w:rPr>
            </w:pPr>
            <w:r>
              <w:rPr>
                <w:rFonts w:ascii="Arial" w:cs="Arial" w:eastAsia="Arial" w:hAnsi="Arial"/>
                <w:sz w:val="14"/>
                <w:szCs w:val="14"/>
                <w:color w:val="auto"/>
              </w:rPr>
              <w:t>US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Int’l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Service cost — benefits earned</w:t>
            </w:r>
          </w:p>
        </w:tc>
        <w:tc>
          <w:tcPr>
            <w:tcW w:w="1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6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period</w:t>
            </w:r>
          </w:p>
        </w:tc>
        <w:tc>
          <w:tcPr>
            <w:tcW w:w="160" w:type="dxa"/>
            <w:vAlign w:val="bottom"/>
            <w:gridSpan w:val="2"/>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9"/>
              </w:rPr>
              <w:t>13</w:t>
            </w:r>
          </w:p>
        </w:tc>
        <w:tc>
          <w:tcPr>
            <w:tcW w:w="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360" w:type="dxa"/>
            <w:vAlign w:val="bottom"/>
            <w:gridSpan w:val="2"/>
            <w:vMerge w:val="continue"/>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Interest cost on projected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37</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57</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75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113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benefit obligation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center"/>
              <w:ind w:left="213"/>
              <w:spacing w:after="0"/>
              <w:rPr>
                <w:sz w:val="20"/>
                <w:szCs w:val="20"/>
                <w:color w:val="auto"/>
              </w:rPr>
            </w:pPr>
            <w:r>
              <w:rPr>
                <w:rFonts w:ascii="Arial" w:cs="Arial" w:eastAsia="Arial" w:hAnsi="Arial"/>
                <w:sz w:val="18"/>
                <w:szCs w:val="18"/>
                <w:color w:val="auto"/>
                <w:w w:val="89"/>
              </w:rPr>
              <w:t>35</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93"/>
              </w:rPr>
              <w:t>(47)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(141)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Amortization of prior service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9"/>
              </w:rPr>
              <w:t>15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center"/>
              <w:ind w:left="213"/>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2011, Schlumberger made contributions to its US and international defined benefit pension plans of $105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7"/>
              </w:rPr>
              <w:t>Second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color w:val="auto"/>
                <w:w w:val="95"/>
              </w:rPr>
              <w:t>Six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500" w:type="dxa"/>
            <w:vAlign w:val="bottom"/>
            <w:gridSpan w:val="2"/>
            <w:shd w:val="clear" w:color="auto" w:fill="CCEEFF"/>
          </w:tcPr>
          <w:p>
            <w:pPr>
              <w:jc w:val="right"/>
              <w:ind w:right="359"/>
              <w:spacing w:after="0"/>
              <w:rPr>
                <w:sz w:val="20"/>
                <w:szCs w:val="20"/>
                <w:color w:val="auto"/>
              </w:rPr>
            </w:pPr>
            <w:r>
              <w:rPr>
                <w:rFonts w:ascii="Arial" w:cs="Arial" w:eastAsia="Arial" w:hAnsi="Arial"/>
                <w:sz w:val="15"/>
                <w:szCs w:val="15"/>
                <w:b w:val="1"/>
                <w:bCs w:val="1"/>
                <w:color w:val="auto"/>
                <w:w w:val="71"/>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29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2011, Schlumberger made contributions to its US postretirement medical plan of $17 million.</w:t>
      </w:r>
    </w:p>
    <w:p>
      <w:pPr>
        <w:spacing w:after="0" w:line="221"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During the second quarter of 2011, Schlumberger completed the divestiture of its Global Connectivity Services business for approximately $385 million in cash. An after-tax gain of $220 million was recognized in connection with this transaction, and is classified in </w:t>
      </w: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The historical results of this business were not significant to Schlumberger’s consolidated financial statements and,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have not been reclassified to discontinued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2011 Compared to First Quarter 2011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restart"/>
          </w:tcPr>
          <w:p>
            <w:pPr>
              <w:jc w:val="right"/>
              <w:ind w:right="1060"/>
              <w:spacing w:after="0"/>
              <w:rPr>
                <w:sz w:val="20"/>
                <w:szCs w:val="20"/>
                <w:color w:val="auto"/>
              </w:rPr>
            </w:pPr>
            <w:r>
              <w:rPr>
                <w:rFonts w:ascii="Arial" w:cs="Arial" w:eastAsia="Arial" w:hAnsi="Arial"/>
                <w:sz w:val="14"/>
                <w:szCs w:val="14"/>
                <w:b w:val="1"/>
                <w:bCs w:val="1"/>
                <w:color w:val="auto"/>
              </w:rPr>
              <w:t>Second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600"/>
              <w:spacing w:after="0"/>
              <w:rPr>
                <w:sz w:val="20"/>
                <w:szCs w:val="20"/>
                <w:color w:val="auto"/>
              </w:rPr>
            </w:pPr>
            <w:r>
              <w:rPr>
                <w:rFonts w:ascii="Arial" w:cs="Arial" w:eastAsia="Arial" w:hAnsi="Arial"/>
                <w:sz w:val="14"/>
                <w:szCs w:val="14"/>
                <w:color w:val="auto"/>
              </w:rPr>
              <w:t>First Quarter 2011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Revenue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31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2,461</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2,193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538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613</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8,990</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8,122</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Eliminations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40" w:type="dxa"/>
            <w:vAlign w:val="bottom"/>
            <w:gridSpan w:val="4"/>
          </w:tcPr>
          <w:p>
            <w:pPr>
              <w:jc w:val="right"/>
              <w:ind w:right="247"/>
              <w:spacing w:after="0"/>
              <w:rPr>
                <w:sz w:val="20"/>
                <w:szCs w:val="20"/>
                <w:color w:val="auto"/>
              </w:rPr>
            </w:pPr>
            <w:r>
              <w:rPr>
                <w:rFonts w:ascii="Arial" w:cs="Arial" w:eastAsia="Arial" w:hAnsi="Arial"/>
                <w:sz w:val="18"/>
                <w:szCs w:val="18"/>
                <w:b w:val="1"/>
                <w:bCs w:val="1"/>
                <w:color w:val="auto"/>
              </w:rPr>
              <w:t>Geographic Areas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vMerge w:val="restart"/>
          </w:tcPr>
          <w:p>
            <w:pPr>
              <w:jc w:val="right"/>
              <w:ind w:right="1060"/>
              <w:spacing w:after="0"/>
              <w:rPr>
                <w:sz w:val="20"/>
                <w:szCs w:val="20"/>
                <w:color w:val="auto"/>
              </w:rPr>
            </w:pPr>
            <w:r>
              <w:rPr>
                <w:rFonts w:ascii="Arial" w:cs="Arial" w:eastAsia="Arial" w:hAnsi="Arial"/>
                <w:sz w:val="14"/>
                <w:szCs w:val="14"/>
                <w:b w:val="1"/>
                <w:bCs w:val="1"/>
                <w:color w:val="auto"/>
              </w:rPr>
              <w:t>Second Quarter 2011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600"/>
              <w:spacing w:after="0"/>
              <w:rPr>
                <w:sz w:val="20"/>
                <w:szCs w:val="20"/>
                <w:color w:val="auto"/>
              </w:rPr>
            </w:pPr>
            <w:r>
              <w:rPr>
                <w:rFonts w:ascii="Arial" w:cs="Arial" w:eastAsia="Arial" w:hAnsi="Arial"/>
                <w:sz w:val="14"/>
                <w:szCs w:val="14"/>
                <w:color w:val="auto"/>
              </w:rPr>
              <w:t>First Quarter 2011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Revenue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31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2,864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2,589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283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2,374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332</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518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(82)</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9,621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described in detail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interest on postretirement medical benefits, stock-based compensation costs and amortization expense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recorded as a result of the merger with Smith International Inc. (“Smith”).</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Second-quarter results showed strong growth worldwide. Pretax operating income for all Product Groups grew at double-digit rates. In North America, a prolonged Canadian spring break-up and poor weather in the northwest were offset by very strong growth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rest of US land and a significant contribution from deepwater operations as the rig count increased and renewed interest in exploration activity in the Gulf of Mexico led to high multiclient seismic data sales.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Internationally, the trend towards higher deepwater rig count and higher exploration spending continued. This activity was coupled with a surge in development and workover activity as producers moved to compensate for reduced Libya barrels and to profit from higher prices. As a result, all Product Groups had standout product lines in the quarter and technology sales showed good progress. Strong advances were made in all Technologies linked to deepwater exploration and complex development drilling including WesternGeco, Drilling &amp; Measurements, M-I SWACO, and openhole Wireline and Testing services. The Drilling Group continued to record strong synergistic revenue with the legacy Smith Bits and Drilling Tool businesses in many areas of the world. At Reservoir Production, in addition to the strong North American stimulation market, high growth rates were experienced internationally as operators moved to improve production and to test unconventional gas plays in several markets.</w:t>
      </w:r>
    </w:p>
    <w:p>
      <w:pPr>
        <w:spacing w:after="0" w:line="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Last quarter, Schlumberger anticipated that the international supply response would progressively ramp up over the second half of 2011. It transpired that the international ramp-up made a strong start in the second quarter that Schlumberger believes will continue through the rest of the year and on into 2012.</w:t>
      </w:r>
    </w:p>
    <w:p>
      <w:pPr>
        <w:spacing w:after="0" w:line="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continued strength in drilling liquid-rich plays in North America, coupled with an acceleration in drilling both in exploration and development internationally will put considerable strain on the ability of the service industry to meet activity levels. While it is not unprecedented that a North American cycle has run concurrently with increasing activity internationally, the service intensity of drilling and completing horizontal wells in liquid-rich plays and shale gas basins has introduced a new dynamic in as much as this activity requires far more service equipment than was traditionally used in the North American land market. As a result, the ability of the industry to supply both the North American and international markets with the required equipment and people in a concurrent growth phase will be challenged.</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Schlumberger, through size, geographical coverage, multinational workforce, comprehensive product and service portfolio and technology capability, believes it is uniquely placed to help its customers meet these challenges worldwide.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Second-quarter revenue of $8.99 billion increased 11% sequentially. Sequentially, revenue increased in all Groups and across all geographical Areas.</w:t>
      </w:r>
    </w:p>
    <w:p>
      <w:pPr>
        <w:spacing w:after="0" w:line="1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Reservoir Characterization revenue increased primarily on higher WesternGeco marine proprietary surveys and multiclient sales, on greater Wireline exploration activity and a partial recovery from the previous quarter’s exceptional weather and geopolitical events, and on increased Schlumberger Information Solutions (SIS) software sales. Drilling revenue increased on higher M-I SWACO activity, and on stronger Drilling &amp; Measurements technology penetration, increased pricing and improved job count. Among the Drilling Technologies, sequential increases were posted by Bits &amp; Advanced Technologies, Drilling Tools &amp; Remedial and Pathfinder. These increases, however, were partially offset by lower Integrated Project Management (IPM) Well Construction in Russia following the sale of the drilling rig business related to the strategic alliance with EDC in the Russia/CIS region. Reservoir Production revenue increased sequentially on higher pricing, capacity additions and improved asset utilization for Well Services in North America but this increase was partially reduced by the effects of the spring break-up in Canada and adverse weather in the Williston basin. Internationally, Well Services grew on stronger activity in the Middle East and Asia Area. Artificial Lift and Completions product sales also grew robustly in the second quarter, particularly in Latin America.</w:t>
      </w:r>
    </w:p>
    <w:p>
      <w:pPr>
        <w:spacing w:after="0" w:line="5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On a geographical basis, North America increased sequentially despite the impact of the spring break-up in Canada and the weather issues in the Williston basin. Higher pricing for Well Services technologies in US land, increasing demand and pricing for M-I SWACO services in unconventional shale plays and the US Gulf of Mexico, higher WesternGeco marine proprietary surveys offshore North America, and strong Drilling Tools &amp; Remedial sales helped propel the percentage revenue increase to double-digit levels. In Latin America, all Groups contributed double-digit sequential growth with significant increases posted by the Venezuela, Trinidad &amp; Tobago; Peru, Colombia &amp; Ecuador; and Brazil GeoMarkets*. Increased WesternGeco revenue, improved Drilling &amp; Measurements exploration activity, increased demand for M-I SWACO services and higher SIS software sales contributed to the increase. In Europe/CIS/Africa, results were driven by higher WesternGeco and M-I SWACO activities and increased exploration activity for Wireline and Testing Services—mainly in the North Sea GeoMarket. This increase, however, was reduced by lower IPM Well Construction in Russia following the sale of the drilling rig business. Middle East &amp; Asia revenue recorded significant double-digit growth across all Groups with increases led by Wireline, Well Services and Drilling &amp; Measurements. Significant expansion was experienced in the Saudi Arabia, Bahrain; Iraq; and East Asia GeoMarkets while the Egypt &amp; East Mediterranean and Australia, Papua New Guinea GeoMarkets recovered from the geopolitical and weather events of the previous quarter.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Second-quarter pretax operating income of $1.75 billion increased 20% sequentially. Pretax operating margin increased 155 basis points (bps) sequentially to 19.5% primarily due to higher WesternGeco marine proprietary surveys and multiclient sales; increased Wireline and Drilling &amp; Measurements exploration activities; higher margin activity for M-I SWACO; higher SIS software sales; and margin improvements in Bits &amp; Advanced Technologies, Drilling Tools &amp; Remedial and Pathfinder.</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With respect to Libya, Schlumberger does not expect any return of activity in the short-term due to the ongoing political disturbances. The carrying value of Schlumberger’s assets in Libya was approximately $0.3 billion as of June 30, 2011. This consists primarily of accounts receivable, inventories and fixed assets. Schlumberger’s ability to recover these assets will ultimately depend on how the current situation evolves.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Second-quarter revenue of $2.46 billion was 12% higher compared to the first quarter of 2011. Pretax operating income of $602 million was 31% higher versus the first quarter of 2011. Pretax operating margins increased 348 bps sequentially to 24.5%.</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WesternGeco led the sequential increases with revenue and margins up significantly from higher vessel utilization on proprietary marine surveys. There was also a significant increase in multiclient sales in Brazil, the North Sea and Asia. Wireline revenue and margins expanded on stronger exploration activities in a number of GeoMarkets in Latin America, Africa, the North Sea and Asia and grew on a partial recovery from the previous quarter’s geopolitical and weather issues, particularly in GeoMarkets in North Africa, Middle East and Australia. Deepwater activity rose in the US Gulf of Mexico but this was offset by the seasonal spring break-up in Canada. SIS contributed to the sequential improvements in revenue and margins due to significantly higher software sales across the Areas.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Second-quarter revenue of $3.46 billion was 8% higher sequentially. Pretax operating income of $538 million was 15% higher compared to the first quarter of 2011.</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Within the Drilling Group, M-I SWACO recorded the largest sequential revenue increase on favorable higher-margin activity in the North Sea and Latin America, on continued growth in unconventional shale plays in North America, on resumption of drilling in the US Gulf of Mexico, and on the increasing recovery in activity in the Middle East and Asia after the previous quarter’s geopolitical and weather events. Drilling &amp; Measurements revenue increased sequentially on higher-margin technology penetration, superior pricing and improved job count mainly in Latin America and Middle East and Asia. Drilling Tools &amp; Remedial increased significantly on higher activity in North America. Pathfinder in US land also reported increased revenue on higher drilling activity in unconventional liquid-rich plays while Bits &amp; Advanced Technologies grew despite the effects of the spring break-up in Canada. IPM Well Construction continued to expand in Iraq as new contracts began and drilling efficiency improved, however, this increase was more than offset by the effect of the sale of the drilling rig business in Russia.</w:t>
      </w:r>
    </w:p>
    <w:p>
      <w:pPr>
        <w:spacing w:after="0" w:line="8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Sequentially, pretax operating margin grew 98 bps to 15.6%. M-I SWACO margins improved with increased high-margin activity in the North Sea GeoMarket, Latin America and US Gulf of Mexico. Drilling &amp; Measurements margins grew due to superior pricing and a more favorable technology mix. Margins also expanded in Bits &amp; Advanced Technologies, Drilling Tools &amp; Remedial, and Pathfinder as service mix and pricing both improved.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Second-quarter revenue of $3.06 billion increased 13% sequentially. Pretax operating income of $613 million was 16% higher versus the first quarter of 2011.</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Among Reservoir Production Technologies, Well Services revenue expanded sequentially in North America on higher pricing, capacity additions and improved asset utilization as the market transitions to liquid-rich plays on the strength of the oil price. This increase, however, was partially reduced by the spring break-up in Canada and adverse weather in the Williston basin. Internationally, Well Services posted high double-digit growth in the Middle East and Asia Area in the Saudi Arabia, Bahrain; Kuwait; Oman; East Asia; and China GeoMarkets. Completions revenue increased sequentially on higher product sales in Latin America and robust service and product sales in Saudi Arabia. Artificial Lift revenue grew sequentially with all regions contributing to the increase except for Europe/CIS/Africa due to the shutdown in Libya.</w:t>
      </w:r>
    </w:p>
    <w:p>
      <w:pPr>
        <w:spacing w:after="0" w:line="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Sequentially, second-quarter pretax operating margin increased 57 bps to 20.0%. Excluding the impact of the spring break-up in Canada, Well Services margins grew on pricing gains, better efficiency and utilization of resources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North America, and improved performance across the Middle East and Asia due to stronger product sales and services, and higher vessel activity. Artificial Lift margins increased through higher sales on land in North America and Russia.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Distribution revenue of $637 million increased 6% sequentially. Pretax segment income of $24 million improved 8% sequentially. These increases were primarily driven by strong activity in the shale plays in the US. This growth was offset in part by the impact of the seasonal downturn in Canada.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2011 Compared to Second Quarter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restart"/>
          </w:tcPr>
          <w:p>
            <w:pPr>
              <w:jc w:val="right"/>
              <w:ind w:right="1060"/>
              <w:spacing w:after="0"/>
              <w:rPr>
                <w:sz w:val="20"/>
                <w:szCs w:val="20"/>
                <w:color w:val="auto"/>
              </w:rPr>
            </w:pPr>
            <w:r>
              <w:rPr>
                <w:rFonts w:ascii="Arial" w:cs="Arial" w:eastAsia="Arial" w:hAnsi="Arial"/>
                <w:sz w:val="14"/>
                <w:szCs w:val="14"/>
                <w:b w:val="1"/>
                <w:bCs w:val="1"/>
                <w:color w:val="auto"/>
              </w:rPr>
              <w:t>Second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color w:val="auto"/>
              </w:rPr>
              <w:t>Second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31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2,461</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2,302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538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613</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2,088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8,990</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Eliminations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40" w:type="dxa"/>
            <w:vAlign w:val="bottom"/>
            <w:gridSpan w:val="4"/>
          </w:tcPr>
          <w:p>
            <w:pPr>
              <w:jc w:val="center"/>
              <w:ind w:left="1030"/>
              <w:spacing w:after="0"/>
              <w:rPr>
                <w:sz w:val="20"/>
                <w:szCs w:val="20"/>
                <w:color w:val="auto"/>
              </w:rPr>
            </w:pPr>
            <w:r>
              <w:rPr>
                <w:rFonts w:ascii="Arial" w:cs="Arial" w:eastAsia="Arial" w:hAnsi="Arial"/>
                <w:sz w:val="18"/>
                <w:szCs w:val="18"/>
                <w:b w:val="1"/>
                <w:bCs w:val="1"/>
                <w:color w:val="auto"/>
                <w:w w:val="88"/>
              </w:rPr>
              <w:t>Geographic Areas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vMerge w:val="restart"/>
          </w:tcPr>
          <w:p>
            <w:pPr>
              <w:jc w:val="right"/>
              <w:ind w:right="1060"/>
              <w:spacing w:after="0"/>
              <w:rPr>
                <w:sz w:val="20"/>
                <w:szCs w:val="20"/>
                <w:color w:val="auto"/>
              </w:rPr>
            </w:pPr>
            <w:r>
              <w:rPr>
                <w:rFonts w:ascii="Arial" w:cs="Arial" w:eastAsia="Arial" w:hAnsi="Arial"/>
                <w:sz w:val="14"/>
                <w:szCs w:val="14"/>
                <w:b w:val="1"/>
                <w:bCs w:val="1"/>
                <w:color w:val="auto"/>
              </w:rPr>
              <w:t>Second Quarter 2011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color w:val="auto"/>
              </w:rPr>
              <w:t>Second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31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2,864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1,273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283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2,374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332</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518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(82)</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9,621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2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Second-quarter 2011 revenue of $8.99 billion was 51% higher than the same period last year largely due to the acquisitions of Smith and Geoservices, as well as the significantly improved activity and pricing for Well Services technologies in North America land and higher WesternGeco Marine activity and Multiclient sales. These increases, however, were partially offset by the drawn out impact of political events in Libya and the decrease in activity in Mexico.</w:t>
      </w:r>
    </w:p>
    <w:p>
      <w:pPr>
        <w:spacing w:after="0" w:line="3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On a Product Group basis, Reservoir Characterization revenue increased due to higher WesternGeco Marine activity and Multiclient sales. Drilling revenue increased significantly primarily due to the acquisitions of Smith and Geoservices, partially offset by reduced IPM Well Construction activity. Reservoir Production revenue increased mostly from a combination of higher activity and pricing for Well Services technologies in North America.</w:t>
      </w:r>
    </w:p>
    <w:p>
      <w:pPr>
        <w:spacing w:after="0" w:line="5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Second-quarter 2011 pretax operating margin increased 61 bps to 19.5% as a strong contribution from the increased activity and pricing for Well Services technologies in North America and renewed exploration activity in a number of GeoMarkets were partially offset by the impacts of the Smith and Geoservices acquisitions; political events in Libya; measured recovery of deepwater operations in the US Gulf of Mexico; and the decline in activity in Mexico.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Second-quarter 2011 revenue of $2.46 billion was 7% higher than the same period last year led by WesternGeco on improved vessel utilization on proprietary marine surveys and higher multiclient sales. SIS also contributed to the year over year increase as a result of significantly higher software sales.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increased 38 bps to 24.5% largely due to the improvements of WesternGeco.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Second-quarter 2011 revenue of $3.46 billion was 127% higher than the previous year primarily due to the acquisition of Smith and Geoservices.</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Year-on-year, pretax operating margin decreased 322 bps to 15.6% primarily due to the impact of the acquisitions and the generally lower pricing for Drilling &amp; Measurements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Second-quarter 2011 revenue of $3.06 billion increased 47% year-on-year, particularly in North America, due to a mix of capacity additions, better pricing and assets utilization of Well Services Technologies. The addition of certain businesses acquired in the Smith acquisition also contributed to the overall growth.</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Year-on-year, pretax operating margin improved 808 basis points to 20.0% mainly due to pricing gains, better efficiency and utilization of resources of Well Services technologies in North America and improved performance across the Middle East and Asia and Latin America due to stronger activity.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 Months 2011 Compared to Six Months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restart"/>
          </w:tcPr>
          <w:p>
            <w:pPr>
              <w:jc w:val="right"/>
              <w:ind w:right="1200"/>
              <w:spacing w:after="0"/>
              <w:rPr>
                <w:sz w:val="20"/>
                <w:szCs w:val="20"/>
                <w:color w:val="auto"/>
              </w:rPr>
            </w:pPr>
            <w:r>
              <w:rPr>
                <w:rFonts w:ascii="Arial" w:cs="Arial" w:eastAsia="Arial" w:hAnsi="Arial"/>
                <w:sz w:val="14"/>
                <w:szCs w:val="14"/>
                <w:b w:val="1"/>
                <w:bCs w:val="1"/>
                <w:color w:val="auto"/>
              </w:rPr>
              <w:t>Six Months 2011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color w:val="auto"/>
              </w:rPr>
              <w:t>Six Months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4,654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1,062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4,549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6,662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1,005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5,777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1,141</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3,971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17,111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3,205</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11,534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Eliminations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(140)</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18,337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00" w:type="dxa"/>
            <w:vAlign w:val="bottom"/>
            <w:gridSpan w:val="4"/>
          </w:tcPr>
          <w:p>
            <w:pPr>
              <w:jc w:val="right"/>
              <w:ind w:right="207"/>
              <w:spacing w:after="0"/>
              <w:rPr>
                <w:sz w:val="20"/>
                <w:szCs w:val="20"/>
                <w:color w:val="auto"/>
              </w:rPr>
            </w:pPr>
            <w:r>
              <w:rPr>
                <w:rFonts w:ascii="Arial" w:cs="Arial" w:eastAsia="Arial" w:hAnsi="Arial"/>
                <w:sz w:val="18"/>
                <w:szCs w:val="18"/>
                <w:b w:val="1"/>
                <w:bCs w:val="1"/>
                <w:color w:val="auto"/>
              </w:rPr>
              <w:t>Geographic Areas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vMerge w:val="restart"/>
          </w:tcPr>
          <w:p>
            <w:pPr>
              <w:jc w:val="right"/>
              <w:ind w:right="1200"/>
              <w:spacing w:after="0"/>
              <w:rPr>
                <w:sz w:val="20"/>
                <w:szCs w:val="20"/>
                <w:color w:val="auto"/>
              </w:rPr>
            </w:pPr>
            <w:r>
              <w:rPr>
                <w:rFonts w:ascii="Arial" w:cs="Arial" w:eastAsia="Arial" w:hAnsi="Arial"/>
                <w:sz w:val="14"/>
                <w:szCs w:val="14"/>
                <w:b w:val="1"/>
                <w:bCs w:val="1"/>
                <w:color w:val="auto"/>
              </w:rPr>
              <w:t>Six Months 2011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color w:val="auto"/>
              </w:rPr>
              <w:t>Six Months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5,453</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1,268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2,498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4,564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605</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3,926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924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17,111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11,534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(116)</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18,337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2,736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11,534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Six-month revenue of $17.1 billion increased 48% versus the same period last year due to the acquisitions of Smith in August 2010 and Geoservices in April 2010, as well as the significantly improved activity and pricing for Well Services technologies in North America as the market transitions to liquid-rich plays demanding increasing service intensity in drilling and completing horizontal wells. Internationally, all Areas grew significantly as the trend towards increased deepwater rig count and exploration spending led to higher WesternGeco activity and multiclient seismic data sales and stronger Wireline and Drilling &amp; Measurements exploration activity. However, these increases were tempered by the measured activity recovery in the US Gulf of Mexico and activity disruptions from the first quarter’s exceptional geopolitical unrest in North Africa and the Middle East and weather issues on US land and in Australia.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a Product Group basis, Reservoir Characterization revenue increased due to higher WesternGeco Marine activity and Multiclient sales. Drilling revenue increased significantly primarily due to the acquisitions of Smith and Geoservices, partially offset by reduced IPM Well Construction activity. Reservoir Production revenue increased on a combination of higher activity and pricing for Well Services technologies in North America.</w:t>
      </w:r>
    </w:p>
    <w:p>
      <w:pPr>
        <w:spacing w:after="0" w:line="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Year-to-date Oilfield Services pretax operating margin was flat at 18.7% as the Smith and Geoservices acquisitions were dilutive from a margin perspective while the measured activity recovery in the US Gulf of Mexico and the effects of the exceptional geopolitical events and weather issues that prevailed during the first quarter hampered margin expansion.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Six-month revenue of $4.65 billion was 2% higher than the same period last year on increased WesternGeco Marine activity and multiclient seismic data sales; on higher SIS software sales; and on moderate Wireline revenue increase as the strength and pricing gains of US land activity and Latin America’s higher exploration activity were offset by the effects of the measured recovery in the US Gulf of Mexico. Testing Services decreased following the effects of the geopolitical events in North Africa and the Middle East as well as the US Gulf of Mexico moratorium.</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Year-on-year, pretax operating margin decreased 185 bps to 22.8% led by margin decline in Wireline largely due to the revenue mix as higher North America Land activities were offset by the measured recovery of the US Gulf of Mexico. Testing Services margins fell on the effects of the geopolitical events in North Africa and the Middle East as well as the Gulf of Mexico moratorium. These margin declines were mitigated in part by improved margins in WesternGeco on favorable Multiclient sales mix and increased vessel productivity.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Six-month revenue of $6.66 billion was 124% higher than the same period last year primarily due to the Smith International and Geoservices acquisitions.</w:t>
      </w:r>
    </w:p>
    <w:p>
      <w:pPr>
        <w:spacing w:after="0" w:line="14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Year-on-year, pretax operating margin decreased 370 bps to 15.1% largely due to the addition of Smith International and Geoservices activities, measured activity recovery in the US Gulf of Mexico as well as reduced pricing in Drilling &amp;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Six-month revenue of $5.78 billion was 45% higher than the same period last year while pretax operating margin increased 948 bps to 19.8%. Well Services revenue and margins expanded in North America on higher pricing, capacity additions and improved asset utilization and efficiency as the market transitions to liquid-rich plays on the strength of the oil price. Internationally, Well Services posted growth also on the strength of higher activity despite the exceptional geopolitical events and weather issues that prevailed during the first quarter of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second quarter and six months ended June 30, 2011 and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7"/>
              </w:rPr>
              <w:t>Second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5"/>
              </w:rPr>
              <w:t>Six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19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16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decrease in equity in net earnings of affiliated companies was primarily attributable to the loss of equity earnings from the M-I SWACO joint venture as Schlumberger now owns 100% of this venture following its acquisition of Smith on August 27, 2010.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1540" w:type="dxa"/>
            <w:vAlign w:val="bottom"/>
            <w:gridSpan w:val="3"/>
          </w:tcPr>
          <w:p>
            <w:pPr>
              <w:ind w:left="580"/>
              <w:spacing w:after="0"/>
              <w:rPr>
                <w:sz w:val="20"/>
                <w:szCs w:val="20"/>
                <w:color w:val="auto"/>
              </w:rPr>
            </w:pPr>
            <w:r>
              <w:rPr>
                <w:rFonts w:ascii="Arial" w:cs="Arial" w:eastAsia="Arial" w:hAnsi="Arial"/>
                <w:sz w:val="14"/>
                <w:szCs w:val="14"/>
                <w:color w:val="auto"/>
                <w:w w:val="95"/>
              </w:rPr>
              <w:t>Second Quarter</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Six Months</w:t>
            </w:r>
          </w:p>
        </w:tc>
      </w:tr>
      <w:tr>
        <w:trPr>
          <w:trHeight w:val="142"/>
        </w:trPr>
        <w:tc>
          <w:tcPr>
            <w:tcW w:w="6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r>
      <w:tr>
        <w:trPr>
          <w:trHeight w:val="407"/>
        </w:trPr>
        <w:tc>
          <w:tcPr>
            <w:tcW w:w="6540" w:type="dxa"/>
            <w:vAlign w:val="bottom"/>
          </w:tcPr>
          <w:p>
            <w:pPr>
              <w:spacing w:after="0"/>
              <w:rPr>
                <w:sz w:val="20"/>
                <w:szCs w:val="20"/>
                <w:color w:val="auto"/>
              </w:rPr>
            </w:pPr>
            <w:r>
              <w:rPr>
                <w:rFonts w:ascii="Arial" w:cs="Arial" w:eastAsia="Arial" w:hAnsi="Arial"/>
                <w:sz w:val="18"/>
                <w:szCs w:val="18"/>
                <w:color w:val="auto"/>
              </w:rPr>
              <w:t>Research &amp; engineering</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3.6%</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r>
      <w:tr>
        <w:trPr>
          <w:trHeight w:val="234"/>
        </w:trPr>
        <w:tc>
          <w:tcPr>
            <w:tcW w:w="654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94"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 xml:space="preserve">Although </w:t>
      </w:r>
      <w:r>
        <w:rPr>
          <w:rFonts w:ascii="Arial" w:cs="Arial" w:eastAsia="Arial" w:hAnsi="Arial"/>
          <w:sz w:val="16"/>
          <w:szCs w:val="16"/>
          <w:i w:val="1"/>
          <w:iCs w:val="1"/>
          <w:color w:val="auto"/>
        </w:rPr>
        <w:t>Research &amp; engineering</w:t>
      </w:r>
      <w:r>
        <w:rPr>
          <w:rFonts w:ascii="Arial" w:cs="Arial" w:eastAsia="Arial" w:hAnsi="Arial"/>
          <w:sz w:val="16"/>
          <w:szCs w:val="16"/>
          <w:color w:val="auto"/>
        </w:rPr>
        <w:t xml:space="preserve"> decreased as a percentage of revenue, in both the second quarter and six months compared to the prior year, it increased in absolute dollars by $58 million and $99 million, respectively. These increases were driven in large part by the impact of the Smith acquisition.</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General &amp; administrative </w:t>
      </w:r>
      <w:r>
        <w:rPr>
          <w:rFonts w:ascii="Arial" w:cs="Arial" w:eastAsia="Arial" w:hAnsi="Arial"/>
          <w:sz w:val="18"/>
          <w:szCs w:val="18"/>
          <w:color w:val="auto"/>
        </w:rPr>
        <w:t>increased as a percentage of revenue in both the second quarter and six months compared to the prior year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Schlumberger’s $50 million donation to the Schlumberger Foundation (see discussion of Charges below).</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Interest expense for the second quarter of 2011 was $69 million as compared to $53 million for the same period in 2010 and $142 million for the six months ended June 30, 2011 as compared to $99 million for the same period of 2010. These increases were primarily attributable to the issuance during the first quarter 2011 of the $1.1 billion of 4.20% Guaranteed Notes due 2021 and the $500 million of 2.65% Guaranteed Notes due 2016.</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effective tax rate for the second quarter of 2011 was 25.0% compared to 17.8% for the same period in 2010 and 24.5% for the six months ended June 30, 2011 as compared to 20.8% for the same period in 2010. These increases were primarily attributable to the higher proportion of pretax earnings in North America in 2011 as compared to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Schlumberger recorded charges during the second quarter of 2011 and the first six months of 2011 and 2010. These charges,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second quarter of 2011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i w:val="1"/>
                <w:iCs w:val="1"/>
                <w:color w:val="auto"/>
              </w:rPr>
              <w:t>(Stated in millions)</w:t>
            </w:r>
          </w:p>
        </w:tc>
        <w:tc>
          <w:tcPr>
            <w:tcW w:w="2280" w:type="dxa"/>
            <w:vAlign w:val="bottom"/>
          </w:tcPr>
          <w:p>
            <w:pPr>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4"/>
                <w:szCs w:val="14"/>
                <w:color w:val="auto"/>
                <w:w w:val="85"/>
              </w:rPr>
              <w:t>Tax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Net</w:t>
            </w:r>
          </w:p>
        </w:tc>
        <w:tc>
          <w:tcPr>
            <w:tcW w:w="2280" w:type="dxa"/>
            <w:vAlign w:val="bottom"/>
          </w:tcPr>
          <w:p>
            <w:pPr>
              <w:spacing w:after="0"/>
              <w:rPr>
                <w:sz w:val="20"/>
                <w:szCs w:val="20"/>
                <w:color w:val="auto"/>
              </w:rPr>
            </w:pPr>
            <w:r>
              <w:rPr>
                <w:rFonts w:ascii="Arial" w:cs="Arial" w:eastAsia="Arial" w:hAnsi="Arial"/>
                <w:sz w:val="14"/>
                <w:szCs w:val="14"/>
                <w:i w:val="1"/>
                <w:iCs w:val="1"/>
                <w:color w:val="auto"/>
              </w:rPr>
              <w:t xml:space="preserve">of Income </w:t>
            </w: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integration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2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2280" w:type="dxa"/>
            <w:vAlign w:val="bottom"/>
          </w:tcPr>
          <w:p>
            <w:pPr>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w w:val="92"/>
              </w:rPr>
              <w:t>The following is a summary of the charges recorded during the first six months of 2011: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i w:val="1"/>
                <w:iCs w:val="1"/>
                <w:color w:val="auto"/>
              </w:rPr>
              <w:t>(Stated in millions)</w:t>
            </w:r>
          </w:p>
        </w:tc>
        <w:tc>
          <w:tcPr>
            <w:tcW w:w="2280" w:type="dxa"/>
            <w:vAlign w:val="bottom"/>
          </w:tcPr>
          <w:p>
            <w:pPr>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4"/>
                <w:szCs w:val="14"/>
                <w:color w:val="auto"/>
                <w:w w:val="85"/>
              </w:rPr>
              <w:t>Tax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Net</w:t>
            </w:r>
          </w:p>
        </w:tc>
        <w:tc>
          <w:tcPr>
            <w:tcW w:w="2280" w:type="dxa"/>
            <w:vAlign w:val="bottom"/>
          </w:tcPr>
          <w:p>
            <w:pPr>
              <w:spacing w:after="0"/>
              <w:rPr>
                <w:sz w:val="20"/>
                <w:szCs w:val="20"/>
                <w:color w:val="auto"/>
              </w:rPr>
            </w:pPr>
            <w:r>
              <w:rPr>
                <w:rFonts w:ascii="Arial" w:cs="Arial" w:eastAsia="Arial" w:hAnsi="Arial"/>
                <w:sz w:val="14"/>
                <w:szCs w:val="14"/>
                <w:i w:val="1"/>
                <w:iCs w:val="1"/>
                <w:color w:val="auto"/>
              </w:rPr>
              <w:t xml:space="preserve">of Income </w:t>
            </w: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integration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w:t>
            </w:r>
          </w:p>
        </w:tc>
        <w:tc>
          <w:tcPr>
            <w:tcW w:w="2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2280" w:type="dxa"/>
            <w:vAlign w:val="bottom"/>
          </w:tcPr>
          <w:p>
            <w:pPr>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116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w w:val="92"/>
              </w:rPr>
              <w:t>The following is a summary of the charges recorded during the first six months of 2010: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i w:val="1"/>
                <w:iCs w:val="1"/>
                <w:color w:val="auto"/>
              </w:rPr>
              <w:t>(Stated in millions)</w:t>
            </w:r>
          </w:p>
        </w:tc>
        <w:tc>
          <w:tcPr>
            <w:tcW w:w="2280" w:type="dxa"/>
            <w:vAlign w:val="bottom"/>
          </w:tcPr>
          <w:p>
            <w:pPr>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4"/>
                <w:szCs w:val="14"/>
                <w:color w:val="auto"/>
                <w:w w:val="85"/>
              </w:rPr>
              <w:t>Tax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Net</w:t>
            </w:r>
          </w:p>
        </w:tc>
        <w:tc>
          <w:tcPr>
            <w:tcW w:w="2280" w:type="dxa"/>
            <w:vAlign w:val="bottom"/>
          </w:tcPr>
          <w:p>
            <w:pPr>
              <w:spacing w:after="0"/>
              <w:rPr>
                <w:sz w:val="20"/>
                <w:szCs w:val="20"/>
                <w:color w:val="auto"/>
              </w:rPr>
            </w:pPr>
            <w:r>
              <w:rPr>
                <w:rFonts w:ascii="Arial" w:cs="Arial" w:eastAsia="Arial" w:hAnsi="Arial"/>
                <w:sz w:val="14"/>
                <w:szCs w:val="14"/>
                <w:i w:val="1"/>
                <w:iCs w:val="1"/>
                <w:color w:val="auto"/>
              </w:rPr>
              <w:t xml:space="preserve">of Income </w:t>
            </w: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2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Impact of elimination of tax deduction related to Medicare Part D subsidy</w:t>
            </w:r>
          </w:p>
        </w:tc>
        <w:tc>
          <w:tcPr>
            <w:tcW w:w="1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2280" w:type="dxa"/>
            <w:vAlign w:val="bottom"/>
          </w:tcPr>
          <w:p>
            <w:pPr>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Jun. 30,</w:t>
            </w:r>
          </w:p>
        </w:tc>
        <w:tc>
          <w:tcPr>
            <w:tcW w:w="130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2"/>
              </w:rPr>
              <w:t>Jun.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Debt, beginning of year</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2,067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Pension and other postretirement benefits expense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Pension and other postretirement benefits funding</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Excess of equity income over dividends received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Increase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(1,720)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Multiclient seismic data capitalized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Stock repurchase program</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(1,551)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plans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Geoservices acquisition, net of debt acquired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Business acquisitions and other transactions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Conversion of debentures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divestiture of Global Connectivity Services business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ind w:left="200"/>
              <w:spacing w:after="0"/>
              <w:rPr>
                <w:sz w:val="20"/>
                <w:szCs w:val="20"/>
                <w:color w:val="auto"/>
              </w:rPr>
            </w:pPr>
            <w:r>
              <w:rPr>
                <w:rFonts w:ascii="Arial" w:cs="Arial" w:eastAsia="Arial" w:hAnsi="Arial"/>
                <w:sz w:val="18"/>
                <w:szCs w:val="18"/>
                <w:color w:val="auto"/>
              </w:rPr>
              <w:t>Currency effect on Net Debt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8000" w:type="dxa"/>
            <w:vAlign w:val="bottom"/>
            <w:gridSpan w:val="7"/>
          </w:tcPr>
          <w:p>
            <w:pPr>
              <w:spacing w:after="0"/>
              <w:rPr>
                <w:sz w:val="20"/>
                <w:szCs w:val="20"/>
                <w:color w:val="auto"/>
              </w:rPr>
            </w:pPr>
            <w:r>
              <w:rPr>
                <w:rFonts w:ascii="Arial" w:cs="Arial" w:eastAsia="Arial" w:hAnsi="Arial"/>
                <w:sz w:val="18"/>
                <w:szCs w:val="18"/>
                <w:color w:val="auto"/>
              </w:rPr>
              <w:t>Net Debt, end of period</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(4,311</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gridSpan w:val="2"/>
          </w:tcPr>
          <w:p>
            <w:pPr>
              <w:spacing w:after="0"/>
              <w:rPr>
                <w:sz w:val="20"/>
                <w:szCs w:val="20"/>
                <w:color w:val="auto"/>
              </w:rPr>
            </w:pPr>
            <w:r>
              <w:rPr>
                <w:rFonts w:ascii="Arial" w:cs="Arial" w:eastAsia="Arial" w:hAnsi="Arial"/>
                <w:sz w:val="15"/>
                <w:szCs w:val="15"/>
                <w:color w:val="auto"/>
              </w:rPr>
              <w:t>(1)</w:t>
            </w:r>
          </w:p>
        </w:tc>
        <w:tc>
          <w:tcPr>
            <w:tcW w:w="7580" w:type="dxa"/>
            <w:vAlign w:val="bottom"/>
            <w:gridSpan w:val="5"/>
          </w:tcPr>
          <w:p>
            <w:pPr>
              <w:jc w:val="right"/>
              <w:ind w:right="4670"/>
              <w:spacing w:after="0"/>
              <w:rPr>
                <w:sz w:val="20"/>
                <w:szCs w:val="20"/>
                <w:color w:val="auto"/>
              </w:rPr>
            </w:pPr>
            <w:r>
              <w:rPr>
                <w:rFonts w:ascii="Arial" w:cs="Arial" w:eastAsia="Arial" w:hAnsi="Arial"/>
                <w:sz w:val="18"/>
                <w:szCs w:val="18"/>
                <w:color w:val="auto"/>
                <w:w w:val="91"/>
              </w:rPr>
              <w:t>Includes multiclient seismic data costs.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88"/>
              </w:rPr>
              <w:t>Jun. 30,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88"/>
              </w:rPr>
              <w:t>Jun. 30,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8000" w:type="dxa"/>
            <w:vAlign w:val="bottom"/>
            <w:gridSpan w:val="7"/>
          </w:tcPr>
          <w:p>
            <w:pPr>
              <w:spacing w:after="0"/>
              <w:rPr>
                <w:sz w:val="20"/>
                <w:szCs w:val="20"/>
                <w:color w:val="auto"/>
              </w:rPr>
            </w:pPr>
            <w:r>
              <w:rPr>
                <w:rFonts w:ascii="Arial" w:cs="Arial" w:eastAsia="Arial" w:hAnsi="Arial"/>
                <w:sz w:val="14"/>
                <w:szCs w:val="14"/>
                <w:color w:val="auto"/>
              </w:rPr>
              <w:t>Components of Net Debt</w:t>
            </w: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0"/>
              </w:rPr>
              <w:t>Cash</w:t>
            </w:r>
          </w:p>
        </w:tc>
        <w:tc>
          <w:tcPr>
            <w:tcW w:w="7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1,378</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Short-term investments</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3,555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2,849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(3,817)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(5,745)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(4,311</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340" w:type="dxa"/>
            <w:vAlign w:val="bottom"/>
            <w:gridSpan w:val="2"/>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2011 and 2010 included:</w:t>
      </w:r>
    </w:p>
    <w:p>
      <w:pPr>
        <w:spacing w:after="0" w:line="117" w:lineRule="exact"/>
        <w:rPr>
          <w:sz w:val="20"/>
          <w:szCs w:val="20"/>
          <w:color w:val="auto"/>
        </w:rPr>
      </w:pPr>
    </w:p>
    <w:p>
      <w:pPr>
        <w:ind w:left="660" w:right="76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During the second quarter of 2011, Schlumberger completed the divestiture of its Global Connectivity Services business for approximately $385 million in cash.</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2011, Schlumberger issued $1.1 billion of 4.200% Senior Notes due 2021 and $500 million of 2.650% Senior Notes due 2016.</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2011, Schlumberger repurchased all of its outstanding 9.75% Senior Notes due 2019, 8.625% Senior Notes due 2014 and 6.00% Senior Notes due 2016 for approximately $1.26 billion.</w:t>
      </w:r>
    </w:p>
    <w:p>
      <w:pPr>
        <w:spacing w:after="0" w:line="75" w:lineRule="exact"/>
        <w:rPr>
          <w:rFonts w:ascii="Arial" w:cs="Arial" w:eastAsia="Arial" w:hAnsi="Arial"/>
          <w:sz w:val="18"/>
          <w:szCs w:val="18"/>
          <w:b w:val="1"/>
          <w:bCs w:val="1"/>
          <w:color w:val="auto"/>
        </w:rPr>
      </w:pPr>
    </w:p>
    <w:p>
      <w:pPr>
        <w:ind w:left="660" w:right="420" w:hanging="436"/>
        <w:spacing w:after="0" w:line="342"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On April 17, 2008, the Schlumberger Board of Directors approved an $8 billion share repurchase program for shares of Schlumberger common stock, to be acquired in the open market before December 31, 2011, of which $4.7 billion had been repurchased as of June 30, 2011.</w:t>
      </w:r>
    </w:p>
    <w:p>
      <w:pPr>
        <w:spacing w:after="0" w:line="29"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On July 21, 2011, the Schlumberger Board of Directors approved an extension of this repurchase program to December 31, 2013.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activity, during the six months ended June 30, under the April 17, 2008 share repurchase program: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Arial" w:cs="Arial" w:eastAsia="Arial" w:hAnsi="Arial"/>
                <w:sz w:val="14"/>
                <w:szCs w:val="14"/>
                <w:i w:val="1"/>
                <w:iCs w:val="1"/>
                <w:color w:val="auto"/>
                <w:w w:val="95"/>
              </w:rPr>
              <w:t>(Stated in thousands except per share amounts)</w:t>
            </w:r>
          </w:p>
        </w:tc>
      </w:tr>
      <w:tr>
        <w:trPr>
          <w:trHeight w:val="149"/>
        </w:trPr>
        <w:tc>
          <w:tcPr>
            <w:tcW w:w="6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ind w:right="261"/>
              <w:spacing w:after="0" w:line="149" w:lineRule="exact"/>
              <w:rPr>
                <w:sz w:val="20"/>
                <w:szCs w:val="20"/>
                <w:color w:val="auto"/>
              </w:rPr>
            </w:pPr>
            <w:r>
              <w:rPr>
                <w:rFonts w:ascii="Arial" w:cs="Arial" w:eastAsia="Arial" w:hAnsi="Arial"/>
                <w:sz w:val="14"/>
                <w:szCs w:val="14"/>
                <w:color w:val="auto"/>
                <w:w w:val="92"/>
              </w:rPr>
              <w:t>Total cost</w:t>
            </w:r>
          </w:p>
        </w:tc>
        <w:tc>
          <w:tcPr>
            <w:tcW w:w="4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2"/>
              </w:rPr>
              <w:t>Total number</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Average price</w:t>
            </w:r>
          </w:p>
        </w:tc>
      </w:tr>
      <w:tr>
        <w:trPr>
          <w:trHeight w:val="149"/>
        </w:trPr>
        <w:tc>
          <w:tcPr>
            <w:tcW w:w="6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ind w:right="241"/>
              <w:spacing w:after="0" w:line="149" w:lineRule="exact"/>
              <w:rPr>
                <w:sz w:val="20"/>
                <w:szCs w:val="20"/>
                <w:color w:val="auto"/>
              </w:rPr>
            </w:pPr>
            <w:r>
              <w:rPr>
                <w:rFonts w:ascii="Arial" w:cs="Arial" w:eastAsia="Arial" w:hAnsi="Arial"/>
                <w:sz w:val="14"/>
                <w:szCs w:val="14"/>
                <w:color w:val="auto"/>
                <w:w w:val="86"/>
              </w:rPr>
              <w:t>of shares</w:t>
            </w:r>
          </w:p>
        </w:tc>
        <w:tc>
          <w:tcPr>
            <w:tcW w:w="4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paid per</w:t>
            </w:r>
          </w:p>
        </w:tc>
      </w:tr>
      <w:tr>
        <w:trPr>
          <w:trHeight w:val="167"/>
        </w:trPr>
        <w:tc>
          <w:tcPr>
            <w:tcW w:w="6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w w:val="88"/>
              </w:rPr>
              <w:t>purchased</w:t>
            </w:r>
          </w:p>
        </w:tc>
        <w:tc>
          <w:tcPr>
            <w:tcW w:w="4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purchased</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w:t>
            </w:r>
          </w:p>
        </w:tc>
      </w:tr>
      <w:tr>
        <w:trPr>
          <w:trHeight w:val="411"/>
        </w:trPr>
        <w:tc>
          <w:tcPr>
            <w:tcW w:w="6720" w:type="dxa"/>
            <w:vAlign w:val="bottom"/>
          </w:tcPr>
          <w:p>
            <w:pPr>
              <w:spacing w:after="0"/>
              <w:rPr>
                <w:sz w:val="20"/>
                <w:szCs w:val="20"/>
                <w:color w:val="auto"/>
              </w:rPr>
            </w:pPr>
            <w:r>
              <w:rPr>
                <w:rFonts w:ascii="Arial" w:cs="Arial" w:eastAsia="Arial" w:hAnsi="Arial"/>
                <w:sz w:val="18"/>
                <w:szCs w:val="18"/>
                <w:color w:val="auto"/>
              </w:rPr>
              <w:t>Six months ended June 30, 2011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21"/>
              <w:spacing w:after="0"/>
              <w:rPr>
                <w:sz w:val="20"/>
                <w:szCs w:val="20"/>
                <w:color w:val="auto"/>
              </w:rPr>
            </w:pPr>
            <w:r>
              <w:rPr>
                <w:rFonts w:ascii="Arial" w:cs="Arial" w:eastAsia="Arial" w:hAnsi="Arial"/>
                <w:sz w:val="18"/>
                <w:szCs w:val="18"/>
                <w:color w:val="auto"/>
                <w:w w:val="87"/>
              </w:rPr>
              <w:t>1,550,940</w:t>
            </w:r>
          </w:p>
        </w:tc>
        <w:tc>
          <w:tcPr>
            <w:tcW w:w="180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17,875.6</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$86.76</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Six months ended June 30, 2010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21"/>
              <w:spacing w:after="0"/>
              <w:rPr>
                <w:sz w:val="20"/>
                <w:szCs w:val="20"/>
                <w:color w:val="auto"/>
              </w:rPr>
            </w:pPr>
            <w:r>
              <w:rPr>
                <w:rFonts w:ascii="Arial" w:cs="Arial" w:eastAsia="Arial" w:hAnsi="Arial"/>
                <w:sz w:val="18"/>
                <w:szCs w:val="18"/>
                <w:color w:val="auto"/>
              </w:rPr>
              <w:t>871,890</w:t>
            </w:r>
          </w:p>
        </w:tc>
        <w:tc>
          <w:tcPr>
            <w:tcW w:w="180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13,734.8</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$63.48</w:t>
            </w:r>
          </w:p>
        </w:tc>
      </w:tr>
    </w:tbl>
    <w:p>
      <w:pPr>
        <w:spacing w:after="0" w:line="94" w:lineRule="exact"/>
        <w:rPr>
          <w:sz w:val="20"/>
          <w:szCs w:val="20"/>
          <w:color w:val="auto"/>
        </w:rPr>
      </w:pPr>
    </w:p>
    <w:p>
      <w:pPr>
        <w:ind w:left="660" w:right="84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During the first six months of 2011, Schlumberger made contributions of $122 million to its defined benefit pension plans as compared to $130 million during the same period last year.</w:t>
      </w:r>
    </w:p>
    <w:p>
      <w:pPr>
        <w:spacing w:after="0" w:line="75"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Cash flow provided by operations was $2.1 billion in the first six months of 2011 compared to $2.3 billion in the first six months of 2010 with the increase in net income offset by an increase in working capital requirements, primarily accounts receivable and inventories, as well as significant tax payments during the first six months of 2011.</w:t>
      </w:r>
    </w:p>
    <w:p>
      <w:pPr>
        <w:spacing w:after="0" w:line="86" w:lineRule="exact"/>
        <w:rPr>
          <w:rFonts w:ascii="Arial" w:cs="Arial" w:eastAsia="Arial" w:hAnsi="Arial"/>
          <w:sz w:val="18"/>
          <w:szCs w:val="18"/>
          <w:b w:val="1"/>
          <w:bCs w:val="1"/>
          <w:color w:val="auto"/>
        </w:rPr>
      </w:pPr>
    </w:p>
    <w:p>
      <w:pPr>
        <w:ind w:left="660" w:right="82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Capital expenditures were $1.7 billion in the first six months of 2011 compared to $1.1 billion during the first six months of 2010. Capital expenditures for the full year of 2011 are expected to approach $4.2 billion as compared to $2.9 billion in 2010.</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During the first six months of 2010, approximately $320 million of the 2.125% Series B Convertible Debentures due June 1, 2023 were converted by holders into 8.0 million shares of Schlumberger common stock.</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2011 Schlumberger had $4.9 billion of cash and short-term investments on hand. Schlumberger had separate committed debt facility agreements aggregating $5.9 billion with commercial banks, of which $2.8 billion was available and unused as of June 30, 2011. This included $2.3 billion of unused committed facilities which support commercial paper programs in the United States and Europe. Schlumberger believes that these amounts are sufficient to meet future business requirements for at least the next twelve months.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had $2.6 billion of commercial paper outstanding as of June 30,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operating margins; improvements in operating procedures and technology; capital expenditures by Schlumberger and the oil and gas industry; the business strategies of Schlumberger’s customers; future global political and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geopolitical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lifted drilling moratorium in the Gulf of Mexico; inability of technology to meet new challenges in explorations; and other risks and uncertainties detailed in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2010. Schlumberger’s exposure to market risk has not changed materially since December 31,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 of Schlumberger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13 —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April 17, 2008, the Schlumberger Board of Directors (the “Board”) approved an $8 billion share repurchase program for Schlumberger common stock, to be acquired in the open market before December 31, 2011. On July 21, 2011, the Board approved an extension of this repurchase program to December 31,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June 30, 2011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3"/>
              </w:rPr>
              <w:t>(Stated in thousands, except per share amounts)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Total number of</w:t>
            </w: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Maximum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Total number</w:t>
            </w: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w:t>
            </w:r>
          </w:p>
        </w:tc>
        <w:tc>
          <w:tcPr>
            <w:tcW w:w="300" w:type="dxa"/>
            <w:vAlign w:val="bottom"/>
          </w:tcPr>
          <w:p>
            <w:pPr>
              <w:spacing w:after="0"/>
              <w:rPr>
                <w:sz w:val="12"/>
                <w:szCs w:val="12"/>
                <w:color w:val="auto"/>
              </w:rPr>
            </w:pPr>
          </w:p>
        </w:tc>
        <w:tc>
          <w:tcPr>
            <w:tcW w:w="17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8"/>
              </w:rPr>
              <w:t>shares purchased</w:t>
            </w: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w w:val="96"/>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6"/>
              </w:rPr>
              <w:t>of shares</w:t>
            </w: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paid per</w:t>
            </w:r>
          </w:p>
        </w:tc>
        <w:tc>
          <w:tcPr>
            <w:tcW w:w="300" w:type="dxa"/>
            <w:vAlign w:val="bottom"/>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as part of publicly</w:t>
            </w:r>
          </w:p>
        </w:tc>
        <w:tc>
          <w:tcPr>
            <w:tcW w:w="12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be purchased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color w:val="auto"/>
                <w:w w:val="88"/>
              </w:rPr>
              <w:t>purchased</w:t>
            </w:r>
          </w:p>
        </w:tc>
        <w:tc>
          <w:tcPr>
            <w:tcW w:w="1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color w:val="auto"/>
              </w:rPr>
              <w:t>share</w:t>
            </w:r>
          </w:p>
        </w:tc>
        <w:tc>
          <w:tcPr>
            <w:tcW w:w="2040" w:type="dxa"/>
            <w:vAlign w:val="bottom"/>
            <w:gridSpan w:val="3"/>
          </w:tcPr>
          <w:p>
            <w:pPr>
              <w:jc w:val="center"/>
              <w:ind w:right="300"/>
              <w:spacing w:after="0"/>
              <w:rPr>
                <w:sz w:val="20"/>
                <w:szCs w:val="20"/>
                <w:color w:val="auto"/>
              </w:rPr>
            </w:pPr>
            <w:r>
              <w:rPr>
                <w:rFonts w:ascii="Arial" w:cs="Arial" w:eastAsia="Arial" w:hAnsi="Arial"/>
                <w:sz w:val="14"/>
                <w:szCs w:val="14"/>
                <w:color w:val="auto"/>
                <w:w w:val="90"/>
              </w:rPr>
              <w:t>announced program</w:t>
            </w: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under the program</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89.18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3,371.1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May 1 through May 31, 2011</w:t>
            </w:r>
          </w:p>
        </w:tc>
        <w:tc>
          <w:tcPr>
            <w:tcW w:w="760" w:type="dxa"/>
            <w:vAlign w:val="bottom"/>
          </w:tcPr>
          <w:p>
            <w:pPr>
              <w:jc w:val="right"/>
              <w:spacing w:after="0"/>
              <w:rPr>
                <w:sz w:val="20"/>
                <w:szCs w:val="20"/>
                <w:color w:val="auto"/>
              </w:rPr>
            </w:pPr>
            <w:r>
              <w:rPr>
                <w:rFonts w:ascii="Arial" w:cs="Arial" w:eastAsia="Arial" w:hAnsi="Arial"/>
                <w:sz w:val="18"/>
                <w:szCs w:val="18"/>
                <w:color w:val="auto"/>
              </w:rPr>
              <w:t>3,963.3</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84.11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3,963.3</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3,370,778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w:t>
            </w:r>
            <w:r>
              <w:rPr>
                <w:rFonts w:ascii="Arial" w:cs="Arial" w:eastAsia="Arial" w:hAnsi="Arial"/>
                <w:sz w:val="18"/>
                <w:szCs w:val="18"/>
                <w:u w:val="single" w:color="auto"/>
                <w:color w:val="auto"/>
              </w:rPr>
              <w:t>82</w:t>
            </w:r>
          </w:p>
        </w:tc>
        <w:tc>
          <w:tcPr>
            <w:tcW w:w="20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8,192.4</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4"/>
              </w:rPr>
              <w:t>86.</w:t>
            </w:r>
            <w:r>
              <w:rPr>
                <w:rFonts w:ascii="Arial" w:cs="Arial" w:eastAsia="Arial" w:hAnsi="Arial"/>
                <w:sz w:val="18"/>
                <w:szCs w:val="18"/>
                <w:u w:val="single" w:color="auto"/>
                <w:color w:val="auto"/>
                <w:w w:val="84"/>
              </w:rPr>
              <w:t>27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8,192.4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Schlumberger’s 2011 Annual General Meeting of Stockholders held on April 6, 2011, Schlumberger’s stockholders voted on, among other matters, a proposal regarding the frequency of future advisory votes on executive compensation (say on pay). As previously reported, a majority of the votes cast on the frequency proposal voted in favor of holding an advisory vote on executive compensation on an annual basis.</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Following consideration of the stockholder vote on the frequency proposal, Schlumberger’s Board of Directors decided at a meeting held on July 21, 2011, that Schlumberger will hold an annual advisory vote on executive compensation.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 to Schlumberger’s Current Report on Form 8-K filed on April 7, 2011).</w:t>
      </w:r>
    </w:p>
    <w:p>
      <w:pPr>
        <w:spacing w:after="0" w:line="62"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62" w:lineRule="exact"/>
        <w:rPr>
          <w:sz w:val="20"/>
          <w:szCs w:val="20"/>
          <w:color w:val="auto"/>
        </w:rPr>
      </w:pPr>
    </w:p>
    <w:p>
      <w:pPr>
        <w:ind w:left="240" w:right="380" w:hanging="4"/>
        <w:spacing w:after="0" w:line="277"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62" w:lineRule="exact"/>
        <w:rPr>
          <w:rFonts w:ascii="Arial" w:cs="Arial" w:eastAsia="Arial" w:hAnsi="Arial"/>
          <w:sz w:val="18"/>
          <w:szCs w:val="18"/>
          <w:color w:val="auto"/>
        </w:rPr>
      </w:pPr>
    </w:p>
    <w:p>
      <w:pPr>
        <w:ind w:left="240" w:right="420" w:hanging="4"/>
        <w:spacing w:after="0" w:line="277"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62" w:lineRule="exact"/>
        <w:rPr>
          <w:sz w:val="20"/>
          <w:szCs w:val="20"/>
          <w:color w:val="auto"/>
        </w:rPr>
      </w:pPr>
    </w:p>
    <w:p>
      <w:pPr>
        <w:ind w:left="240" w:right="60" w:hanging="4"/>
        <w:spacing w:after="0" w:line="277" w:lineRule="auto"/>
        <w:tabs>
          <w:tab w:leader="none" w:pos="4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62" w:lineRule="exact"/>
        <w:rPr>
          <w:rFonts w:ascii="Arial" w:cs="Arial" w:eastAsia="Arial" w:hAnsi="Arial"/>
          <w:sz w:val="18"/>
          <w:szCs w:val="18"/>
          <w:color w:val="auto"/>
        </w:rPr>
      </w:pPr>
    </w:p>
    <w:p>
      <w:pPr>
        <w:ind w:left="240" w:hanging="4"/>
        <w:spacing w:after="0" w:line="277" w:lineRule="auto"/>
        <w:tabs>
          <w:tab w:leader="none" w:pos="4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62" w:lineRule="exact"/>
        <w:rPr>
          <w:rFonts w:ascii="Arial" w:cs="Arial" w:eastAsia="Arial" w:hAnsi="Arial"/>
          <w:sz w:val="18"/>
          <w:szCs w:val="18"/>
          <w:color w:val="auto"/>
        </w:rPr>
      </w:pPr>
    </w:p>
    <w:p>
      <w:pPr>
        <w:jc w:val="both"/>
        <w:ind w:left="240" w:right="20" w:hanging="4"/>
        <w:spacing w:after="0" w:line="264" w:lineRule="auto"/>
        <w:tabs>
          <w:tab w:leader="none" w:pos="4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Exhibit 101 — The following materials from Schlumberger Limited’s Quarterly Report on Form 10-Q for the quarter ended June 30, 2011, formatted in XBRL (Extensible Business Reporting Language): (i) Consolidated Statement of Income; (ii) Consolidated Balance Sheet; (iii) Consolidated Statement of Cash Flows; (iv) Consolidated Statement of Equity, and (v) Notes to Consolidated Financial Statements.</w:t>
      </w:r>
    </w:p>
    <w:p>
      <w:pPr>
        <w:spacing w:after="0" w:line="3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July 27, 2011</w:t>
      </w:r>
      <w:r>
        <w:rPr>
          <w:sz w:val="20"/>
          <w:szCs w:val="20"/>
          <w:color w:val="auto"/>
        </w:rPr>
        <w:tab/>
      </w:r>
      <w:r>
        <w:rPr>
          <w:rFonts w:ascii="Arial" w:cs="Arial" w:eastAsia="Arial" w:hAnsi="Arial"/>
          <w:sz w:val="16"/>
          <w:szCs w:val="16"/>
          <w:color w:val="auto"/>
        </w:rPr>
        <w:t>/s/ Howard Guild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Accounting Officer and Duly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Authorized Signatory</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19"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117"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July 27, 2011</w:t>
      </w:r>
      <w:r>
        <w:rPr>
          <w:sz w:val="20"/>
          <w:szCs w:val="20"/>
          <w:color w:val="auto"/>
        </w:rPr>
        <w:tab/>
      </w:r>
      <w:r>
        <w:rPr>
          <w:rFonts w:ascii="Arial" w:cs="Arial" w:eastAsia="Arial" w:hAnsi="Arial"/>
          <w:sz w:val="16"/>
          <w:szCs w:val="16"/>
          <w:color w:val="auto"/>
        </w:rPr>
        <w:t>/s/ Andrew Gould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July 27, 2011</w:t>
      </w:r>
      <w:r>
        <w:rPr>
          <w:sz w:val="20"/>
          <w:szCs w:val="20"/>
          <w:color w:val="auto"/>
        </w:rPr>
        <w:tab/>
      </w:r>
      <w:r>
        <w:rPr>
          <w:rFonts w:ascii="Arial" w:cs="Arial" w:eastAsia="Arial" w:hAnsi="Arial"/>
          <w:sz w:val="16"/>
          <w:szCs w:val="16"/>
          <w:color w:val="auto"/>
        </w:rPr>
        <w:t>/s/ Simon Ayat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2011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39" w:lineRule="exact"/>
        <w:rPr>
          <w:sz w:val="20"/>
          <w:szCs w:val="20"/>
          <w:color w:val="auto"/>
        </w:rPr>
      </w:pPr>
    </w:p>
    <w:p>
      <w:pPr>
        <w:ind w:left="480" w:hanging="247"/>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80" w:hanging="247"/>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July 27, 2011</w:t>
      </w:r>
      <w:r>
        <w:rPr>
          <w:sz w:val="20"/>
          <w:szCs w:val="20"/>
          <w:color w:val="auto"/>
        </w:rPr>
        <w:tab/>
      </w:r>
      <w:r>
        <w:rPr>
          <w:rFonts w:ascii="Arial" w:cs="Arial" w:eastAsia="Arial" w:hAnsi="Arial"/>
          <w:sz w:val="16"/>
          <w:szCs w:val="16"/>
          <w:color w:val="auto"/>
        </w:rPr>
        <w:t>/s/ Andrew Gould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2011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39" w:lineRule="exact"/>
        <w:rPr>
          <w:sz w:val="20"/>
          <w:szCs w:val="20"/>
          <w:color w:val="auto"/>
        </w:rPr>
      </w:pPr>
    </w:p>
    <w:p>
      <w:pPr>
        <w:ind w:left="480" w:hanging="247"/>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80" w:hanging="247"/>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July 27, 2011</w:t>
      </w:r>
      <w:r>
        <w:rPr>
          <w:sz w:val="20"/>
          <w:szCs w:val="20"/>
          <w:color w:val="auto"/>
        </w:rPr>
        <w:tab/>
      </w:r>
      <w:r>
        <w:rPr>
          <w:rFonts w:ascii="Arial" w:cs="Arial" w:eastAsia="Arial" w:hAnsi="Arial"/>
          <w:sz w:val="16"/>
          <w:szCs w:val="16"/>
          <w:color w:val="auto"/>
        </w:rPr>
        <w:t>/s/ Simon Ayat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2"/>
    </w:lvl>
  </w:abstractNum>
  <w:abstractNum w:abstractNumId="13">
    <w:nsid w:val="2443A858"/>
    <w:multiLevelType w:val="hybridMultilevel"/>
    <w:lvl w:ilvl="0">
      <w:lvlJc w:val="left"/>
      <w:lvlText w:val="%1."/>
      <w:numFmt w:val="decimal"/>
      <w:start w:val="13"/>
    </w:lvl>
  </w:abstractNum>
  <w:abstractNum w:abstractNumId="14">
    <w:nsid w:val="2D1D5AE9"/>
    <w:multiLevelType w:val="hybridMultilevel"/>
    <w:lvl w:ilvl="0">
      <w:lvlJc w:val="left"/>
      <w:lvlText w:val="%1."/>
      <w:numFmt w:val="decimal"/>
      <w:start w:val="14"/>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5"/>
    </w:lvl>
  </w:abstractNum>
  <w:abstractNum w:abstractNumId="20">
    <w:nsid w:val="B03E0C6"/>
    <w:multiLevelType w:val="hybridMultilevel"/>
    <w:lvl w:ilvl="0">
      <w:lvlJc w:val="left"/>
      <w:lvlText w:val="%1."/>
      <w:numFmt w:val="decimal"/>
      <w:start w:val="16"/>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lvl w:ilvl="1">
      <w:lvlJc w:val="left"/>
      <w:lvlText w:val="**"/>
      <w:numFmt w:val="bullet"/>
      <w:start w:val="1"/>
    </w:lvl>
  </w:abstractNum>
  <w:abstractNum w:abstractNumId="26">
    <w:nsid w:val="2901D82"/>
    <w:multiLevelType w:val="hybridMultilevel"/>
    <w:lvl w:ilvl="0">
      <w:lvlJc w:val="left"/>
      <w:lvlText w:val="**"/>
      <w:numFmt w:val="bullet"/>
      <w:start w:val="1"/>
    </w:lvl>
    <w:lvl w:ilvl="1">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2019-12-10T03:36:49Z</dcterms:created>
  <dcterms:modified xsi:type="dcterms:W3CDTF">2019-12-10T03:36:49Z</dcterms:modified>
</cp:coreProperties>
</file>