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BELANI ASHOK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New Energy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159385</wp:posOffset>
            </wp:positionV>
            <wp:extent cx="6964045" cy="19716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71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30,391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257,638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7,540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23.99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250,098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5,054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 Int'l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P/S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60" w:type="dxa"/>
            <w:vAlign w:val="bottom"/>
            <w:gridSpan w:val="1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of common stock issued to the reporting person on January 22, 2021 upon achievement of the performance criteria and vesting of performance share units granted on January 17, 2018.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Saul R. Laureles,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01/26/2021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42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70997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2021-01-26T15:59:37Z</dcterms:created>
  <dcterms:modified xsi:type="dcterms:W3CDTF">2021-01-26T15:59:37Z</dcterms:modified>
</cp:coreProperties>
</file>