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60" w:type="dxa"/>
            <w:vAlign w:val="bottom"/>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Guild Howard</w:t>
              </w:r>
            </w:hyperlink>
          </w:p>
        </w:tc>
        <w:tc>
          <w:tcPr>
            <w:tcW w:w="8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260" w:type="dxa"/>
            <w:vAlign w:val="bottom"/>
            <w:tcBorders>
              <w:bottom w:val="single" w:sz="8" w:color="0000EE"/>
            </w:tcBorders>
            <w:vMerge w:val="continue"/>
          </w:tcPr>
          <w:p>
            <w:pPr>
              <w:spacing w:after="0"/>
              <w:rPr>
                <w:sz w:val="5"/>
                <w:szCs w:val="5"/>
                <w:color w:val="auto"/>
              </w:rPr>
            </w:pPr>
          </w:p>
        </w:tc>
        <w:tc>
          <w:tcPr>
            <w:tcW w:w="8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6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840" w:type="dxa"/>
            <w:vAlign w:val="bottom"/>
            <w:tcBorders>
              <w:top w:val="single" w:sz="8" w:color="EEEEEE"/>
            </w:tcBorders>
            <w:vMerge w:val="restart"/>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01/17/2020</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Chief Accounting Officer</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2"/>
              </w:rPr>
              <w:t>6,218</w:t>
            </w:r>
            <w:r>
              <w:rPr>
                <w:rFonts w:ascii="Arial" w:cs="Arial" w:eastAsia="Arial" w:hAnsi="Arial"/>
                <w:sz w:val="22"/>
                <w:szCs w:val="22"/>
                <w:color w:val="008000"/>
                <w:w w:val="82"/>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500" w:type="dxa"/>
            <w:vAlign w:val="bottom"/>
            <w:tcBorders>
              <w:bottom w:val="single" w:sz="8" w:color="2C2C2C"/>
            </w:tcBorders>
            <w:gridSpan w:val="3"/>
          </w:tcPr>
          <w:p>
            <w:pPr>
              <w:jc w:val="center"/>
              <w:ind w:left="134"/>
              <w:spacing w:after="0"/>
              <w:rPr>
                <w:sz w:val="20"/>
                <w:szCs w:val="20"/>
                <w:color w:val="auto"/>
              </w:rPr>
            </w:pPr>
            <w:r>
              <w:rPr>
                <w:rFonts w:ascii="Arial" w:cs="Arial" w:eastAsia="Arial" w:hAnsi="Arial"/>
                <w:sz w:val="18"/>
                <w:szCs w:val="18"/>
                <w:color w:val="0000FF"/>
                <w:w w:val="84"/>
              </w:rPr>
              <w:t>36,025</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4"/>
              </w:rPr>
              <w:t>13,750</w:t>
            </w:r>
            <w:r>
              <w:rPr>
                <w:rFonts w:ascii="Arial" w:cs="Arial" w:eastAsia="Arial" w:hAnsi="Arial"/>
                <w:sz w:val="22"/>
                <w:szCs w:val="22"/>
                <w:color w:val="008000"/>
                <w:w w:val="84"/>
                <w:vertAlign w:val="superscript"/>
              </w:rPr>
              <w:t>(3)</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87"/>
              </w:rPr>
              <w:t>49,775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F</w:t>
            </w:r>
          </w:p>
        </w:tc>
        <w:tc>
          <w:tcPr>
            <w:tcW w:w="780" w:type="dxa"/>
            <w:vAlign w:val="bottom"/>
          </w:tcPr>
          <w:p>
            <w:pPr>
              <w:jc w:val="center"/>
              <w:ind w:left="69"/>
              <w:spacing w:after="0"/>
              <w:rPr>
                <w:sz w:val="20"/>
                <w:szCs w:val="20"/>
                <w:color w:val="auto"/>
              </w:rPr>
            </w:pPr>
            <w:r>
              <w:rPr>
                <w:rFonts w:ascii="Arial" w:cs="Arial" w:eastAsia="Arial" w:hAnsi="Arial"/>
                <w:sz w:val="18"/>
                <w:szCs w:val="18"/>
                <w:color w:val="0000FF"/>
                <w:w w:val="88"/>
              </w:rPr>
              <w:t>1,636</w:t>
            </w:r>
          </w:p>
        </w:tc>
        <w:tc>
          <w:tcPr>
            <w:tcW w:w="440" w:type="dxa"/>
            <w:vAlign w:val="bottom"/>
          </w:tcPr>
          <w:p>
            <w:pPr>
              <w:ind w:left="30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39.075</w:t>
            </w:r>
          </w:p>
        </w:tc>
        <w:tc>
          <w:tcPr>
            <w:tcW w:w="340" w:type="dxa"/>
            <w:vAlign w:val="bottom"/>
          </w:tcPr>
          <w:p>
            <w:pPr>
              <w:spacing w:after="0"/>
              <w:rPr>
                <w:sz w:val="23"/>
                <w:szCs w:val="23"/>
                <w:color w:val="auto"/>
              </w:rPr>
            </w:pPr>
          </w:p>
        </w:tc>
        <w:tc>
          <w:tcPr>
            <w:tcW w:w="900" w:type="dxa"/>
            <w:vAlign w:val="bottom"/>
          </w:tcPr>
          <w:p>
            <w:pPr>
              <w:jc w:val="center"/>
              <w:ind w:right="314"/>
              <w:spacing w:after="0"/>
              <w:rPr>
                <w:sz w:val="20"/>
                <w:szCs w:val="20"/>
                <w:color w:val="auto"/>
              </w:rPr>
            </w:pPr>
            <w:r>
              <w:rPr>
                <w:rFonts w:ascii="Arial" w:cs="Arial" w:eastAsia="Arial" w:hAnsi="Arial"/>
                <w:sz w:val="18"/>
                <w:szCs w:val="18"/>
                <w:color w:val="0000FF"/>
                <w:w w:val="87"/>
              </w:rPr>
              <w:t>48,139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1"/>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17, 2020 upon achievement of the performance criteria and vesting of performance share units granted on January 19, 2017.</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312 shares for the period ended December 31, 2019, that were acquired under the Schlumberger discounted stock purchase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17, 2020 upon achievement of the performance criteria and vesting of performance share units granted on January 17, 2018.</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01/21/2020</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4072"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2020-01-21T19:06:37Z</dcterms:created>
  <dcterms:modified xsi:type="dcterms:W3CDTF">2020-01-21T19:06:37Z</dcterms:modified>
</cp:coreProperties>
</file>