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333-271711</w:t>
      </w:r>
    </w:p>
    <w:p>
      <w:pPr>
        <w:spacing w:after="0" w:line="123" w:lineRule="exact"/>
        <w:rPr>
          <w:sz w:val="24"/>
          <w:szCs w:val="24"/>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MAY 21, 2024</w:t>
      </w:r>
    </w:p>
    <w:p>
      <w:pPr>
        <w:spacing w:after="0" w:line="216"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PROSPECTUS SUPPLEMENT</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(To Prospectus dated May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156210</wp:posOffset>
            </wp:positionV>
            <wp:extent cx="122555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Schlumberger Investment S.A.</w:t>
      </w:r>
    </w:p>
    <w:p>
      <w:pPr>
        <w:spacing w:after="0" w:line="220"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                % Senior Notes due 2034</w:t>
      </w:r>
    </w:p>
    <w:p>
      <w:pPr>
        <w:spacing w:after="0" w:line="206"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Fully and unconditionally guaranteed by</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120" w:right="40" w:firstLine="440"/>
        <w:spacing w:after="0" w:line="259" w:lineRule="auto"/>
        <w:rPr>
          <w:sz w:val="20"/>
          <w:szCs w:val="20"/>
          <w:color w:val="auto"/>
        </w:rPr>
      </w:pPr>
      <w:r>
        <w:rPr>
          <w:rFonts w:ascii="Arial" w:cs="Arial" w:eastAsia="Arial" w:hAnsi="Arial"/>
          <w:sz w:val="16"/>
          <w:szCs w:val="16"/>
          <w:color w:val="auto"/>
        </w:rPr>
        <w:t>Schlumberger Investment S.A., a public limited liability company (société anonyme) incorporated and existing under the laws of the Grand Duchy of Luxembourg, having its registered office located at 5, Place de la Gare, L-1616 Luxembourg, Grand Duchy of Luxembourg, and registered with the Luxembourg Trade and Companies Register (Registre de Commerce et des Sociétés, Luxembourg) under number B 163.122 (the “Company”) is offering U.S.$        principal amount of its   % Senior Notes due 2034 (the “Notes”).</w:t>
      </w:r>
    </w:p>
    <w:p>
      <w:pPr>
        <w:spacing w:after="0" w:line="178" w:lineRule="exact"/>
        <w:rPr>
          <w:sz w:val="24"/>
          <w:szCs w:val="24"/>
          <w:color w:val="auto"/>
        </w:rPr>
      </w:pPr>
    </w:p>
    <w:p>
      <w:pPr>
        <w:ind w:left="120" w:right="420" w:firstLine="440"/>
        <w:spacing w:after="0" w:line="286" w:lineRule="auto"/>
        <w:rPr>
          <w:sz w:val="20"/>
          <w:szCs w:val="20"/>
          <w:color w:val="auto"/>
        </w:rPr>
      </w:pPr>
      <w:r>
        <w:rPr>
          <w:rFonts w:ascii="Arial" w:cs="Arial" w:eastAsia="Arial" w:hAnsi="Arial"/>
          <w:sz w:val="16"/>
          <w:szCs w:val="16"/>
          <w:color w:val="auto"/>
        </w:rPr>
        <w:t>The Notes will bear interest at a rate of   % per year. We will pay interest on the Notes semi-annually on         and         of each year, beginning on         , 2024.</w:t>
      </w:r>
    </w:p>
    <w:p>
      <w:pPr>
        <w:spacing w:after="0" w:line="156" w:lineRule="exact"/>
        <w:rPr>
          <w:sz w:val="24"/>
          <w:szCs w:val="24"/>
          <w:color w:val="auto"/>
        </w:rPr>
      </w:pPr>
    </w:p>
    <w:p>
      <w:pPr>
        <w:jc w:val="both"/>
        <w:ind w:left="120" w:right="160" w:firstLine="440"/>
        <w:spacing w:after="0" w:line="266" w:lineRule="auto"/>
        <w:rPr>
          <w:sz w:val="20"/>
          <w:szCs w:val="20"/>
          <w:color w:val="auto"/>
        </w:rPr>
      </w:pPr>
      <w:r>
        <w:rPr>
          <w:rFonts w:ascii="Arial" w:cs="Arial" w:eastAsia="Arial" w:hAnsi="Arial"/>
          <w:sz w:val="16"/>
          <w:szCs w:val="16"/>
          <w:color w:val="auto"/>
        </w:rPr>
        <w:t>The Notes will be fully and unconditionally guaranteed (the “guarantee”) on a senior unsecured basis by Schlumberger Limited (the “Guarantor”), the ultimate parent of the Company. The guarantee will be the unsecured and unsubordinated obligations of the Guarantor and will rank equally with the Guarantor’s other unsecured and unsubordinated indebtedness from time to time outstanding.</w:t>
      </w:r>
    </w:p>
    <w:p>
      <w:pPr>
        <w:spacing w:after="0" w:line="171" w:lineRule="exact"/>
        <w:rPr>
          <w:sz w:val="24"/>
          <w:szCs w:val="24"/>
          <w:color w:val="auto"/>
        </w:rPr>
      </w:pPr>
    </w:p>
    <w:p>
      <w:pPr>
        <w:ind w:left="120" w:right="620" w:firstLine="440"/>
        <w:spacing w:after="0" w:line="286" w:lineRule="auto"/>
        <w:rPr>
          <w:sz w:val="20"/>
          <w:szCs w:val="20"/>
          <w:color w:val="auto"/>
        </w:rPr>
      </w:pPr>
      <w:r>
        <w:rPr>
          <w:rFonts w:ascii="Arial" w:cs="Arial" w:eastAsia="Arial" w:hAnsi="Arial"/>
          <w:sz w:val="16"/>
          <w:szCs w:val="16"/>
          <w:color w:val="auto"/>
        </w:rPr>
        <w:t>The Company may redeem some or all of the Notes at any time and from time to time at the redemption prices described in this prospectus supplement, plus accrued and unpaid interest to the redemption date.</w:t>
      </w:r>
    </w:p>
    <w:p>
      <w:pPr>
        <w:spacing w:after="0" w:line="156" w:lineRule="exact"/>
        <w:rPr>
          <w:sz w:val="24"/>
          <w:szCs w:val="24"/>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Notes will be the unsecured and unsubordinated obligations of the Company and will rank equally with its other unsecured and unsubordinated indebtedness from time to time outstanding.</w:t>
      </w:r>
    </w:p>
    <w:p>
      <w:pPr>
        <w:spacing w:after="0" w:line="15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Notes will not be listed on any securities exchange. Currently, there is no public market for the Notes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560"/>
        <w:spacing w:after="0"/>
        <w:rPr>
          <w:sz w:val="20"/>
          <w:szCs w:val="20"/>
          <w:color w:val="auto"/>
        </w:rPr>
      </w:pPr>
      <w:r>
        <w:rPr>
          <w:rFonts w:ascii="Arial" w:cs="Arial" w:eastAsia="Arial" w:hAnsi="Arial"/>
          <w:sz w:val="20"/>
          <w:szCs w:val="20"/>
          <w:b w:val="1"/>
          <w:bCs w:val="1"/>
          <w:color w:val="auto"/>
        </w:rPr>
        <w:t>Investing in the Notes involves risks. See “</w:t>
      </w:r>
      <w:r>
        <w:rPr>
          <w:rFonts w:ascii="Arial" w:cs="Arial" w:eastAsia="Arial" w:hAnsi="Arial"/>
          <w:sz w:val="20"/>
          <w:szCs w:val="20"/>
          <w:b w:val="1"/>
          <w:bCs w:val="1"/>
          <w:u w:val="single" w:color="auto"/>
          <w:color w:val="0000EE"/>
        </w:rPr>
        <w:t>Risk Factors</w:t>
      </w:r>
      <w:r>
        <w:rPr>
          <w:rFonts w:ascii="Arial" w:cs="Arial" w:eastAsia="Arial" w:hAnsi="Arial"/>
          <w:sz w:val="20"/>
          <w:szCs w:val="20"/>
          <w:b w:val="1"/>
          <w:bCs w:val="1"/>
          <w:color w:val="auto"/>
        </w:rPr>
        <w:t>” beginning on page S-6.</w:t>
      </w:r>
    </w:p>
    <w:p>
      <w:pPr>
        <w:spacing w:after="0" w:line="212" w:lineRule="exact"/>
        <w:rPr>
          <w:sz w:val="24"/>
          <w:szCs w:val="24"/>
          <w:color w:val="auto"/>
        </w:rPr>
      </w:pPr>
    </w:p>
    <w:p>
      <w:pPr>
        <w:jc w:val="both"/>
        <w:ind w:left="120" w:right="140" w:firstLine="440"/>
        <w:spacing w:after="0" w:line="27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196215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tbl>
      <w:tblPr>
        <w:tblLayout w:type="fixed"/>
        <w:tblInd w:w="100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520" w:type="dxa"/>
            <w:vAlign w:val="bottom"/>
            <w:gridSpan w:val="3"/>
          </w:tcPr>
          <w:p>
            <w:pPr>
              <w:jc w:val="center"/>
              <w:ind w:left="1868"/>
              <w:spacing w:after="0"/>
              <w:rPr>
                <w:sz w:val="20"/>
                <w:szCs w:val="20"/>
                <w:color w:val="auto"/>
              </w:rPr>
            </w:pPr>
            <w:r>
              <w:rPr>
                <w:rFonts w:ascii="Arial" w:cs="Arial" w:eastAsia="Arial" w:hAnsi="Arial"/>
                <w:sz w:val="14"/>
                <w:szCs w:val="14"/>
                <w:b w:val="1"/>
                <w:bCs w:val="1"/>
                <w:color w:val="auto"/>
              </w:rPr>
              <w:t>Per Note</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51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21"/>
                <w:szCs w:val="21"/>
                <w:color w:val="auto"/>
                <w:vertAlign w:val="superscript"/>
              </w:rPr>
              <w:t>(1)</w:t>
            </w:r>
          </w:p>
        </w:tc>
        <w:tc>
          <w:tcPr>
            <w:tcW w:w="19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center"/>
              <w:ind w:left="175"/>
              <w:spacing w:after="0"/>
              <w:rPr>
                <w:sz w:val="20"/>
                <w:szCs w:val="20"/>
                <w:color w:val="auto"/>
              </w:rPr>
            </w:pPr>
            <w:r>
              <w:rPr>
                <w:rFonts w:ascii="Arial" w:cs="Arial" w:eastAsia="Arial" w:hAnsi="Arial"/>
                <w:sz w:val="5"/>
                <w:szCs w:val="5"/>
                <w:color w:val="auto"/>
                <w:w w:val="79"/>
              </w:rPr>
              <w:t> </w:t>
            </w:r>
          </w:p>
        </w:tc>
        <w:tc>
          <w:tcPr>
            <w:tcW w:w="22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w w:val="87"/>
              </w:rPr>
              <w:t> </w:t>
            </w:r>
          </w:p>
        </w:tc>
        <w:tc>
          <w:tcPr>
            <w:tcW w:w="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jc w:val="right"/>
              <w:ind w:right="199"/>
              <w:spacing w:after="0" w:line="183" w:lineRule="exact"/>
              <w:rPr>
                <w:sz w:val="20"/>
                <w:szCs w:val="20"/>
                <w:color w:val="auto"/>
              </w:rPr>
            </w:pPr>
            <w:r>
              <w:rPr>
                <w:rFonts w:ascii="Arial" w:cs="Arial" w:eastAsia="Arial" w:hAnsi="Arial"/>
                <w:sz w:val="16"/>
                <w:szCs w:val="16"/>
                <w:color w:val="auto"/>
                <w:w w:val="84"/>
              </w:rPr>
              <w:t>%</w:t>
            </w: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 xml:space="preserve">$ </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Borders>
              <w:top w:val="single" w:sz="8" w:color="auto"/>
            </w:tcBorders>
            <w:shd w:val="clear" w:color="auto" w:fill="CCEEFF"/>
          </w:tcPr>
          <w:p>
            <w:pPr>
              <w:ind w:left="60"/>
              <w:spacing w:after="0" w:line="183" w:lineRule="exact"/>
              <w:rPr>
                <w:sz w:val="20"/>
                <w:szCs w:val="20"/>
                <w:color w:val="auto"/>
              </w:rPr>
            </w:pPr>
            <w:r>
              <w:rPr>
                <w:rFonts w:ascii="Arial" w:cs="Arial" w:eastAsia="Arial" w:hAnsi="Arial"/>
                <w:sz w:val="16"/>
                <w:szCs w:val="16"/>
                <w:color w:val="auto"/>
                <w:w w:val="87"/>
              </w:rPr>
              <w:t> </w:t>
            </w:r>
          </w:p>
        </w:tc>
        <w:tc>
          <w:tcPr>
            <w:tcW w:w="2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 </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Underwriting Discount</w:t>
            </w:r>
          </w:p>
        </w:tc>
        <w:tc>
          <w:tcPr>
            <w:tcW w:w="1940" w:type="dxa"/>
            <w:vAlign w:val="bottom"/>
          </w:tcPr>
          <w:p>
            <w:pPr>
              <w:spacing w:after="0"/>
              <w:rPr>
                <w:sz w:val="16"/>
                <w:szCs w:val="16"/>
                <w:color w:val="auto"/>
              </w:rPr>
            </w:pPr>
          </w:p>
        </w:tc>
        <w:tc>
          <w:tcPr>
            <w:tcW w:w="360" w:type="dxa"/>
            <w:vAlign w:val="bottom"/>
          </w:tcPr>
          <w:p>
            <w:pPr>
              <w:jc w:val="center"/>
              <w:ind w:left="175"/>
              <w:spacing w:after="0"/>
              <w:rPr>
                <w:sz w:val="20"/>
                <w:szCs w:val="20"/>
                <w:color w:val="auto"/>
              </w:rPr>
            </w:pPr>
            <w:r>
              <w:rPr>
                <w:rFonts w:ascii="Arial" w:cs="Arial" w:eastAsia="Arial" w:hAnsi="Arial"/>
                <w:sz w:val="5"/>
                <w:szCs w:val="5"/>
                <w:color w:val="auto"/>
                <w:w w:val="79"/>
              </w:rPr>
              <w:t> </w:t>
            </w:r>
          </w:p>
        </w:tc>
        <w:tc>
          <w:tcPr>
            <w:tcW w:w="220" w:type="dxa"/>
            <w:vAlign w:val="bottom"/>
          </w:tcPr>
          <w:p>
            <w:pPr>
              <w:ind w:left="60"/>
              <w:spacing w:after="0"/>
              <w:rPr>
                <w:sz w:val="20"/>
                <w:szCs w:val="20"/>
                <w:color w:val="auto"/>
              </w:rPr>
            </w:pPr>
            <w:r>
              <w:rPr>
                <w:rFonts w:ascii="Arial" w:cs="Arial" w:eastAsia="Arial" w:hAnsi="Arial"/>
                <w:sz w:val="16"/>
                <w:szCs w:val="16"/>
                <w:color w:val="auto"/>
                <w:w w:val="87"/>
              </w:rPr>
              <w:t> </w:t>
            </w:r>
          </w:p>
        </w:tc>
        <w:tc>
          <w:tcPr>
            <w:tcW w:w="440" w:type="dxa"/>
            <w:vAlign w:val="bottom"/>
            <w:gridSpan w:val="2"/>
          </w:tcPr>
          <w:p>
            <w:pPr>
              <w:jc w:val="right"/>
              <w:ind w:right="199"/>
              <w:spacing w:after="0"/>
              <w:rPr>
                <w:sz w:val="20"/>
                <w:szCs w:val="20"/>
                <w:color w:val="auto"/>
              </w:rPr>
            </w:pPr>
            <w:r>
              <w:rPr>
                <w:rFonts w:ascii="Arial" w:cs="Arial" w:eastAsia="Arial" w:hAnsi="Arial"/>
                <w:sz w:val="16"/>
                <w:szCs w:val="16"/>
                <w:color w:val="auto"/>
                <w:w w:val="98"/>
              </w:rPr>
              <w:t>%</w:t>
            </w:r>
          </w:p>
        </w:tc>
        <w:tc>
          <w:tcPr>
            <w:tcW w:w="480" w:type="dxa"/>
            <w:vAlign w:val="bottom"/>
            <w:gridSpan w:val="2"/>
          </w:tcPr>
          <w:p>
            <w:pPr>
              <w:ind w:left="300"/>
              <w:spacing w:after="0"/>
              <w:rPr>
                <w:sz w:val="20"/>
                <w:szCs w:val="20"/>
                <w:color w:val="auto"/>
              </w:rPr>
            </w:pPr>
            <w:r>
              <w:rPr>
                <w:rFonts w:ascii="Arial" w:cs="Arial" w:eastAsia="Arial" w:hAnsi="Arial"/>
                <w:sz w:val="16"/>
                <w:szCs w:val="16"/>
                <w:color w:val="auto"/>
              </w:rPr>
              <w:t xml:space="preserve">$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60"/>
              <w:spacing w:after="0"/>
              <w:rPr>
                <w:sz w:val="20"/>
                <w:szCs w:val="20"/>
                <w:color w:val="auto"/>
              </w:rPr>
            </w:pPr>
            <w:r>
              <w:rPr>
                <w:rFonts w:ascii="Arial" w:cs="Arial" w:eastAsia="Arial" w:hAnsi="Arial"/>
                <w:sz w:val="16"/>
                <w:szCs w:val="16"/>
                <w:color w:val="auto"/>
                <w:w w:val="87"/>
              </w:rPr>
              <w:t> </w:t>
            </w:r>
          </w:p>
        </w:tc>
        <w:tc>
          <w:tcPr>
            <w:tcW w:w="280" w:type="dxa"/>
            <w:vAlign w:val="bottom"/>
            <w:gridSpan w:val="2"/>
          </w:tcPr>
          <w:p>
            <w:pPr>
              <w:spacing w:after="0"/>
              <w:rPr>
                <w:sz w:val="20"/>
                <w:szCs w:val="20"/>
                <w:color w:val="auto"/>
              </w:rPr>
            </w:pPr>
            <w:r>
              <w:rPr>
                <w:rFonts w:ascii="Arial" w:cs="Arial" w:eastAsia="Arial" w:hAnsi="Arial"/>
                <w:sz w:val="16"/>
                <w:szCs w:val="16"/>
                <w:color w:val="auto"/>
              </w:rPr>
              <w:t> </w:t>
            </w:r>
          </w:p>
        </w:tc>
      </w:tr>
      <w:tr>
        <w:trPr>
          <w:trHeight w:val="189"/>
        </w:trPr>
        <w:tc>
          <w:tcPr>
            <w:tcW w:w="5140" w:type="dxa"/>
            <w:vAlign w:val="bottom"/>
            <w:shd w:val="clear" w:color="auto" w:fill="CCEEFF"/>
          </w:tcPr>
          <w:p>
            <w:pPr>
              <w:spacing w:after="0"/>
              <w:rPr>
                <w:sz w:val="20"/>
                <w:szCs w:val="20"/>
                <w:color w:val="auto"/>
              </w:rPr>
            </w:pPr>
            <w:r>
              <w:rPr>
                <w:rFonts w:ascii="Arial" w:cs="Arial" w:eastAsia="Arial" w:hAnsi="Arial"/>
                <w:sz w:val="16"/>
                <w:szCs w:val="16"/>
                <w:color w:val="auto"/>
              </w:rPr>
              <w:t>Proceeds to the Company (before expenses)</w:t>
            </w:r>
          </w:p>
        </w:tc>
        <w:tc>
          <w:tcPr>
            <w:tcW w:w="1940" w:type="dxa"/>
            <w:vAlign w:val="bottom"/>
            <w:shd w:val="clear" w:color="auto" w:fill="CCEEFF"/>
          </w:tcPr>
          <w:p>
            <w:pPr>
              <w:spacing w:after="0"/>
              <w:rPr>
                <w:sz w:val="16"/>
                <w:szCs w:val="16"/>
                <w:color w:val="auto"/>
              </w:rPr>
            </w:pPr>
          </w:p>
        </w:tc>
        <w:tc>
          <w:tcPr>
            <w:tcW w:w="360" w:type="dxa"/>
            <w:vAlign w:val="bottom"/>
            <w:shd w:val="clear" w:color="auto" w:fill="CCEEFF"/>
          </w:tcPr>
          <w:p>
            <w:pPr>
              <w:jc w:val="center"/>
              <w:ind w:left="175"/>
              <w:spacing w:after="0"/>
              <w:rPr>
                <w:sz w:val="20"/>
                <w:szCs w:val="20"/>
                <w:color w:val="auto"/>
              </w:rPr>
            </w:pPr>
            <w:r>
              <w:rPr>
                <w:rFonts w:ascii="Arial" w:cs="Arial" w:eastAsia="Arial" w:hAnsi="Arial"/>
                <w:sz w:val="5"/>
                <w:szCs w:val="5"/>
                <w:color w:val="auto"/>
                <w:w w:val="79"/>
              </w:rPr>
              <w:t> </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 </w:t>
            </w:r>
          </w:p>
        </w:tc>
        <w:tc>
          <w:tcPr>
            <w:tcW w:w="4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w w:val="98"/>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 xml:space="preserve">$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 </w:t>
            </w:r>
          </w:p>
        </w:tc>
        <w:tc>
          <w:tcPr>
            <w:tcW w:w="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Plus accrued interest on the Notes, if any, from            , 2024 to the date of delivery.</w:t>
      </w:r>
    </w:p>
    <w:p>
      <w:pPr>
        <w:spacing w:after="0" w:line="221" w:lineRule="exact"/>
        <w:rPr>
          <w:sz w:val="24"/>
          <w:szCs w:val="24"/>
          <w:color w:val="auto"/>
        </w:rPr>
      </w:pPr>
    </w:p>
    <w:p>
      <w:pPr>
        <w:ind w:left="120" w:right="220" w:firstLine="440"/>
        <w:spacing w:after="0" w:line="266" w:lineRule="auto"/>
        <w:rPr>
          <w:sz w:val="20"/>
          <w:szCs w:val="20"/>
          <w:color w:val="auto"/>
        </w:rPr>
      </w:pPr>
      <w:r>
        <w:rPr>
          <w:rFonts w:ascii="Arial" w:cs="Arial" w:eastAsia="Arial" w:hAnsi="Arial"/>
          <w:sz w:val="16"/>
          <w:szCs w:val="16"/>
          <w:color w:val="auto"/>
        </w:rPr>
        <w:t>The underwriters expect to deliver the Notes to purchasers against payment on or about         , 2024, solely in book-entry form through the facilities of The Depository Trust Company and its participants, including Euroclear Bank SA/NV, as operator of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16"/>
          <w:szCs w:val="16"/>
          <w:i w:val="1"/>
          <w:iCs w:val="1"/>
          <w:color w:val="auto"/>
        </w:rPr>
        <w:t>Joint Book-Running Managers</w:t>
      </w:r>
    </w:p>
    <w:p>
      <w:pPr>
        <w:spacing w:after="0" w:line="232" w:lineRule="exact"/>
        <w:rPr>
          <w:sz w:val="24"/>
          <w:szCs w:val="24"/>
          <w:color w:val="auto"/>
        </w:rPr>
      </w:pPr>
    </w:p>
    <w:p>
      <w:pPr>
        <w:ind w:left="120"/>
        <w:spacing w:after="0"/>
        <w:tabs>
          <w:tab w:leader="none" w:pos="5360" w:val="left"/>
          <w:tab w:leader="none" w:pos="992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HSBC</w:t>
      </w:r>
      <w:r>
        <w:rPr>
          <w:sz w:val="20"/>
          <w:szCs w:val="20"/>
          <w:color w:val="auto"/>
        </w:rPr>
        <w:tab/>
      </w:r>
      <w:r>
        <w:rPr>
          <w:rFonts w:ascii="Arial" w:cs="Arial" w:eastAsia="Arial" w:hAnsi="Arial"/>
          <w:sz w:val="21"/>
          <w:szCs w:val="21"/>
          <w:b w:val="1"/>
          <w:bCs w:val="1"/>
          <w:color w:val="auto"/>
        </w:rPr>
        <w:t>J.P. Morgan</w:t>
      </w:r>
    </w:p>
    <w:p>
      <w:pPr>
        <w:sectPr>
          <w:pgSz w:w="11900" w:h="16838" w:orient="portrait"/>
          <w:cols w:equalWidth="0" w:num="1">
            <w:col w:w="11140"/>
          </w:cols>
          <w:pgMar w:left="320" w:top="226" w:right="439" w:bottom="57" w:gutter="0" w:footer="0" w:header="0"/>
        </w:sectPr>
      </w:pP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May    , 2024</w:t>
      </w:r>
    </w:p>
    <w:p>
      <w:pPr>
        <w:sectPr>
          <w:pgSz w:w="11900" w:h="16838" w:orient="portrait"/>
          <w:cols w:equalWidth="0" w:num="1">
            <w:col w:w="11140"/>
          </w:cols>
          <w:pgMar w:left="320" w:top="226" w:right="439" w:bottom="57"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10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80" w:type="dxa"/>
            <w:vAlign w:val="bottom"/>
            <w:gridSpan w:val="19"/>
            <w:vMerge w:val="restart"/>
          </w:tcPr>
          <w:p>
            <w:pPr>
              <w:spacing w:after="0"/>
              <w:rPr>
                <w:sz w:val="20"/>
                <w:szCs w:val="20"/>
                <w:color w:val="auto"/>
              </w:rPr>
            </w:pPr>
            <w:r>
              <w:rPr>
                <w:rFonts w:ascii="Arial" w:cs="Arial" w:eastAsia="Arial" w:hAnsi="Arial"/>
                <w:sz w:val="18"/>
                <w:szCs w:val="18"/>
                <w:color w:val="0000EE"/>
                <w:w w:val="99"/>
              </w:rPr>
              <w:t>Cautionary Statement Regarding Forward-Looking Statements</w:t>
            </w:r>
          </w:p>
        </w:tc>
        <w:tc>
          <w:tcPr>
            <w:tcW w:w="5480" w:type="dxa"/>
            <w:vAlign w:val="bottom"/>
          </w:tcPr>
          <w:p>
            <w:pPr>
              <w:spacing w:after="0"/>
              <w:rPr>
                <w:sz w:val="14"/>
                <w:szCs w:val="14"/>
                <w:color w:val="auto"/>
              </w:rPr>
            </w:pPr>
          </w:p>
        </w:tc>
        <w:tc>
          <w:tcPr>
            <w:tcW w:w="5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980" w:type="dxa"/>
            <w:vAlign w:val="bottom"/>
            <w:tcBorders>
              <w:bottom w:val="single" w:sz="8" w:color="0000EE"/>
            </w:tcBorders>
            <w:gridSpan w:val="19"/>
            <w:vMerge w:val="continue"/>
          </w:tcPr>
          <w:p>
            <w:pPr>
              <w:spacing w:after="0"/>
              <w:rPr>
                <w:sz w:val="13"/>
                <w:szCs w:val="13"/>
                <w:color w:val="auto"/>
              </w:rPr>
            </w:pPr>
          </w:p>
        </w:tc>
        <w:tc>
          <w:tcPr>
            <w:tcW w:w="5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S-iii</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gridSpan w:val="19"/>
          </w:tcPr>
          <w:p>
            <w:pPr>
              <w:spacing w:after="0" w:line="196" w:lineRule="exact"/>
              <w:rPr>
                <w:sz w:val="20"/>
                <w:szCs w:val="20"/>
                <w:color w:val="auto"/>
              </w:rPr>
            </w:pPr>
            <w:r>
              <w:rPr>
                <w:rFonts w:ascii="Arial" w:cs="Arial" w:eastAsia="Arial" w:hAnsi="Arial"/>
                <w:sz w:val="18"/>
                <w:szCs w:val="18"/>
                <w:color w:val="0000EE"/>
              </w:rPr>
              <w:t>Summary</w:t>
            </w:r>
          </w:p>
        </w:tc>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vMerge w:val="restart"/>
          </w:tcPr>
          <w:p>
            <w:pPr>
              <w:jc w:val="right"/>
              <w:ind w:right="40"/>
              <w:spacing w:after="0" w:line="202" w:lineRule="exact"/>
              <w:rPr>
                <w:sz w:val="20"/>
                <w:szCs w:val="20"/>
                <w:color w:val="auto"/>
              </w:rPr>
            </w:pPr>
            <w:r>
              <w:rPr>
                <w:rFonts w:ascii="Arial" w:cs="Arial" w:eastAsia="Arial" w:hAnsi="Arial"/>
                <w:sz w:val="18"/>
                <w:szCs w:val="18"/>
                <w:color w:val="auto"/>
              </w:rPr>
              <w:t>S-3</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The Offering</w:t>
            </w: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Risk Factors</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Use of Proceeds</w:t>
            </w: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tcPr>
          <w:p>
            <w:pPr>
              <w:jc w:val="right"/>
              <w:ind w:right="40"/>
              <w:spacing w:after="0" w:line="18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vMerge w:val="restart"/>
          </w:tcPr>
          <w:p>
            <w:pPr>
              <w:jc w:val="right"/>
              <w:ind w:right="40"/>
              <w:spacing w:after="0" w:line="202" w:lineRule="exact"/>
              <w:rPr>
                <w:sz w:val="20"/>
                <w:szCs w:val="20"/>
                <w:color w:val="auto"/>
              </w:rPr>
            </w:pPr>
            <w:r>
              <w:rPr>
                <w:rFonts w:ascii="Arial" w:cs="Arial" w:eastAsia="Arial" w:hAnsi="Arial"/>
                <w:sz w:val="18"/>
                <w:szCs w:val="18"/>
                <w:color w:val="auto"/>
              </w:rPr>
              <w:t>S-9</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Description of the Notes</w:t>
            </w:r>
          </w:p>
        </w:tc>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2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3"/>
              </w:rPr>
              <w:t>Non-U.S. Federal Income</w:t>
            </w:r>
          </w:p>
        </w:tc>
        <w:tc>
          <w:tcPr>
            <w:tcW w:w="3060" w:type="dxa"/>
            <w:vAlign w:val="bottom"/>
            <w:gridSpan w:val="6"/>
          </w:tcPr>
          <w:p>
            <w:pPr>
              <w:ind w:left="160"/>
              <w:spacing w:after="0" w:line="182" w:lineRule="exact"/>
              <w:rPr>
                <w:sz w:val="20"/>
                <w:szCs w:val="20"/>
                <w:color w:val="auto"/>
              </w:rPr>
            </w:pPr>
            <w:r>
              <w:rPr>
                <w:rFonts w:ascii="Arial" w:cs="Arial" w:eastAsia="Arial" w:hAnsi="Arial"/>
                <w:sz w:val="18"/>
                <w:szCs w:val="18"/>
                <w:color w:val="0000EE"/>
              </w:rPr>
              <w:t>Tax Considerations</w:t>
            </w: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362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U.S. Federal Income Tax Considerations</w:t>
            </w:r>
          </w:p>
        </w:tc>
        <w:tc>
          <w:tcPr>
            <w:tcW w:w="13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183"/>
        </w:trPr>
        <w:tc>
          <w:tcPr>
            <w:tcW w:w="322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Underwriting</w:t>
            </w:r>
          </w:p>
        </w:tc>
        <w:tc>
          <w:tcPr>
            <w:tcW w:w="100" w:type="dxa"/>
            <w:vAlign w:val="bottom"/>
          </w:tcPr>
          <w:p>
            <w:pPr>
              <w:spacing w:after="0"/>
              <w:rPr>
                <w:sz w:val="15"/>
                <w:szCs w:val="15"/>
                <w:color w:val="auto"/>
              </w:rPr>
            </w:pPr>
          </w:p>
        </w:tc>
        <w:tc>
          <w:tcPr>
            <w:tcW w:w="1660" w:type="dxa"/>
            <w:vAlign w:val="bottom"/>
            <w:gridSpan w:val="2"/>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S-36</w:t>
            </w:r>
          </w:p>
        </w:tc>
        <w:tc>
          <w:tcPr>
            <w:tcW w:w="0" w:type="dxa"/>
            <w:vAlign w:val="bottom"/>
          </w:tcPr>
          <w:p>
            <w:pPr>
              <w:spacing w:after="0"/>
              <w:rPr>
                <w:sz w:val="1"/>
                <w:szCs w:val="1"/>
                <w:color w:val="auto"/>
              </w:rPr>
            </w:pPr>
          </w:p>
        </w:tc>
      </w:tr>
      <w:tr>
        <w:trPr>
          <w:trHeight w:val="183"/>
        </w:trPr>
        <w:tc>
          <w:tcPr>
            <w:tcW w:w="104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3"/>
              </w:rPr>
              <w:t>Legal Matters</w:t>
            </w:r>
          </w:p>
        </w:tc>
        <w:tc>
          <w:tcPr>
            <w:tcW w:w="40" w:type="dxa"/>
            <w:vAlign w:val="bottom"/>
            <w:tcBorders>
              <w:bottom w:val="single" w:sz="8" w:color="0000EE"/>
            </w:tcBorders>
          </w:tcPr>
          <w:p>
            <w:pPr>
              <w:spacing w:after="0"/>
              <w:rPr>
                <w:sz w:val="15"/>
                <w:szCs w:val="15"/>
                <w:color w:val="auto"/>
              </w:rPr>
            </w:pPr>
          </w:p>
        </w:tc>
        <w:tc>
          <w:tcPr>
            <w:tcW w:w="4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660" w:type="dxa"/>
            <w:vAlign w:val="bottom"/>
            <w:gridSpan w:val="2"/>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S-42</w:t>
            </w:r>
          </w:p>
        </w:tc>
        <w:tc>
          <w:tcPr>
            <w:tcW w:w="0" w:type="dxa"/>
            <w:vAlign w:val="bottom"/>
          </w:tcPr>
          <w:p>
            <w:pPr>
              <w:spacing w:after="0"/>
              <w:rPr>
                <w:sz w:val="1"/>
                <w:szCs w:val="1"/>
                <w:color w:val="auto"/>
              </w:rPr>
            </w:pPr>
          </w:p>
        </w:tc>
      </w:tr>
      <w:tr>
        <w:trPr>
          <w:trHeight w:val="183"/>
        </w:trPr>
        <w:tc>
          <w:tcPr>
            <w:tcW w:w="1080" w:type="dxa"/>
            <w:vAlign w:val="bottom"/>
            <w:gridSpan w:val="6"/>
          </w:tcPr>
          <w:p>
            <w:pPr>
              <w:spacing w:after="0" w:line="182" w:lineRule="exact"/>
              <w:rPr>
                <w:sz w:val="20"/>
                <w:szCs w:val="20"/>
                <w:color w:val="auto"/>
              </w:rPr>
            </w:pPr>
            <w:r>
              <w:rPr>
                <w:rFonts w:ascii="Arial" w:cs="Arial" w:eastAsia="Arial" w:hAnsi="Arial"/>
                <w:sz w:val="18"/>
                <w:szCs w:val="18"/>
                <w:color w:val="0000EE"/>
              </w:rPr>
              <w:t>Experts</w:t>
            </w:r>
          </w:p>
        </w:tc>
        <w:tc>
          <w:tcPr>
            <w:tcW w:w="4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660" w:type="dxa"/>
            <w:vAlign w:val="bottom"/>
            <w:gridSpan w:val="2"/>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S-42</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rPr>
              <w:t>Where</w:t>
            </w:r>
          </w:p>
        </w:tc>
        <w:tc>
          <w:tcPr>
            <w:tcW w:w="2460" w:type="dxa"/>
            <w:vAlign w:val="bottom"/>
            <w:tcBorders>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8"/>
              </w:rPr>
              <w:t>you Can Find More Information</w:t>
            </w:r>
          </w:p>
        </w:tc>
        <w:tc>
          <w:tcPr>
            <w:tcW w:w="1920" w:type="dxa"/>
            <w:vAlign w:val="bottom"/>
            <w:gridSpan w:val="4"/>
          </w:tcPr>
          <w:p>
            <w:pPr>
              <w:spacing w:after="0"/>
              <w:rPr>
                <w:sz w:val="15"/>
                <w:szCs w:val="15"/>
                <w:color w:val="auto"/>
              </w:rPr>
            </w:pP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S-42</w:t>
            </w:r>
          </w:p>
        </w:tc>
        <w:tc>
          <w:tcPr>
            <w:tcW w:w="0" w:type="dxa"/>
            <w:vAlign w:val="bottom"/>
          </w:tcPr>
          <w:p>
            <w:pPr>
              <w:spacing w:after="0"/>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Incorporation of Documents by Reference</w:t>
            </w:r>
          </w:p>
        </w:tc>
        <w:tc>
          <w:tcPr>
            <w:tcW w:w="5480" w:type="dxa"/>
            <w:vAlign w:val="bottom"/>
          </w:tcPr>
          <w:p>
            <w:pPr>
              <w:spacing w:after="0"/>
              <w:rPr>
                <w:sz w:val="15"/>
                <w:szCs w:val="15"/>
                <w:color w:val="auto"/>
              </w:rPr>
            </w:pPr>
          </w:p>
        </w:tc>
        <w:tc>
          <w:tcPr>
            <w:tcW w:w="520" w:type="dxa"/>
            <w:vAlign w:val="bottom"/>
            <w:gridSpan w:val="4"/>
          </w:tcPr>
          <w:p>
            <w:pPr>
              <w:jc w:val="right"/>
              <w:ind w:right="40"/>
              <w:spacing w:after="0" w:line="182" w:lineRule="exact"/>
              <w:rPr>
                <w:sz w:val="20"/>
                <w:szCs w:val="20"/>
                <w:color w:val="auto"/>
              </w:rPr>
            </w:pPr>
            <w:r>
              <w:rPr>
                <w:rFonts w:ascii="Arial" w:cs="Arial" w:eastAsia="Arial" w:hAnsi="Arial"/>
                <w:sz w:val="18"/>
                <w:szCs w:val="18"/>
                <w:color w:val="auto"/>
              </w:rPr>
              <w:t>S-42</w:t>
            </w:r>
          </w:p>
        </w:tc>
        <w:tc>
          <w:tcPr>
            <w:tcW w:w="0" w:type="dxa"/>
            <w:vAlign w:val="bottom"/>
          </w:tcPr>
          <w:p>
            <w:pPr>
              <w:spacing w:after="0"/>
              <w:rPr>
                <w:sz w:val="1"/>
                <w:szCs w:val="1"/>
                <w:color w:val="auto"/>
              </w:rPr>
            </w:pPr>
          </w:p>
        </w:tc>
      </w:tr>
      <w:tr>
        <w:trPr>
          <w:trHeight w:val="451"/>
        </w:trPr>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0" w:type="dxa"/>
            <w:vAlign w:val="bottom"/>
            <w:gridSpan w:val="5"/>
          </w:tcPr>
          <w:p>
            <w:pPr>
              <w:ind w:left="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80"/>
        </w:trPr>
        <w:tc>
          <w:tcPr>
            <w:tcW w:w="4980" w:type="dxa"/>
            <w:vAlign w:val="bottom"/>
            <w:gridSpan w:val="19"/>
            <w:vMerge w:val="restart"/>
          </w:tcPr>
          <w:p>
            <w:pPr>
              <w:spacing w:after="0"/>
              <w:rPr>
                <w:sz w:val="20"/>
                <w:szCs w:val="20"/>
                <w:color w:val="auto"/>
              </w:rPr>
            </w:pPr>
            <w:r>
              <w:rPr>
                <w:rFonts w:ascii="Arial" w:cs="Arial" w:eastAsia="Arial" w:hAnsi="Arial"/>
                <w:sz w:val="18"/>
                <w:szCs w:val="18"/>
                <w:color w:val="0000EE"/>
              </w:rPr>
              <w:t>About this Prospectus</w:t>
            </w:r>
          </w:p>
        </w:tc>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4980" w:type="dxa"/>
            <w:vAlign w:val="bottom"/>
            <w:gridSpan w:val="19"/>
            <w:vMerge w:val="continue"/>
          </w:tcPr>
          <w:p>
            <w:pPr>
              <w:spacing w:after="0"/>
              <w:rPr>
                <w:sz w:val="13"/>
                <w:szCs w:val="13"/>
                <w:color w:val="auto"/>
              </w:rPr>
            </w:pPr>
          </w:p>
        </w:tc>
        <w:tc>
          <w:tcPr>
            <w:tcW w:w="5620" w:type="dxa"/>
            <w:vAlign w:val="bottom"/>
            <w:gridSpan w:val="2"/>
          </w:tcPr>
          <w:p>
            <w:pPr>
              <w:spacing w:after="0"/>
              <w:rPr>
                <w:sz w:val="13"/>
                <w:szCs w:val="13"/>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About the Guarantor</w:t>
            </w:r>
          </w:p>
        </w:tc>
        <w:tc>
          <w:tcPr>
            <w:tcW w:w="3240" w:type="dxa"/>
            <w:vAlign w:val="bottom"/>
            <w:gridSpan w:val="8"/>
          </w:tcPr>
          <w:p>
            <w:pPr>
              <w:spacing w:after="0"/>
              <w:rPr>
                <w:sz w:val="17"/>
                <w:szCs w:val="17"/>
                <w:color w:val="auto"/>
              </w:rPr>
            </w:pPr>
          </w:p>
        </w:tc>
        <w:tc>
          <w:tcPr>
            <w:tcW w:w="600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6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About the Company</w:t>
            </w:r>
          </w:p>
        </w:tc>
        <w:tc>
          <w:tcPr>
            <w:tcW w:w="2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920" w:type="dxa"/>
            <w:vAlign w:val="bottom"/>
            <w:gridSpan w:val="4"/>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58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89"/>
              </w:rPr>
              <w:t>Cautionary Statement</w:t>
            </w:r>
          </w:p>
        </w:tc>
        <w:tc>
          <w:tcPr>
            <w:tcW w:w="3400" w:type="dxa"/>
            <w:vAlign w:val="bottom"/>
            <w:tcBorders>
              <w:bottom w:val="single" w:sz="8" w:color="0000EE"/>
            </w:tcBorders>
            <w:gridSpan w:val="10"/>
          </w:tcPr>
          <w:p>
            <w:pPr>
              <w:ind w:left="200"/>
              <w:spacing w:after="0" w:line="182" w:lineRule="exact"/>
              <w:rPr>
                <w:sz w:val="20"/>
                <w:szCs w:val="20"/>
                <w:color w:val="auto"/>
              </w:rPr>
            </w:pPr>
            <w:r>
              <w:rPr>
                <w:rFonts w:ascii="Arial" w:cs="Arial" w:eastAsia="Arial" w:hAnsi="Arial"/>
                <w:sz w:val="18"/>
                <w:szCs w:val="18"/>
                <w:color w:val="0000EE"/>
                <w:w w:val="99"/>
              </w:rPr>
              <w:t>Regarding Forward-Looking Statements</w:t>
            </w: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Risk Factors</w:t>
            </w: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0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Where You</w:t>
            </w:r>
          </w:p>
        </w:tc>
        <w:tc>
          <w:tcPr>
            <w:tcW w:w="3960" w:type="dxa"/>
            <w:vAlign w:val="bottom"/>
            <w:gridSpan w:val="15"/>
          </w:tcPr>
          <w:p>
            <w:pPr>
              <w:spacing w:after="0" w:line="182" w:lineRule="exact"/>
              <w:rPr>
                <w:sz w:val="20"/>
                <w:szCs w:val="20"/>
                <w:color w:val="auto"/>
              </w:rPr>
            </w:pPr>
            <w:r>
              <w:rPr>
                <w:rFonts w:ascii="Arial" w:cs="Arial" w:eastAsia="Arial" w:hAnsi="Arial"/>
                <w:sz w:val="18"/>
                <w:szCs w:val="18"/>
                <w:color w:val="0000EE"/>
              </w:rPr>
              <w:t>Can Find More Information</w:t>
            </w: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500" w:type="dxa"/>
            <w:vAlign w:val="bottom"/>
            <w:gridSpan w:val="8"/>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000" w:type="dxa"/>
            <w:vAlign w:val="bottom"/>
            <w:gridSpan w:val="5"/>
            <w:vMerge w:val="restart"/>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Incorporation of Documents by Reference</w:t>
            </w:r>
          </w:p>
        </w:tc>
        <w:tc>
          <w:tcPr>
            <w:tcW w:w="60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Use of Proceeds</w:t>
            </w:r>
          </w:p>
        </w:tc>
        <w:tc>
          <w:tcPr>
            <w:tcW w:w="1660" w:type="dxa"/>
            <w:vAlign w:val="bottom"/>
            <w:gridSpan w:val="2"/>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6000" w:type="dxa"/>
            <w:vAlign w:val="bottom"/>
            <w:gridSpan w:val="5"/>
            <w:vMerge w:val="restart"/>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Description of Debt Securities</w:t>
            </w:r>
          </w:p>
        </w:tc>
        <w:tc>
          <w:tcPr>
            <w:tcW w:w="60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Plan of Distribution</w:t>
            </w:r>
          </w:p>
        </w:tc>
        <w:tc>
          <w:tcPr>
            <w:tcW w:w="2620" w:type="dxa"/>
            <w:vAlign w:val="bottom"/>
            <w:gridSpan w:val="5"/>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500" w:type="dxa"/>
            <w:vAlign w:val="bottom"/>
            <w:gridSpan w:val="8"/>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000" w:type="dxa"/>
            <w:vAlign w:val="bottom"/>
            <w:gridSpan w:val="5"/>
            <w:vMerge w:val="restart"/>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4980" w:type="dxa"/>
            <w:vAlign w:val="bottom"/>
            <w:gridSpan w:val="19"/>
          </w:tcPr>
          <w:p>
            <w:pPr>
              <w:spacing w:after="0" w:line="182" w:lineRule="exact"/>
              <w:rPr>
                <w:sz w:val="20"/>
                <w:szCs w:val="20"/>
                <w:color w:val="auto"/>
              </w:rPr>
            </w:pPr>
            <w:r>
              <w:rPr>
                <w:rFonts w:ascii="Arial" w:cs="Arial" w:eastAsia="Arial" w:hAnsi="Arial"/>
                <w:sz w:val="18"/>
                <w:szCs w:val="18"/>
                <w:color w:val="0000EE"/>
              </w:rPr>
              <w:t>Validity of the Securities</w:t>
            </w:r>
          </w:p>
        </w:tc>
        <w:tc>
          <w:tcPr>
            <w:tcW w:w="60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0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Experts</w:t>
            </w:r>
          </w:p>
        </w:tc>
        <w:tc>
          <w:tcPr>
            <w:tcW w:w="3080" w:type="dxa"/>
            <w:vAlign w:val="bottom"/>
            <w:gridSpan w:val="7"/>
          </w:tcPr>
          <w:p>
            <w:pPr>
              <w:spacing w:after="0"/>
              <w:rPr>
                <w:sz w:val="15"/>
                <w:szCs w:val="15"/>
                <w:color w:val="auto"/>
              </w:rPr>
            </w:pPr>
          </w:p>
        </w:tc>
        <w:tc>
          <w:tcPr>
            <w:tcW w:w="6000" w:type="dxa"/>
            <w:vAlign w:val="bottom"/>
            <w:gridSpan w:val="5"/>
          </w:tcPr>
          <w:p>
            <w:pPr>
              <w:jc w:val="right"/>
              <w:ind w:right="2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117"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Schlumberger Investment S.A., as defined on the first page of this prospectus supplement;</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“Guarantor” refers to Schlumberger Limited, the ultimate parent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“SLB Group” or “SLB” refers to Schlumberger Limited and its consolidated subsidiaries, including the Company; and</w:t>
      </w:r>
    </w:p>
    <w:p>
      <w:pPr>
        <w:spacing w:after="0" w:line="117"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SLB Group, including the Company, except when used in connection with the “Notes,” in which case these terms refer solely to the Company.</w:t>
      </w:r>
    </w:p>
    <w:p>
      <w:pPr>
        <w:spacing w:after="0" w:line="154" w:lineRule="exact"/>
        <w:rPr>
          <w:sz w:val="20"/>
          <w:szCs w:val="20"/>
          <w:color w:val="auto"/>
        </w:rPr>
      </w:pPr>
    </w:p>
    <w:p>
      <w:pPr>
        <w:ind w:left="120" w:right="160" w:firstLine="440"/>
        <w:spacing w:after="0" w:line="242"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 the accompanying prospectus. If the description of the Notes varies between this prospectus supplement and the accompanying prospectus, you should rely on the information in this prospectus supplement.</w:t>
      </w:r>
    </w:p>
    <w:p>
      <w:pPr>
        <w:spacing w:after="0" w:line="179"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the accompanying prospectus and any related free writing prospectus issued by us or on our behalf. We have not, and the underwriters have not, authorized any other person to provide you with information other than that contained or incorporated by reference in this prospectus supplement and the accompanying prospectus or in any related free writing prospectus. The information contained or incorporated by reference in this prospectus supplement and the accompanying prospectus is accurate as of the date on the front cover of such documents only. The business, properties, assets, results of operations, financial position or prospects of the Company and the Guarantor may have changed since that date. Neither the delivery of this prospectus supplement nor of the accompanying prospectus, nor any sale made thereunder, will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79"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Statements that are predictive in nature, that depend upon or refer to future events or conditions, or that include words such as “expect,” “may,” “can,” “believe,” “predict,” “plan,” “potential,” “projected,” “projections,” “precursor,” “forecast,” “outlook,” “expectations,” “estimate,” “intend,” “anticipate,” “ambition,” “goal,” “target,” “scheduled,” “think,” “should,” “could,” “would,” “will,” “see,” “likely,” and other similar words,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the SLB Group’s financial and performance targets and other forecasts or expectations regarding, or dependent on, its business outlook; growth for the SLB Group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the SLB Group and the oil and gas industry; the business strategies of the SLB Group, including digital and “fit for basin,” as well as the strategies of its customers; SLB’s capital allocation plans, including dividend plans and share repurchase programs; SLB’s Asset Performance Solutions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the SLB Group’s customers, and changes in the level of oil and natural gas exploration and development; the results of operations and financial condition of the SLB Group’s customers and suppliers; the SLB Group’s inability to achieve its financial and performance targets and other forecasts and expectations; the SLB Group’s inability to achieve its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the SLB Group’s supply chain; production declines; the extent of future charges; the SLB Group’s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prospectus supplement and in the Guarantor’s filings with the Securities and Exchange Commission (the “SEC”). All subsequent written and oral forward-looking statements attributable to the Company or the Guarantor or to persons acting on their behalf are expressly qualified in their entirety by reference to these risks and uncertainties.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Each forward-looking statement speaks only as of the date of the particular statement, and we undertake no obligation to publicly update or revise any forward-looking statements except as required by law.</w:t>
      </w:r>
    </w:p>
    <w:p>
      <w:pPr>
        <w:spacing w:after="0" w:line="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0960"/>
          </w:cols>
          <w:pgMar w:left="320" w:top="455"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14"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the Guarantor’s Annual Report on Form 10-K for the year ended December 31, 2023 and the Guarantor’s Quarterly Report on Form 10-Q for the fiscal quarter ended March 31, 2024.</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w:t>
      </w:r>
    </w:p>
    <w:p>
      <w:pPr>
        <w:spacing w:after="0" w:line="104" w:lineRule="exact"/>
        <w:rPr>
          <w:sz w:val="20"/>
          <w:szCs w:val="20"/>
          <w:color w:val="auto"/>
        </w:rPr>
      </w:pPr>
    </w:p>
    <w:p>
      <w:pPr>
        <w:jc w:val="both"/>
        <w:ind w:left="120" w:right="40" w:firstLine="440"/>
        <w:spacing w:after="0" w:line="253" w:lineRule="auto"/>
        <w:rPr>
          <w:sz w:val="20"/>
          <w:szCs w:val="20"/>
          <w:color w:val="auto"/>
        </w:rPr>
      </w:pPr>
      <w:r>
        <w:rPr>
          <w:rFonts w:ascii="Arial" w:cs="Arial" w:eastAsia="Arial" w:hAnsi="Arial"/>
          <w:sz w:val="18"/>
          <w:szCs w:val="18"/>
          <w:color w:val="auto"/>
        </w:rPr>
        <w:t>We are SLB, a global technology company driving energy innovation for a balanced planet. With a global presence in more than 100 countries and employees representing almost twice as many nationalities, we work each day on innovating energy technology, delivering digital at scale, decarbonizing industries, and developing and scaling new energy systems that accelerate the energy transition.</w:t>
      </w:r>
    </w:p>
    <w:p>
      <w:pPr>
        <w:spacing w:after="0" w:line="16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SLB is organized under four Divisions that combine and integrate SLB’s technologies, enhancing our ability to support the emerging long-term growth opportunities in each of these market segments. The four Divisions are Digital &amp; Integration, Reservoir Performance, Well Construction, and Production Systems.</w:t>
      </w:r>
    </w:p>
    <w:p>
      <w:pPr>
        <w:spacing w:after="0" w:line="16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Divisions operate through a geographical structure of four Basins that are aligned with critical concentrations of activity: Americas Land, Offshore Atlantic, Middle East &amp; North Africa, and Asia. The Basins are configured around common regional characteristics that enable us to deploy fit-for-purpose technologies, operating models and skills to meet the specific customer needs in each Basin. The Basins are further organized into GeoUnits, which can be a region, a single country or made up of several countries. With a strong focus on customers, the Basins identify opportunities for growth, and are focused on agility, responsiveness, and competitiveness.</w:t>
      </w:r>
    </w:p>
    <w:p>
      <w:pPr>
        <w:spacing w:after="0" w:line="179"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Supporting the Divisions is a global network of research and development centers. Through these centers we advance SLB’s technology programs to enhance industry efficiency, lower finding and producing costs, improve productivity, maximize reserve recovery, and increase asset value safely, securely, and sustainably. These centers also support SLB’s New Energy investments in lower carbon energy sources and carbon capture technologies.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the Guarantor</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was incorporated in 1956 under the laws of Curaçao. The Guarantor is the ultimate parent of the Company.</w:t>
      </w:r>
    </w:p>
    <w:p>
      <w:pPr>
        <w:spacing w:after="0" w:line="212" w:lineRule="exact"/>
        <w:rPr>
          <w:sz w:val="20"/>
          <w:szCs w:val="20"/>
          <w:color w:val="auto"/>
        </w:rPr>
      </w:pPr>
    </w:p>
    <w:p>
      <w:pPr>
        <w:ind w:left="120" w:right="560" w:firstLine="440"/>
        <w:spacing w:after="0" w:line="271" w:lineRule="auto"/>
        <w:rPr>
          <w:sz w:val="20"/>
          <w:szCs w:val="20"/>
          <w:color w:val="auto"/>
        </w:rPr>
      </w:pPr>
      <w:r>
        <w:rPr>
          <w:rFonts w:ascii="Arial" w:cs="Arial" w:eastAsia="Arial" w:hAnsi="Arial"/>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the Company</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102"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Schlumberger Investment S.A. is a public limited liability company (société anonyme) incorporated in 2011 under the laws of the Grand Duchy of Luxembourg and registered with the Luxembourg Trade and Companies Register (Registre de Commerce et des Sociétés, Luxembourg) under number B 163.122. The Company’s registered office is at 5, Place de la Gare, L-1616 Luxembourg and its telephone number is +352 284 878 1045.</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part of the SLB Group and all shares of the Company are owned indirectly by the Guarantor.</w:t>
      </w:r>
    </w:p>
    <w:p>
      <w:pPr>
        <w:spacing w:after="0" w:line="32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Activities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Concurrent Private Placement</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Concurrently with the commencement of this offering, an indirect, wholly-owned subsidiary of the Guarantor, Schlumberger Holdings Corporation, is offering two new series of senior notes due 2027 and 2029 (the “Concurrent Private Placement”). The Concurrent Private Placement is being made pursuant to a confidential offering memorandum (and not pursuant to this prospectus supplement or the accompanying prospectus) only to qualified institutional buyers (as defined in Rule 144A under the Securities Act) and persons outside the United States as defined in and pursuant to Regulation S under the Securities Act in transactions that are exempt from the registration and prospectus delivery requirements of the Securities Act. We cannot assure you that the Concurrent Private Placement will be completed or, if completed, on what terms it will be completed. The completion of the offering described in this prospectus supplement and the accompanying prospectus is not contingent on the completion of the Concurrent Private Placement (nor is the completion of the Concurrent Private Placement contingent on the completion of this offering). This prospectus supplement and the accompanying prospectus do not constitute an offer to sell, or the solicitation of an offer to buy, any of the notes being offered in the Concurrent Private Placement.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OFFERING</w:t>
      </w:r>
    </w:p>
    <w:p>
      <w:pPr>
        <w:spacing w:after="0" w:line="214" w:lineRule="exact"/>
        <w:rPr>
          <w:sz w:val="20"/>
          <w:szCs w:val="20"/>
          <w:color w:val="auto"/>
        </w:rPr>
      </w:pPr>
    </w:p>
    <w:p>
      <w:pPr>
        <w:jc w:val="both"/>
        <w:ind w:left="120" w:right="280" w:firstLine="440"/>
        <w:spacing w:after="0" w:line="252"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700" w:type="dxa"/>
            <w:vAlign w:val="bottom"/>
          </w:tcPr>
          <w:p>
            <w:pPr>
              <w:spacing w:after="0"/>
              <w:rPr>
                <w:sz w:val="20"/>
                <w:szCs w:val="20"/>
                <w:color w:val="auto"/>
              </w:rPr>
            </w:pPr>
            <w:r>
              <w:rPr>
                <w:rFonts w:ascii="Arial" w:cs="Arial" w:eastAsia="Arial" w:hAnsi="Arial"/>
                <w:sz w:val="18"/>
                <w:szCs w:val="18"/>
                <w:color w:val="auto"/>
              </w:rPr>
              <w:t>Issuer</w:t>
            </w:r>
          </w:p>
        </w:tc>
        <w:tc>
          <w:tcPr>
            <w:tcW w:w="4660" w:type="dxa"/>
            <w:vAlign w:val="bottom"/>
          </w:tcPr>
          <w:p>
            <w:pPr>
              <w:ind w:left="2140"/>
              <w:spacing w:after="0"/>
              <w:rPr>
                <w:sz w:val="20"/>
                <w:szCs w:val="20"/>
                <w:color w:val="auto"/>
              </w:rPr>
            </w:pPr>
            <w:r>
              <w:rPr>
                <w:rFonts w:ascii="Arial" w:cs="Arial" w:eastAsia="Arial" w:hAnsi="Arial"/>
                <w:sz w:val="18"/>
                <w:szCs w:val="18"/>
                <w:color w:val="auto"/>
              </w:rPr>
              <w:t>Schlumberger Investment S.A.</w:t>
            </w:r>
          </w:p>
        </w:tc>
        <w:tc>
          <w:tcPr>
            <w:tcW w:w="2620" w:type="dxa"/>
            <w:vAlign w:val="bottom"/>
          </w:tcPr>
          <w:p>
            <w:pPr>
              <w:spacing w:after="0"/>
              <w:rPr>
                <w:sz w:val="20"/>
                <w:szCs w:val="20"/>
                <w:color w:val="auto"/>
              </w:rPr>
            </w:pPr>
          </w:p>
        </w:tc>
      </w:tr>
      <w:tr>
        <w:trPr>
          <w:trHeight w:val="311"/>
        </w:trPr>
        <w:tc>
          <w:tcPr>
            <w:tcW w:w="3700" w:type="dxa"/>
            <w:vAlign w:val="bottom"/>
          </w:tcPr>
          <w:p>
            <w:pPr>
              <w:spacing w:after="0"/>
              <w:rPr>
                <w:sz w:val="20"/>
                <w:szCs w:val="20"/>
                <w:color w:val="auto"/>
              </w:rPr>
            </w:pPr>
            <w:r>
              <w:rPr>
                <w:rFonts w:ascii="Arial" w:cs="Arial" w:eastAsia="Arial" w:hAnsi="Arial"/>
                <w:sz w:val="18"/>
                <w:szCs w:val="18"/>
                <w:color w:val="auto"/>
              </w:rPr>
              <w:t>Guarantor</w:t>
            </w:r>
          </w:p>
        </w:tc>
        <w:tc>
          <w:tcPr>
            <w:tcW w:w="4660" w:type="dxa"/>
            <w:vAlign w:val="bottom"/>
          </w:tcPr>
          <w:p>
            <w:pPr>
              <w:ind w:left="2140"/>
              <w:spacing w:after="0"/>
              <w:rPr>
                <w:sz w:val="20"/>
                <w:szCs w:val="20"/>
                <w:color w:val="auto"/>
              </w:rPr>
            </w:pPr>
            <w:r>
              <w:rPr>
                <w:rFonts w:ascii="Arial" w:cs="Arial" w:eastAsia="Arial" w:hAnsi="Arial"/>
                <w:sz w:val="18"/>
                <w:szCs w:val="18"/>
                <w:color w:val="auto"/>
              </w:rPr>
              <w:t>Schlumberger Limited.</w:t>
            </w:r>
          </w:p>
        </w:tc>
        <w:tc>
          <w:tcPr>
            <w:tcW w:w="2620" w:type="dxa"/>
            <w:vAlign w:val="bottom"/>
          </w:tcPr>
          <w:p>
            <w:pPr>
              <w:spacing w:after="0"/>
              <w:rPr>
                <w:sz w:val="24"/>
                <w:szCs w:val="24"/>
                <w:color w:val="auto"/>
              </w:rPr>
            </w:pPr>
          </w:p>
        </w:tc>
      </w:tr>
      <w:tr>
        <w:trPr>
          <w:trHeight w:val="310"/>
        </w:trPr>
        <w:tc>
          <w:tcPr>
            <w:tcW w:w="3700" w:type="dxa"/>
            <w:vAlign w:val="bottom"/>
          </w:tcPr>
          <w:p>
            <w:pPr>
              <w:spacing w:after="0"/>
              <w:rPr>
                <w:sz w:val="20"/>
                <w:szCs w:val="20"/>
                <w:color w:val="auto"/>
              </w:rPr>
            </w:pPr>
            <w:r>
              <w:rPr>
                <w:rFonts w:ascii="Arial" w:cs="Arial" w:eastAsia="Arial" w:hAnsi="Arial"/>
                <w:sz w:val="18"/>
                <w:szCs w:val="18"/>
                <w:color w:val="auto"/>
              </w:rPr>
              <w:t>Notes Offered</w:t>
            </w: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U.S.$            principal amount of    % Senior Notes due 2034.</w:t>
            </w:r>
          </w:p>
        </w:tc>
      </w:tr>
      <w:tr>
        <w:trPr>
          <w:trHeight w:val="311"/>
        </w:trPr>
        <w:tc>
          <w:tcPr>
            <w:tcW w:w="3700" w:type="dxa"/>
            <w:vAlign w:val="bottom"/>
          </w:tcPr>
          <w:p>
            <w:pPr>
              <w:spacing w:after="0"/>
              <w:rPr>
                <w:sz w:val="20"/>
                <w:szCs w:val="20"/>
                <w:color w:val="auto"/>
              </w:rPr>
            </w:pPr>
            <w:r>
              <w:rPr>
                <w:rFonts w:ascii="Arial" w:cs="Arial" w:eastAsia="Arial" w:hAnsi="Arial"/>
                <w:sz w:val="18"/>
                <w:szCs w:val="18"/>
                <w:color w:val="auto"/>
              </w:rPr>
              <w:t>Maturity Date</w:t>
            </w:r>
          </w:p>
        </w:tc>
        <w:tc>
          <w:tcPr>
            <w:tcW w:w="4660" w:type="dxa"/>
            <w:vAlign w:val="bottom"/>
          </w:tcPr>
          <w:p>
            <w:pPr>
              <w:ind w:left="2140"/>
              <w:spacing w:after="0"/>
              <w:rPr>
                <w:sz w:val="20"/>
                <w:szCs w:val="20"/>
                <w:color w:val="auto"/>
              </w:rPr>
            </w:pPr>
            <w:r>
              <w:rPr>
                <w:rFonts w:ascii="Arial" w:cs="Arial" w:eastAsia="Arial" w:hAnsi="Arial"/>
                <w:sz w:val="18"/>
                <w:szCs w:val="18"/>
                <w:color w:val="auto"/>
              </w:rPr>
              <w:t xml:space="preserve">The Notes will mature on        </w:t>
            </w:r>
          </w:p>
        </w:tc>
        <w:tc>
          <w:tcPr>
            <w:tcW w:w="2620" w:type="dxa"/>
            <w:vAlign w:val="bottom"/>
          </w:tcPr>
          <w:p>
            <w:pPr>
              <w:ind w:left="60"/>
              <w:spacing w:after="0"/>
              <w:rPr>
                <w:sz w:val="20"/>
                <w:szCs w:val="20"/>
                <w:color w:val="auto"/>
              </w:rPr>
            </w:pPr>
            <w:r>
              <w:rPr>
                <w:rFonts w:ascii="Arial" w:cs="Arial" w:eastAsia="Arial" w:hAnsi="Arial"/>
                <w:sz w:val="18"/>
                <w:szCs w:val="18"/>
                <w:color w:val="auto"/>
              </w:rPr>
              <w:t>   , 2034.</w:t>
            </w:r>
          </w:p>
        </w:tc>
      </w:tr>
      <w:tr>
        <w:trPr>
          <w:trHeight w:val="310"/>
        </w:trPr>
        <w:tc>
          <w:tcPr>
            <w:tcW w:w="3700" w:type="dxa"/>
            <w:vAlign w:val="bottom"/>
          </w:tcPr>
          <w:p>
            <w:pPr>
              <w:spacing w:after="0"/>
              <w:rPr>
                <w:sz w:val="20"/>
                <w:szCs w:val="20"/>
                <w:color w:val="auto"/>
              </w:rPr>
            </w:pPr>
            <w:r>
              <w:rPr>
                <w:rFonts w:ascii="Arial" w:cs="Arial" w:eastAsia="Arial" w:hAnsi="Arial"/>
                <w:sz w:val="18"/>
                <w:szCs w:val="18"/>
                <w:color w:val="auto"/>
              </w:rPr>
              <w:t>Interest</w:t>
            </w:r>
          </w:p>
        </w:tc>
        <w:tc>
          <w:tcPr>
            <w:tcW w:w="4660" w:type="dxa"/>
            <w:vAlign w:val="bottom"/>
          </w:tcPr>
          <w:p>
            <w:pPr>
              <w:ind w:left="2140"/>
              <w:spacing w:after="0"/>
              <w:rPr>
                <w:sz w:val="20"/>
                <w:szCs w:val="20"/>
                <w:color w:val="auto"/>
              </w:rPr>
            </w:pPr>
            <w:r>
              <w:rPr>
                <w:rFonts w:ascii="Arial" w:cs="Arial" w:eastAsia="Arial" w:hAnsi="Arial"/>
                <w:sz w:val="18"/>
                <w:szCs w:val="18"/>
                <w:color w:val="auto"/>
                <w:w w:val="95"/>
              </w:rPr>
              <w:t>The Notes will bear interest at  </w:t>
            </w:r>
          </w:p>
        </w:tc>
        <w:tc>
          <w:tcPr>
            <w:tcW w:w="2620" w:type="dxa"/>
            <w:vAlign w:val="bottom"/>
          </w:tcPr>
          <w:p>
            <w:pPr>
              <w:ind w:left="100"/>
              <w:spacing w:after="0"/>
              <w:rPr>
                <w:sz w:val="20"/>
                <w:szCs w:val="20"/>
                <w:color w:val="auto"/>
              </w:rPr>
            </w:pPr>
            <w:r>
              <w:rPr>
                <w:rFonts w:ascii="Arial" w:cs="Arial" w:eastAsia="Arial" w:hAnsi="Arial"/>
                <w:sz w:val="18"/>
                <w:szCs w:val="18"/>
                <w:color w:val="auto"/>
              </w:rPr>
              <w:t>% per annum.</w:t>
            </w:r>
          </w:p>
        </w:tc>
      </w:tr>
      <w:tr>
        <w:trPr>
          <w:trHeight w:val="274"/>
        </w:trPr>
        <w:tc>
          <w:tcPr>
            <w:tcW w:w="37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 xml:space="preserve">Interest on the Notes will be payable semi-annually on           </w:t>
            </w:r>
          </w:p>
        </w:tc>
      </w:tr>
      <w:tr>
        <w:trPr>
          <w:trHeight w:val="239"/>
        </w:trPr>
        <w:tc>
          <w:tcPr>
            <w:tcW w:w="3700" w:type="dxa"/>
            <w:vAlign w:val="bottom"/>
          </w:tcPr>
          <w:p>
            <w:pPr>
              <w:spacing w:after="0"/>
              <w:rPr>
                <w:sz w:val="20"/>
                <w:szCs w:val="20"/>
                <w:color w:val="auto"/>
              </w:rPr>
            </w:pP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and             of each year, commencing             , 2024.</w:t>
            </w:r>
          </w:p>
        </w:tc>
      </w:tr>
      <w:tr>
        <w:trPr>
          <w:trHeight w:val="274"/>
        </w:trPr>
        <w:tc>
          <w:tcPr>
            <w:tcW w:w="3700" w:type="dxa"/>
            <w:vAlign w:val="bottom"/>
          </w:tcPr>
          <w:p>
            <w:pPr>
              <w:spacing w:after="0"/>
              <w:rPr>
                <w:sz w:val="20"/>
                <w:szCs w:val="20"/>
                <w:color w:val="auto"/>
              </w:rPr>
            </w:pPr>
            <w:r>
              <w:rPr>
                <w:rFonts w:ascii="Arial" w:cs="Arial" w:eastAsia="Arial" w:hAnsi="Arial"/>
                <w:sz w:val="18"/>
                <w:szCs w:val="18"/>
                <w:color w:val="auto"/>
              </w:rPr>
              <w:t>Guarantee</w:t>
            </w: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The Guarantor will fully and unconditionally guarantee the</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w w:val="99"/>
              </w:rPr>
              <w:t>principal of, and any premium and interest on, the Notes and the</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Company’s obligations under the indenture, as described under</w:t>
            </w:r>
          </w:p>
        </w:tc>
      </w:tr>
      <w:tr>
        <w:trPr>
          <w:trHeight w:val="239"/>
        </w:trPr>
        <w:tc>
          <w:tcPr>
            <w:tcW w:w="3700" w:type="dxa"/>
            <w:vAlign w:val="bottom"/>
          </w:tcPr>
          <w:p>
            <w:pPr>
              <w:spacing w:after="0"/>
              <w:rPr>
                <w:sz w:val="20"/>
                <w:szCs w:val="20"/>
                <w:color w:val="auto"/>
              </w:rPr>
            </w:pP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“Description of the Notes—Guarantee.”</w:t>
            </w:r>
          </w:p>
        </w:tc>
      </w:tr>
      <w:tr>
        <w:trPr>
          <w:trHeight w:val="288"/>
        </w:trPr>
        <w:tc>
          <w:tcPr>
            <w:tcW w:w="3700" w:type="dxa"/>
            <w:vAlign w:val="bottom"/>
          </w:tcPr>
          <w:p>
            <w:pPr>
              <w:spacing w:after="0"/>
              <w:rPr>
                <w:sz w:val="24"/>
                <w:szCs w:val="24"/>
                <w:color w:val="auto"/>
              </w:rPr>
            </w:pP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The Notes will not be guaranteed by any of the Guarantor’s</w:t>
            </w:r>
          </w:p>
        </w:tc>
      </w:tr>
      <w:tr>
        <w:trPr>
          <w:trHeight w:val="239"/>
        </w:trPr>
        <w:tc>
          <w:tcPr>
            <w:tcW w:w="3700" w:type="dxa"/>
            <w:vAlign w:val="bottom"/>
          </w:tcPr>
          <w:p>
            <w:pPr>
              <w:spacing w:after="0"/>
              <w:rPr>
                <w:sz w:val="20"/>
                <w:szCs w:val="20"/>
                <w:color w:val="auto"/>
              </w:rPr>
            </w:pPr>
          </w:p>
        </w:tc>
        <w:tc>
          <w:tcPr>
            <w:tcW w:w="4660" w:type="dxa"/>
            <w:vAlign w:val="bottom"/>
          </w:tcPr>
          <w:p>
            <w:pPr>
              <w:ind w:left="2140"/>
              <w:spacing w:after="0"/>
              <w:rPr>
                <w:sz w:val="20"/>
                <w:szCs w:val="20"/>
                <w:color w:val="auto"/>
              </w:rPr>
            </w:pPr>
            <w:r>
              <w:rPr>
                <w:rFonts w:ascii="Arial" w:cs="Arial" w:eastAsia="Arial" w:hAnsi="Arial"/>
                <w:sz w:val="18"/>
                <w:szCs w:val="18"/>
                <w:color w:val="auto"/>
              </w:rPr>
              <w:t>subsidiaries.</w:t>
            </w:r>
          </w:p>
        </w:tc>
        <w:tc>
          <w:tcPr>
            <w:tcW w:w="2620" w:type="dxa"/>
            <w:vAlign w:val="bottom"/>
          </w:tcPr>
          <w:p>
            <w:pPr>
              <w:spacing w:after="0"/>
              <w:rPr>
                <w:sz w:val="20"/>
                <w:szCs w:val="20"/>
                <w:color w:val="auto"/>
              </w:rPr>
            </w:pPr>
          </w:p>
        </w:tc>
      </w:tr>
      <w:tr>
        <w:trPr>
          <w:trHeight w:val="288"/>
        </w:trPr>
        <w:tc>
          <w:tcPr>
            <w:tcW w:w="3700" w:type="dxa"/>
            <w:vAlign w:val="bottom"/>
          </w:tcPr>
          <w:p>
            <w:pPr>
              <w:spacing w:after="0"/>
              <w:rPr>
                <w:sz w:val="20"/>
                <w:szCs w:val="20"/>
                <w:color w:val="auto"/>
              </w:rPr>
            </w:pPr>
            <w:r>
              <w:rPr>
                <w:rFonts w:ascii="Arial" w:cs="Arial" w:eastAsia="Arial" w:hAnsi="Arial"/>
                <w:sz w:val="18"/>
                <w:szCs w:val="18"/>
                <w:color w:val="auto"/>
              </w:rPr>
              <w:t>Minimum Denominations</w:t>
            </w: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U.S.$2,000 and integral multiples of U.S.$1,000 in excess</w:t>
            </w:r>
          </w:p>
        </w:tc>
      </w:tr>
      <w:tr>
        <w:trPr>
          <w:trHeight w:val="239"/>
        </w:trPr>
        <w:tc>
          <w:tcPr>
            <w:tcW w:w="3700" w:type="dxa"/>
            <w:vAlign w:val="bottom"/>
          </w:tcPr>
          <w:p>
            <w:pPr>
              <w:spacing w:after="0"/>
              <w:rPr>
                <w:sz w:val="20"/>
                <w:szCs w:val="20"/>
                <w:color w:val="auto"/>
              </w:rPr>
            </w:pPr>
          </w:p>
        </w:tc>
        <w:tc>
          <w:tcPr>
            <w:tcW w:w="4660" w:type="dxa"/>
            <w:vAlign w:val="bottom"/>
          </w:tcPr>
          <w:p>
            <w:pPr>
              <w:ind w:left="2140"/>
              <w:spacing w:after="0"/>
              <w:rPr>
                <w:sz w:val="20"/>
                <w:szCs w:val="20"/>
                <w:color w:val="auto"/>
              </w:rPr>
            </w:pPr>
            <w:r>
              <w:rPr>
                <w:rFonts w:ascii="Arial" w:cs="Arial" w:eastAsia="Arial" w:hAnsi="Arial"/>
                <w:sz w:val="18"/>
                <w:szCs w:val="18"/>
                <w:color w:val="auto"/>
              </w:rPr>
              <w:t>thereof.</w:t>
            </w:r>
          </w:p>
        </w:tc>
        <w:tc>
          <w:tcPr>
            <w:tcW w:w="2620" w:type="dxa"/>
            <w:vAlign w:val="bottom"/>
          </w:tcPr>
          <w:p>
            <w:pPr>
              <w:spacing w:after="0"/>
              <w:rPr>
                <w:sz w:val="20"/>
                <w:szCs w:val="20"/>
                <w:color w:val="auto"/>
              </w:rPr>
            </w:pPr>
          </w:p>
        </w:tc>
      </w:tr>
      <w:tr>
        <w:trPr>
          <w:trHeight w:val="274"/>
        </w:trPr>
        <w:tc>
          <w:tcPr>
            <w:tcW w:w="3700" w:type="dxa"/>
            <w:vAlign w:val="bottom"/>
          </w:tcPr>
          <w:p>
            <w:pPr>
              <w:spacing w:after="0"/>
              <w:rPr>
                <w:sz w:val="20"/>
                <w:szCs w:val="20"/>
                <w:color w:val="auto"/>
              </w:rPr>
            </w:pPr>
            <w:r>
              <w:rPr>
                <w:rFonts w:ascii="Arial" w:cs="Arial" w:eastAsia="Arial" w:hAnsi="Arial"/>
                <w:sz w:val="18"/>
                <w:szCs w:val="18"/>
                <w:color w:val="auto"/>
              </w:rPr>
              <w:t>Optional Redemption</w:t>
            </w:r>
          </w:p>
        </w:tc>
        <w:tc>
          <w:tcPr>
            <w:tcW w:w="4660" w:type="dxa"/>
            <w:vAlign w:val="bottom"/>
          </w:tcPr>
          <w:p>
            <w:pPr>
              <w:ind w:left="2140"/>
              <w:spacing w:after="0"/>
              <w:rPr>
                <w:sz w:val="20"/>
                <w:szCs w:val="20"/>
                <w:color w:val="auto"/>
              </w:rPr>
            </w:pPr>
            <w:r>
              <w:rPr>
                <w:rFonts w:ascii="Arial" w:cs="Arial" w:eastAsia="Arial" w:hAnsi="Arial"/>
                <w:sz w:val="18"/>
                <w:szCs w:val="18"/>
                <w:color w:val="auto"/>
                <w:w w:val="97"/>
              </w:rPr>
              <w:t>At any time prior to             ,  </w:t>
            </w:r>
          </w:p>
        </w:tc>
        <w:tc>
          <w:tcPr>
            <w:tcW w:w="2620" w:type="dxa"/>
            <w:vAlign w:val="bottom"/>
          </w:tcPr>
          <w:p>
            <w:pPr>
              <w:ind w:left="40"/>
              <w:spacing w:after="0"/>
              <w:rPr>
                <w:sz w:val="20"/>
                <w:szCs w:val="20"/>
                <w:color w:val="auto"/>
              </w:rPr>
            </w:pPr>
            <w:r>
              <w:rPr>
                <w:rFonts w:ascii="Arial" w:cs="Arial" w:eastAsia="Arial" w:hAnsi="Arial"/>
                <w:sz w:val="18"/>
                <w:szCs w:val="18"/>
                <w:color w:val="auto"/>
              </w:rPr>
              <w:t>         , (             months prior</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w w:val="99"/>
              </w:rPr>
              <w:t>to the maturity date of the Notes), we may redeem some or all of</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the Notes at the “make whole” redemption price described in</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“Description of the Notes—Optional Redemption,” plus accrued</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and unpaid interest, if any, to, but not including, the redemption</w:t>
            </w:r>
          </w:p>
        </w:tc>
      </w:tr>
      <w:tr>
        <w:trPr>
          <w:trHeight w:val="239"/>
        </w:trPr>
        <w:tc>
          <w:tcPr>
            <w:tcW w:w="3700" w:type="dxa"/>
            <w:vAlign w:val="bottom"/>
          </w:tcPr>
          <w:p>
            <w:pPr>
              <w:spacing w:after="0"/>
              <w:rPr>
                <w:sz w:val="20"/>
                <w:szCs w:val="20"/>
                <w:color w:val="auto"/>
              </w:rPr>
            </w:pPr>
          </w:p>
        </w:tc>
        <w:tc>
          <w:tcPr>
            <w:tcW w:w="4660" w:type="dxa"/>
            <w:vAlign w:val="bottom"/>
          </w:tcPr>
          <w:p>
            <w:pPr>
              <w:ind w:left="2140"/>
              <w:spacing w:after="0"/>
              <w:rPr>
                <w:sz w:val="20"/>
                <w:szCs w:val="20"/>
                <w:color w:val="auto"/>
              </w:rPr>
            </w:pPr>
            <w:r>
              <w:rPr>
                <w:rFonts w:ascii="Arial" w:cs="Arial" w:eastAsia="Arial" w:hAnsi="Arial"/>
                <w:sz w:val="18"/>
                <w:szCs w:val="18"/>
                <w:color w:val="auto"/>
              </w:rPr>
              <w:t>date.</w:t>
            </w:r>
          </w:p>
        </w:tc>
        <w:tc>
          <w:tcPr>
            <w:tcW w:w="2620" w:type="dxa"/>
            <w:vAlign w:val="bottom"/>
          </w:tcPr>
          <w:p>
            <w:pPr>
              <w:spacing w:after="0"/>
              <w:rPr>
                <w:sz w:val="20"/>
                <w:szCs w:val="20"/>
                <w:color w:val="auto"/>
              </w:rPr>
            </w:pPr>
          </w:p>
        </w:tc>
      </w:tr>
      <w:tr>
        <w:trPr>
          <w:trHeight w:val="288"/>
        </w:trPr>
        <w:tc>
          <w:tcPr>
            <w:tcW w:w="3700" w:type="dxa"/>
            <w:vAlign w:val="bottom"/>
          </w:tcPr>
          <w:p>
            <w:pPr>
              <w:spacing w:after="0"/>
              <w:rPr>
                <w:sz w:val="24"/>
                <w:szCs w:val="24"/>
                <w:color w:val="auto"/>
              </w:rPr>
            </w:pPr>
          </w:p>
        </w:tc>
        <w:tc>
          <w:tcPr>
            <w:tcW w:w="4660" w:type="dxa"/>
            <w:vAlign w:val="bottom"/>
          </w:tcPr>
          <w:p>
            <w:pPr>
              <w:ind w:left="2140"/>
              <w:spacing w:after="0"/>
              <w:rPr>
                <w:sz w:val="20"/>
                <w:szCs w:val="20"/>
                <w:color w:val="auto"/>
              </w:rPr>
            </w:pPr>
            <w:r>
              <w:rPr>
                <w:rFonts w:ascii="Arial" w:cs="Arial" w:eastAsia="Arial" w:hAnsi="Arial"/>
                <w:sz w:val="18"/>
                <w:szCs w:val="18"/>
                <w:color w:val="auto"/>
              </w:rPr>
              <w:t xml:space="preserve">At any time on or after           </w:t>
            </w:r>
          </w:p>
        </w:tc>
        <w:tc>
          <w:tcPr>
            <w:tcW w:w="2620" w:type="dxa"/>
            <w:vAlign w:val="bottom"/>
          </w:tcPr>
          <w:p>
            <w:pPr>
              <w:ind w:left="20"/>
              <w:spacing w:after="0"/>
              <w:rPr>
                <w:sz w:val="20"/>
                <w:szCs w:val="20"/>
                <w:color w:val="auto"/>
              </w:rPr>
            </w:pPr>
            <w:r>
              <w:rPr>
                <w:rFonts w:ascii="Arial" w:cs="Arial" w:eastAsia="Arial" w:hAnsi="Arial"/>
                <w:sz w:val="18"/>
                <w:szCs w:val="18"/>
                <w:color w:val="auto"/>
              </w:rPr>
              <w:t>,             , we may redeem</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some or all of the Notes at a redemption price equal to 100% of</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the principal amount of such Notes to be redeemed, plus</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accrued and unpaid interest, if any, to, but not including, the</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redemption date. See “Description of the Notes—Optional</w:t>
            </w:r>
          </w:p>
        </w:tc>
      </w:tr>
      <w:tr>
        <w:trPr>
          <w:trHeight w:val="239"/>
        </w:trPr>
        <w:tc>
          <w:tcPr>
            <w:tcW w:w="3700" w:type="dxa"/>
            <w:vAlign w:val="bottom"/>
          </w:tcPr>
          <w:p>
            <w:pPr>
              <w:spacing w:after="0"/>
              <w:rPr>
                <w:sz w:val="20"/>
                <w:szCs w:val="20"/>
                <w:color w:val="auto"/>
              </w:rPr>
            </w:pPr>
          </w:p>
        </w:tc>
        <w:tc>
          <w:tcPr>
            <w:tcW w:w="4660" w:type="dxa"/>
            <w:vAlign w:val="bottom"/>
          </w:tcPr>
          <w:p>
            <w:pPr>
              <w:ind w:left="2140"/>
              <w:spacing w:after="0"/>
              <w:rPr>
                <w:sz w:val="20"/>
                <w:szCs w:val="20"/>
                <w:color w:val="auto"/>
              </w:rPr>
            </w:pPr>
            <w:r>
              <w:rPr>
                <w:rFonts w:ascii="Arial" w:cs="Arial" w:eastAsia="Arial" w:hAnsi="Arial"/>
                <w:sz w:val="18"/>
                <w:szCs w:val="18"/>
                <w:color w:val="auto"/>
              </w:rPr>
              <w:t>Redemption.”</w:t>
            </w:r>
          </w:p>
        </w:tc>
        <w:tc>
          <w:tcPr>
            <w:tcW w:w="2620" w:type="dxa"/>
            <w:vAlign w:val="bottom"/>
          </w:tcPr>
          <w:p>
            <w:pPr>
              <w:spacing w:after="0"/>
              <w:rPr>
                <w:sz w:val="20"/>
                <w:szCs w:val="20"/>
                <w:color w:val="auto"/>
              </w:rPr>
            </w:pPr>
          </w:p>
        </w:tc>
      </w:tr>
      <w:tr>
        <w:trPr>
          <w:trHeight w:val="288"/>
        </w:trPr>
        <w:tc>
          <w:tcPr>
            <w:tcW w:w="3700" w:type="dxa"/>
            <w:vAlign w:val="bottom"/>
          </w:tcPr>
          <w:p>
            <w:pPr>
              <w:spacing w:after="0"/>
              <w:rPr>
                <w:sz w:val="20"/>
                <w:szCs w:val="20"/>
                <w:color w:val="auto"/>
              </w:rPr>
            </w:pPr>
            <w:r>
              <w:rPr>
                <w:rFonts w:ascii="Arial" w:cs="Arial" w:eastAsia="Arial" w:hAnsi="Arial"/>
                <w:sz w:val="18"/>
                <w:szCs w:val="18"/>
                <w:color w:val="auto"/>
              </w:rPr>
              <w:t>Optional Tax Redemption</w:t>
            </w:r>
          </w:p>
        </w:tc>
        <w:tc>
          <w:tcPr>
            <w:tcW w:w="7280" w:type="dxa"/>
            <w:vAlign w:val="bottom"/>
            <w:gridSpan w:val="2"/>
          </w:tcPr>
          <w:p>
            <w:pPr>
              <w:ind w:left="2140"/>
              <w:spacing w:after="0"/>
              <w:rPr>
                <w:sz w:val="20"/>
                <w:szCs w:val="20"/>
                <w:color w:val="auto"/>
              </w:rPr>
            </w:pPr>
            <w:r>
              <w:rPr>
                <w:rFonts w:ascii="Arial" w:cs="Arial" w:eastAsia="Arial" w:hAnsi="Arial"/>
                <w:sz w:val="18"/>
                <w:szCs w:val="18"/>
                <w:color w:val="auto"/>
              </w:rPr>
              <w:t>In the event that, as a result of certain tax law changes, the</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Company (or the Guarantor) becomes obligated to pay</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w w:val="99"/>
              </w:rPr>
              <w:t>additional amounts as described under “Description of the Notes</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—Additional Amounts,” the Company (or the Guarantor) may</w:t>
            </w:r>
          </w:p>
        </w:tc>
      </w:tr>
      <w:tr>
        <w:trPr>
          <w:trHeight w:val="203"/>
        </w:trPr>
        <w:tc>
          <w:tcPr>
            <w:tcW w:w="3700" w:type="dxa"/>
            <w:vAlign w:val="bottom"/>
          </w:tcPr>
          <w:p>
            <w:pPr>
              <w:spacing w:after="0"/>
              <w:rPr>
                <w:sz w:val="17"/>
                <w:szCs w:val="17"/>
                <w:color w:val="auto"/>
              </w:rPr>
            </w:pPr>
          </w:p>
        </w:tc>
        <w:tc>
          <w:tcPr>
            <w:tcW w:w="7280" w:type="dxa"/>
            <w:vAlign w:val="bottom"/>
            <w:gridSpan w:val="2"/>
          </w:tcPr>
          <w:p>
            <w:pPr>
              <w:ind w:left="2140"/>
              <w:spacing w:after="0" w:line="202" w:lineRule="exact"/>
              <w:rPr>
                <w:sz w:val="20"/>
                <w:szCs w:val="20"/>
                <w:color w:val="auto"/>
              </w:rPr>
            </w:pPr>
            <w:r>
              <w:rPr>
                <w:rFonts w:ascii="Arial" w:cs="Arial" w:eastAsia="Arial" w:hAnsi="Arial"/>
                <w:sz w:val="18"/>
                <w:szCs w:val="18"/>
                <w:color w:val="auto"/>
              </w:rPr>
              <w:t>redeem all of the Notes prior to maturity at a redemption price</w:t>
            </w:r>
          </w:p>
        </w:tc>
      </w:tr>
      <w:tr>
        <w:trPr>
          <w:trHeight w:val="239"/>
        </w:trPr>
        <w:tc>
          <w:tcPr>
            <w:tcW w:w="3700" w:type="dxa"/>
            <w:vAlign w:val="bottom"/>
          </w:tcPr>
          <w:p>
            <w:pPr>
              <w:spacing w:after="0"/>
              <w:rPr>
                <w:sz w:val="20"/>
                <w:szCs w:val="20"/>
                <w:color w:val="auto"/>
              </w:rPr>
            </w:pPr>
          </w:p>
        </w:tc>
        <w:tc>
          <w:tcPr>
            <w:tcW w:w="4660" w:type="dxa"/>
            <w:vAlign w:val="bottom"/>
          </w:tcPr>
          <w:p>
            <w:pPr>
              <w:ind w:left="2140"/>
              <w:spacing w:after="0"/>
              <w:rPr>
                <w:sz w:val="20"/>
                <w:szCs w:val="20"/>
                <w:color w:val="auto"/>
              </w:rPr>
            </w:pPr>
            <w:r>
              <w:rPr>
                <w:rFonts w:ascii="Arial" w:cs="Arial" w:eastAsia="Arial" w:hAnsi="Arial"/>
                <w:sz w:val="18"/>
                <w:szCs w:val="18"/>
                <w:color w:val="auto"/>
              </w:rPr>
              <w:t>equal to 100% of</w:t>
            </w:r>
          </w:p>
        </w:tc>
        <w:tc>
          <w:tcPr>
            <w:tcW w:w="2620" w:type="dxa"/>
            <w:vAlign w:val="bottom"/>
          </w:tcPr>
          <w:p>
            <w:pPr>
              <w:spacing w:after="0"/>
              <w:rPr>
                <w:sz w:val="20"/>
                <w:szCs w:val="20"/>
                <w:color w:val="auto"/>
              </w:rPr>
            </w:pPr>
          </w:p>
        </w:tc>
      </w:tr>
      <w:tr>
        <w:trPr>
          <w:trHeight w:val="351"/>
        </w:trPr>
        <w:tc>
          <w:tcPr>
            <w:tcW w:w="3700" w:type="dxa"/>
            <w:vAlign w:val="bottom"/>
          </w:tcPr>
          <w:p>
            <w:pPr>
              <w:spacing w:after="0"/>
              <w:rPr>
                <w:sz w:val="24"/>
                <w:szCs w:val="24"/>
                <w:color w:val="auto"/>
              </w:rPr>
            </w:pPr>
          </w:p>
        </w:tc>
        <w:tc>
          <w:tcPr>
            <w:tcW w:w="4660" w:type="dxa"/>
            <w:vAlign w:val="bottom"/>
          </w:tcPr>
          <w:p>
            <w:pPr>
              <w:ind w:left="1660"/>
              <w:spacing w:after="0"/>
              <w:rPr>
                <w:sz w:val="20"/>
                <w:szCs w:val="20"/>
                <w:color w:val="auto"/>
              </w:rPr>
            </w:pPr>
            <w:r>
              <w:rPr>
                <w:rFonts w:ascii="Arial" w:cs="Arial" w:eastAsia="Arial" w:hAnsi="Arial"/>
                <w:sz w:val="18"/>
                <w:szCs w:val="18"/>
                <w:color w:val="auto"/>
              </w:rPr>
              <w:t>S-3</w:t>
            </w:r>
          </w:p>
        </w:tc>
        <w:tc>
          <w:tcPr>
            <w:tcW w:w="262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6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501"/>
        </w:trPr>
        <w:tc>
          <w:tcPr>
            <w:tcW w:w="136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their principal amount plus accrued interest to the date of</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redemption as described under “Description of the Notes—</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Redemption Upon Changes in Tax Law.”</w:t>
            </w:r>
          </w:p>
        </w:tc>
      </w:tr>
      <w:tr>
        <w:trPr>
          <w:trHeight w:val="274"/>
        </w:trPr>
        <w:tc>
          <w:tcPr>
            <w:tcW w:w="4060" w:type="dxa"/>
            <w:vAlign w:val="bottom"/>
            <w:gridSpan w:val="2"/>
          </w:tcPr>
          <w:p>
            <w:pPr>
              <w:ind w:left="120"/>
              <w:spacing w:after="0"/>
              <w:rPr>
                <w:sz w:val="20"/>
                <w:szCs w:val="20"/>
                <w:color w:val="auto"/>
              </w:rPr>
            </w:pPr>
            <w:r>
              <w:rPr>
                <w:rFonts w:ascii="Arial" w:cs="Arial" w:eastAsia="Arial" w:hAnsi="Arial"/>
                <w:sz w:val="18"/>
                <w:szCs w:val="18"/>
                <w:color w:val="auto"/>
              </w:rPr>
              <w:t>Payment of Additional Amounts</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Any payments made by the Company, or the Guarantor under</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the Guarantee, will be made without withholding or deduction for</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taxes imposed by any jurisdiction in which the Company or the</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w w:val="99"/>
              </w:rPr>
              <w:t>Guarantor is incorporated, organized or resident for tax purposes</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or through which a payment is made on the Notes on their</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behalf, except as required by law. If any such withholding or</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deduction is required with respect to Notes, the Company (or the</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Guarantor, if applicable) will pay, subject to certain exceptions,</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additional amounts necessary so that the net amount received</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by the beneficial owners after the withholding is not less than the</w:t>
            </w:r>
          </w:p>
        </w:tc>
      </w:tr>
      <w:tr>
        <w:trPr>
          <w:trHeight w:val="202"/>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amount that they would have received in the absence of the</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withholding.</w:t>
            </w:r>
          </w:p>
        </w:tc>
      </w:tr>
      <w:tr>
        <w:trPr>
          <w:trHeight w:val="288"/>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For more information on additional amounts and the situations in</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which the Company may be required to pay additional amounts,</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see “Description of the Notes—Additional Amounts.”</w:t>
            </w:r>
          </w:p>
        </w:tc>
      </w:tr>
      <w:tr>
        <w:trPr>
          <w:trHeight w:val="288"/>
        </w:trPr>
        <w:tc>
          <w:tcPr>
            <w:tcW w:w="4060" w:type="dxa"/>
            <w:vAlign w:val="bottom"/>
            <w:gridSpan w:val="2"/>
          </w:tcPr>
          <w:p>
            <w:pPr>
              <w:ind w:left="120"/>
              <w:spacing w:after="0"/>
              <w:rPr>
                <w:sz w:val="20"/>
                <w:szCs w:val="20"/>
                <w:color w:val="auto"/>
              </w:rPr>
            </w:pPr>
            <w:r>
              <w:rPr>
                <w:rFonts w:ascii="Arial" w:cs="Arial" w:eastAsia="Arial" w:hAnsi="Arial"/>
                <w:sz w:val="18"/>
                <w:szCs w:val="18"/>
                <w:color w:val="auto"/>
              </w:rPr>
              <w:t>Ranking</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The Notes will rank equally and ratably with all other unsecured</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and unsubordinated indebtedness of the Company.</w:t>
            </w:r>
          </w:p>
        </w:tc>
      </w:tr>
      <w:tr>
        <w:trPr>
          <w:trHeight w:val="288"/>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The Guarantee will rank equally and ratably with all other</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unsecured and unsubordinated indebtedness of the Guarantor.</w:t>
            </w:r>
          </w:p>
        </w:tc>
      </w:tr>
      <w:tr>
        <w:trPr>
          <w:trHeight w:val="288"/>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See “Description of the Notes—Ranking of the Notes and</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Guarantee.”</w:t>
            </w:r>
          </w:p>
        </w:tc>
      </w:tr>
      <w:tr>
        <w:trPr>
          <w:trHeight w:val="288"/>
        </w:trPr>
        <w:tc>
          <w:tcPr>
            <w:tcW w:w="4060" w:type="dxa"/>
            <w:vAlign w:val="bottom"/>
            <w:gridSpan w:val="2"/>
          </w:tcPr>
          <w:p>
            <w:pPr>
              <w:ind w:left="120"/>
              <w:spacing w:after="0"/>
              <w:rPr>
                <w:sz w:val="20"/>
                <w:szCs w:val="20"/>
                <w:color w:val="auto"/>
              </w:rPr>
            </w:pPr>
            <w:r>
              <w:rPr>
                <w:rFonts w:ascii="Arial" w:cs="Arial" w:eastAsia="Arial" w:hAnsi="Arial"/>
                <w:sz w:val="18"/>
                <w:szCs w:val="18"/>
                <w:color w:val="auto"/>
              </w:rPr>
              <w:t>Certain Covenants</w:t>
            </w: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The Company will issue the Notes under an indenture with The</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w w:val="99"/>
              </w:rPr>
              <w:t>Bank of New York Mellon, as trustee, as supplemented by one or</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more supplemental indentures (as supplemented, the</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“Indenture”). The Indenture will, among other things, restrict the</w:t>
            </w:r>
          </w:p>
        </w:tc>
      </w:tr>
      <w:tr>
        <w:trPr>
          <w:trHeight w:val="203"/>
        </w:trPr>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ability of the Guarantor, the Company and the Guarantor’s other</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subsidiaries to:</w:t>
            </w:r>
          </w:p>
        </w:tc>
      </w:tr>
      <w:tr>
        <w:trPr>
          <w:trHeight w:val="288"/>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60" w:type="dxa"/>
            <w:vAlign w:val="bottom"/>
          </w:tcPr>
          <w:p>
            <w:pPr>
              <w:ind w:left="20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rPr>
              <w:t> incur indebtedness secured by liens on specified restricted</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920" w:type="dxa"/>
            <w:vAlign w:val="bottom"/>
          </w:tcPr>
          <w:p>
            <w:pPr>
              <w:ind w:left="100"/>
              <w:spacing w:after="0"/>
              <w:rPr>
                <w:sz w:val="20"/>
                <w:szCs w:val="20"/>
                <w:color w:val="auto"/>
              </w:rPr>
            </w:pPr>
            <w:r>
              <w:rPr>
                <w:rFonts w:ascii="Arial" w:cs="Arial" w:eastAsia="Arial" w:hAnsi="Arial"/>
                <w:sz w:val="18"/>
                <w:szCs w:val="18"/>
                <w:color w:val="auto"/>
              </w:rPr>
              <w:t>properties; and</w:t>
            </w:r>
          </w:p>
        </w:tc>
      </w:tr>
      <w:tr>
        <w:trPr>
          <w:trHeight w:val="324"/>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60" w:type="dxa"/>
            <w:vAlign w:val="bottom"/>
          </w:tcPr>
          <w:p>
            <w:pPr>
              <w:ind w:left="2000"/>
              <w:spacing w:after="0"/>
              <w:rPr>
                <w:sz w:val="20"/>
                <w:szCs w:val="20"/>
                <w:color w:val="auto"/>
              </w:rPr>
            </w:pPr>
            <w:r>
              <w:rPr>
                <w:rFonts w:ascii="Arial" w:cs="Arial" w:eastAsia="Arial" w:hAnsi="Arial"/>
                <w:sz w:val="13"/>
                <w:szCs w:val="13"/>
                <w:color w:val="auto"/>
                <w:w w:val="79"/>
              </w:rPr>
              <w:t>• </w:t>
            </w:r>
          </w:p>
        </w:tc>
        <w:tc>
          <w:tcPr>
            <w:tcW w:w="4920" w:type="dxa"/>
            <w:vAlign w:val="bottom"/>
          </w:tcPr>
          <w:p>
            <w:pPr>
              <w:ind w:left="80"/>
              <w:spacing w:after="0"/>
              <w:rPr>
                <w:sz w:val="20"/>
                <w:szCs w:val="20"/>
                <w:color w:val="auto"/>
              </w:rPr>
            </w:pPr>
            <w:r>
              <w:rPr>
                <w:rFonts w:ascii="Arial" w:cs="Arial" w:eastAsia="Arial" w:hAnsi="Arial"/>
                <w:sz w:val="18"/>
                <w:szCs w:val="18"/>
                <w:color w:val="auto"/>
              </w:rPr>
              <w:t> consolidate or merge under specific circumstances.</w:t>
            </w:r>
          </w:p>
        </w:tc>
      </w:tr>
      <w:tr>
        <w:trPr>
          <w:trHeight w:val="288"/>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For more details, see “Description of the Notes—Certain</w:t>
            </w:r>
          </w:p>
        </w:tc>
      </w:tr>
      <w:tr>
        <w:trPr>
          <w:trHeight w:val="239"/>
        </w:trPr>
        <w:tc>
          <w:tcPr>
            <w:tcW w:w="13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80" w:type="dxa"/>
            <w:vAlign w:val="bottom"/>
            <w:gridSpan w:val="2"/>
          </w:tcPr>
          <w:p>
            <w:pPr>
              <w:ind w:left="1900"/>
              <w:spacing w:after="0"/>
              <w:rPr>
                <w:sz w:val="20"/>
                <w:szCs w:val="20"/>
                <w:color w:val="auto"/>
              </w:rPr>
            </w:pPr>
            <w:r>
              <w:rPr>
                <w:rFonts w:ascii="Arial" w:cs="Arial" w:eastAsia="Arial" w:hAnsi="Arial"/>
                <w:sz w:val="18"/>
                <w:szCs w:val="18"/>
                <w:color w:val="auto"/>
              </w:rPr>
              <w:t>Covenants.”</w:t>
            </w:r>
          </w:p>
        </w:tc>
      </w:tr>
      <w:tr>
        <w:trPr>
          <w:trHeight w:val="365"/>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160" w:type="dxa"/>
            <w:vAlign w:val="bottom"/>
          </w:tcPr>
          <w:p>
            <w:pPr>
              <w:ind w:left="1420"/>
              <w:spacing w:after="0"/>
              <w:rPr>
                <w:sz w:val="20"/>
                <w:szCs w:val="20"/>
                <w:color w:val="auto"/>
              </w:rPr>
            </w:pPr>
            <w:r>
              <w:rPr>
                <w:rFonts w:ascii="Arial" w:cs="Arial" w:eastAsia="Arial" w:hAnsi="Arial"/>
                <w:sz w:val="18"/>
                <w:szCs w:val="18"/>
                <w:color w:val="auto"/>
              </w:rPr>
              <w:t>S-4</w:t>
            </w:r>
          </w:p>
        </w:tc>
        <w:tc>
          <w:tcPr>
            <w:tcW w:w="4920" w:type="dxa"/>
            <w:vAlign w:val="bottom"/>
          </w:tcPr>
          <w:p>
            <w:pPr>
              <w:spacing w:after="0"/>
              <w:rPr>
                <w:sz w:val="24"/>
                <w:szCs w:val="24"/>
                <w:color w:val="auto"/>
              </w:rPr>
            </w:pPr>
          </w:p>
        </w:tc>
      </w:tr>
    </w:tbl>
    <w:p>
      <w:pPr>
        <w:sectPr>
          <w:pgSz w:w="11900" w:h="16838" w:orient="portrait"/>
          <w:cols w:equalWidth="0" w:num="1">
            <w:col w:w="11140"/>
          </w:cols>
          <w:pgMar w:left="320" w:top="446"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520" w:type="dxa"/>
            <w:vAlign w:val="bottom"/>
          </w:tcPr>
          <w:p>
            <w:pPr>
              <w:spacing w:after="0"/>
              <w:rPr>
                <w:sz w:val="17"/>
                <w:szCs w:val="17"/>
                <w:color w:val="auto"/>
              </w:rPr>
            </w:pPr>
          </w:p>
        </w:tc>
        <w:tc>
          <w:tcPr>
            <w:tcW w:w="6180" w:type="dxa"/>
            <w:vAlign w:val="bottom"/>
          </w:tcPr>
          <w:p>
            <w:pPr>
              <w:spacing w:after="0"/>
              <w:rPr>
                <w:sz w:val="17"/>
                <w:szCs w:val="17"/>
                <w:color w:val="auto"/>
              </w:rPr>
            </w:pPr>
          </w:p>
        </w:tc>
      </w:tr>
      <w:tr>
        <w:trPr>
          <w:trHeight w:val="609"/>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6180" w:type="dxa"/>
            <w:vAlign w:val="bottom"/>
          </w:tcPr>
          <w:p>
            <w:pPr>
              <w:ind w:left="1080"/>
              <w:spacing w:after="0"/>
              <w:rPr>
                <w:sz w:val="20"/>
                <w:szCs w:val="20"/>
                <w:color w:val="auto"/>
              </w:rPr>
            </w:pPr>
            <w:r>
              <w:rPr>
                <w:rFonts w:ascii="Arial" w:cs="Arial" w:eastAsia="Arial" w:hAnsi="Arial"/>
                <w:sz w:val="18"/>
                <w:szCs w:val="18"/>
                <w:color w:val="auto"/>
              </w:rPr>
              <w:t>We intend to use the net proceeds from the offering to repay</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existing indebtedness, as well as for general corporate</w:t>
            </w:r>
          </w:p>
        </w:tc>
      </w:tr>
      <w:tr>
        <w:trPr>
          <w:trHeight w:val="239"/>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180" w:type="dxa"/>
            <w:vAlign w:val="bottom"/>
          </w:tcPr>
          <w:p>
            <w:pPr>
              <w:ind w:left="1080"/>
              <w:spacing w:after="0"/>
              <w:rPr>
                <w:sz w:val="20"/>
                <w:szCs w:val="20"/>
                <w:color w:val="auto"/>
              </w:rPr>
            </w:pPr>
            <w:r>
              <w:rPr>
                <w:rFonts w:ascii="Arial" w:cs="Arial" w:eastAsia="Arial" w:hAnsi="Arial"/>
                <w:sz w:val="18"/>
                <w:szCs w:val="18"/>
                <w:color w:val="auto"/>
              </w:rPr>
              <w:t>purposes.</w:t>
            </w:r>
          </w:p>
        </w:tc>
      </w:tr>
      <w:tr>
        <w:trPr>
          <w:trHeight w:val="274"/>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Absence of a Public Market for the Notes</w:t>
            </w:r>
          </w:p>
        </w:tc>
        <w:tc>
          <w:tcPr>
            <w:tcW w:w="6180" w:type="dxa"/>
            <w:vAlign w:val="bottom"/>
          </w:tcPr>
          <w:p>
            <w:pPr>
              <w:ind w:left="1080"/>
              <w:spacing w:after="0"/>
              <w:rPr>
                <w:sz w:val="20"/>
                <w:szCs w:val="20"/>
                <w:color w:val="auto"/>
              </w:rPr>
            </w:pPr>
            <w:r>
              <w:rPr>
                <w:rFonts w:ascii="Arial" w:cs="Arial" w:eastAsia="Arial" w:hAnsi="Arial"/>
                <w:sz w:val="18"/>
                <w:szCs w:val="18"/>
                <w:color w:val="auto"/>
              </w:rPr>
              <w:t>The Notes are new securities and there is currently no existing</w:t>
            </w:r>
          </w:p>
        </w:tc>
      </w:tr>
      <w:tr>
        <w:trPr>
          <w:trHeight w:val="239"/>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180" w:type="dxa"/>
            <w:vAlign w:val="bottom"/>
          </w:tcPr>
          <w:p>
            <w:pPr>
              <w:ind w:left="1080"/>
              <w:spacing w:after="0"/>
              <w:rPr>
                <w:sz w:val="20"/>
                <w:szCs w:val="20"/>
                <w:color w:val="auto"/>
              </w:rPr>
            </w:pPr>
            <w:r>
              <w:rPr>
                <w:rFonts w:ascii="Arial" w:cs="Arial" w:eastAsia="Arial" w:hAnsi="Arial"/>
                <w:sz w:val="18"/>
                <w:szCs w:val="18"/>
                <w:color w:val="auto"/>
              </w:rPr>
              <w:t>market for the Notes.</w:t>
            </w:r>
          </w:p>
        </w:tc>
      </w:tr>
      <w:tr>
        <w:trPr>
          <w:trHeight w:val="288"/>
        </w:trPr>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180" w:type="dxa"/>
            <w:vAlign w:val="bottom"/>
          </w:tcPr>
          <w:p>
            <w:pPr>
              <w:ind w:left="1080"/>
              <w:spacing w:after="0"/>
              <w:rPr>
                <w:sz w:val="20"/>
                <w:szCs w:val="20"/>
                <w:color w:val="auto"/>
              </w:rPr>
            </w:pPr>
            <w:r>
              <w:rPr>
                <w:rFonts w:ascii="Arial" w:cs="Arial" w:eastAsia="Arial" w:hAnsi="Arial"/>
                <w:sz w:val="18"/>
                <w:szCs w:val="18"/>
                <w:color w:val="auto"/>
              </w:rPr>
              <w:t>Accordingly, there can be no assurances as to the development</w:t>
            </w:r>
          </w:p>
        </w:tc>
      </w:tr>
      <w:tr>
        <w:trPr>
          <w:trHeight w:val="239"/>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180" w:type="dxa"/>
            <w:vAlign w:val="bottom"/>
          </w:tcPr>
          <w:p>
            <w:pPr>
              <w:ind w:left="1080"/>
              <w:spacing w:after="0"/>
              <w:rPr>
                <w:sz w:val="20"/>
                <w:szCs w:val="20"/>
                <w:color w:val="auto"/>
              </w:rPr>
            </w:pPr>
            <w:r>
              <w:rPr>
                <w:rFonts w:ascii="Arial" w:cs="Arial" w:eastAsia="Arial" w:hAnsi="Arial"/>
                <w:sz w:val="18"/>
                <w:szCs w:val="18"/>
                <w:color w:val="auto"/>
              </w:rPr>
              <w:t>or liquidity of any market for the Notes.</w:t>
            </w:r>
          </w:p>
        </w:tc>
      </w:tr>
      <w:tr>
        <w:trPr>
          <w:trHeight w:val="288"/>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Further Issuances</w:t>
            </w:r>
          </w:p>
        </w:tc>
        <w:tc>
          <w:tcPr>
            <w:tcW w:w="6180" w:type="dxa"/>
            <w:vAlign w:val="bottom"/>
          </w:tcPr>
          <w:p>
            <w:pPr>
              <w:ind w:left="1080"/>
              <w:spacing w:after="0"/>
              <w:rPr>
                <w:sz w:val="20"/>
                <w:szCs w:val="20"/>
                <w:color w:val="auto"/>
              </w:rPr>
            </w:pPr>
            <w:r>
              <w:rPr>
                <w:rFonts w:ascii="Arial" w:cs="Arial" w:eastAsia="Arial" w:hAnsi="Arial"/>
                <w:sz w:val="18"/>
                <w:szCs w:val="18"/>
                <w:color w:val="auto"/>
              </w:rPr>
              <w:t>The Company may, from time to time, without notice to or the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consent of the registered holders of the Notes, create and issue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additional Notes having the same terms as, and ranking equally</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and ratably with, any of the outstanding Notes in all respects.</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Such additional Notes will also be fully and unconditionally</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guaranteed by the Guarantor (on the same terms and with the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w w:val="99"/>
              </w:rPr>
              <w:t>same ranking as the Guarantee for the Notes). See “Description</w:t>
            </w:r>
          </w:p>
        </w:tc>
      </w:tr>
      <w:tr>
        <w:trPr>
          <w:trHeight w:val="239"/>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180" w:type="dxa"/>
            <w:vAlign w:val="bottom"/>
          </w:tcPr>
          <w:p>
            <w:pPr>
              <w:ind w:left="1080"/>
              <w:spacing w:after="0"/>
              <w:rPr>
                <w:sz w:val="20"/>
                <w:szCs w:val="20"/>
                <w:color w:val="auto"/>
              </w:rPr>
            </w:pPr>
            <w:r>
              <w:rPr>
                <w:rFonts w:ascii="Arial" w:cs="Arial" w:eastAsia="Arial" w:hAnsi="Arial"/>
                <w:sz w:val="18"/>
                <w:szCs w:val="18"/>
                <w:color w:val="auto"/>
              </w:rPr>
              <w:t>of the Notes—Further Issuances.”</w:t>
            </w:r>
          </w:p>
        </w:tc>
      </w:tr>
      <w:tr>
        <w:trPr>
          <w:trHeight w:val="274"/>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Assumption by a Subsidiary</w:t>
            </w:r>
          </w:p>
        </w:tc>
        <w:tc>
          <w:tcPr>
            <w:tcW w:w="6180" w:type="dxa"/>
            <w:vAlign w:val="bottom"/>
          </w:tcPr>
          <w:p>
            <w:pPr>
              <w:ind w:left="1080"/>
              <w:spacing w:after="0"/>
              <w:rPr>
                <w:sz w:val="20"/>
                <w:szCs w:val="20"/>
                <w:color w:val="auto"/>
              </w:rPr>
            </w:pPr>
            <w:r>
              <w:rPr>
                <w:rFonts w:ascii="Arial" w:cs="Arial" w:eastAsia="Arial" w:hAnsi="Arial"/>
                <w:sz w:val="18"/>
                <w:szCs w:val="18"/>
                <w:color w:val="auto"/>
              </w:rPr>
              <w:t>Any subsidiary of the Guarantor may, at its option, assume the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obligations of the Company as the issuer of the Notes and the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Company will be released from its liability as obligor under the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Notes. See “Description of the Notes—Assumption by a</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Subsidiary.” For a description of U.S. federal income tax</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considerations related to these provisions, see “U.S. Federal</w:t>
            </w:r>
          </w:p>
        </w:tc>
      </w:tr>
      <w:tr>
        <w:trPr>
          <w:trHeight w:val="239"/>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180" w:type="dxa"/>
            <w:vAlign w:val="bottom"/>
          </w:tcPr>
          <w:p>
            <w:pPr>
              <w:ind w:left="1080"/>
              <w:spacing w:after="0"/>
              <w:rPr>
                <w:sz w:val="20"/>
                <w:szCs w:val="20"/>
                <w:color w:val="auto"/>
              </w:rPr>
            </w:pPr>
            <w:r>
              <w:rPr>
                <w:rFonts w:ascii="Arial" w:cs="Arial" w:eastAsia="Arial" w:hAnsi="Arial"/>
                <w:sz w:val="18"/>
                <w:szCs w:val="18"/>
                <w:color w:val="auto"/>
              </w:rPr>
              <w:t>Income Tax Considerations.”</w:t>
            </w:r>
          </w:p>
        </w:tc>
      </w:tr>
      <w:tr>
        <w:trPr>
          <w:trHeight w:val="274"/>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Governing Law</w:t>
            </w:r>
          </w:p>
        </w:tc>
        <w:tc>
          <w:tcPr>
            <w:tcW w:w="6180" w:type="dxa"/>
            <w:vAlign w:val="bottom"/>
          </w:tcPr>
          <w:p>
            <w:pPr>
              <w:ind w:left="1080"/>
              <w:spacing w:after="0"/>
              <w:rPr>
                <w:sz w:val="20"/>
                <w:szCs w:val="20"/>
                <w:color w:val="auto"/>
              </w:rPr>
            </w:pPr>
            <w:r>
              <w:rPr>
                <w:rFonts w:ascii="Arial" w:cs="Arial" w:eastAsia="Arial" w:hAnsi="Arial"/>
                <w:sz w:val="18"/>
                <w:szCs w:val="18"/>
                <w:color w:val="auto"/>
              </w:rPr>
              <w:t>The Indenture, including the Guarantee contained therein, and</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the Notes will be governed by, and construed in accordance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with, the laws of the State of New York. The application of the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provisions of articles 470-1 to 470-19 (inclusive) of the</w:t>
            </w:r>
          </w:p>
        </w:tc>
      </w:tr>
      <w:tr>
        <w:trPr>
          <w:trHeight w:val="203"/>
        </w:trPr>
        <w:tc>
          <w:tcPr>
            <w:tcW w:w="13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80" w:type="dxa"/>
            <w:vAlign w:val="bottom"/>
          </w:tcPr>
          <w:p>
            <w:pPr>
              <w:ind w:left="1080"/>
              <w:spacing w:after="0" w:line="202" w:lineRule="exact"/>
              <w:rPr>
                <w:sz w:val="20"/>
                <w:szCs w:val="20"/>
                <w:color w:val="auto"/>
              </w:rPr>
            </w:pPr>
            <w:r>
              <w:rPr>
                <w:rFonts w:ascii="Arial" w:cs="Arial" w:eastAsia="Arial" w:hAnsi="Arial"/>
                <w:sz w:val="18"/>
                <w:szCs w:val="18"/>
                <w:color w:val="auto"/>
              </w:rPr>
              <w:t>Luxembourg law of 10 August 1915 on commercial companies,</w:t>
            </w:r>
          </w:p>
        </w:tc>
      </w:tr>
      <w:tr>
        <w:trPr>
          <w:trHeight w:val="239"/>
        </w:trPr>
        <w:tc>
          <w:tcPr>
            <w:tcW w:w="1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180" w:type="dxa"/>
            <w:vAlign w:val="bottom"/>
          </w:tcPr>
          <w:p>
            <w:pPr>
              <w:ind w:left="1080"/>
              <w:spacing w:after="0"/>
              <w:rPr>
                <w:sz w:val="20"/>
                <w:szCs w:val="20"/>
                <w:color w:val="auto"/>
              </w:rPr>
            </w:pPr>
            <w:r>
              <w:rPr>
                <w:rFonts w:ascii="Arial" w:cs="Arial" w:eastAsia="Arial" w:hAnsi="Arial"/>
                <w:sz w:val="18"/>
                <w:szCs w:val="18"/>
                <w:color w:val="auto"/>
              </w:rPr>
              <w:t>as amended, is hereby expressly excluded.</w:t>
            </w:r>
          </w:p>
        </w:tc>
      </w:tr>
      <w:tr>
        <w:trPr>
          <w:trHeight w:val="310"/>
        </w:trPr>
        <w:tc>
          <w:tcPr>
            <w:tcW w:w="4880" w:type="dxa"/>
            <w:vAlign w:val="bottom"/>
            <w:gridSpan w:val="2"/>
          </w:tcPr>
          <w:p>
            <w:pPr>
              <w:ind w:left="120"/>
              <w:spacing w:after="0"/>
              <w:rPr>
                <w:sz w:val="20"/>
                <w:szCs w:val="20"/>
                <w:color w:val="auto"/>
              </w:rPr>
            </w:pPr>
            <w:r>
              <w:rPr>
                <w:rFonts w:ascii="Arial" w:cs="Arial" w:eastAsia="Arial" w:hAnsi="Arial"/>
                <w:sz w:val="18"/>
                <w:szCs w:val="18"/>
                <w:color w:val="auto"/>
              </w:rPr>
              <w:t>Trustee, Registrar, Paying Agent and Transfer Agent</w:t>
            </w:r>
          </w:p>
        </w:tc>
        <w:tc>
          <w:tcPr>
            <w:tcW w:w="6180" w:type="dxa"/>
            <w:vAlign w:val="bottom"/>
          </w:tcPr>
          <w:p>
            <w:pPr>
              <w:ind w:left="1080"/>
              <w:spacing w:after="0"/>
              <w:rPr>
                <w:sz w:val="20"/>
                <w:szCs w:val="20"/>
                <w:color w:val="auto"/>
              </w:rPr>
            </w:pPr>
            <w:r>
              <w:rPr>
                <w:rFonts w:ascii="Arial" w:cs="Arial" w:eastAsia="Arial" w:hAnsi="Arial"/>
                <w:sz w:val="18"/>
                <w:szCs w:val="18"/>
                <w:color w:val="auto"/>
              </w:rPr>
              <w:t>The Bank of New York Mellon.</w:t>
            </w:r>
          </w:p>
        </w:tc>
      </w:tr>
      <w:tr>
        <w:trPr>
          <w:trHeight w:val="351"/>
        </w:trPr>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060"/>
          </w:cols>
          <w:pgMar w:left="320" w:top="446"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2023 and the Guarantor’s Quarterly Report on Form 10-Q for the fiscal quarter ended March 31, 2024, before making a decision to invest in the Notes. If any of the matters included in the “Risk Factors” sections were to occur, the SLB Group’s business, properties, assets, financial condition, results of operations, cash flows or prospects could be materially adversely affected. Additional risks and uncertainties not currently known to the SLB Group or that the SLB Group currently deems immaterial may also adversely affect the SLB Group’s business, reputation, financial condition, results of operations, cash flows and prospects.</w:t>
      </w:r>
    </w:p>
    <w:p>
      <w:pPr>
        <w:spacing w:after="0" w:line="293" w:lineRule="exact"/>
        <w:rPr>
          <w:sz w:val="20"/>
          <w:szCs w:val="20"/>
          <w:color w:val="auto"/>
        </w:rPr>
      </w:pPr>
    </w:p>
    <w:p>
      <w:pPr>
        <w:ind w:left="120"/>
        <w:spacing w:after="0" w:line="281" w:lineRule="auto"/>
        <w:rPr>
          <w:sz w:val="20"/>
          <w:szCs w:val="20"/>
          <w:color w:val="auto"/>
        </w:rPr>
      </w:pPr>
      <w:r>
        <w:rPr>
          <w:rFonts w:ascii="Arial" w:cs="Arial" w:eastAsia="Arial" w:hAnsi="Arial"/>
          <w:sz w:val="18"/>
          <w:szCs w:val="18"/>
          <w:b w:val="1"/>
          <w:bCs w:val="1"/>
          <w:color w:val="auto"/>
        </w:rPr>
        <w:t>The Company’s and the Guarantor’s ability to service their debt depends on the SLB Group’s future performance, which may not generate cash required to service their debt.</w:t>
      </w:r>
    </w:p>
    <w:p>
      <w:pPr>
        <w:spacing w:after="0" w:line="28"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The Company’s ability to make scheduled payments on the Notes depends on the SLB Group’s future operating and financial performance and ability to generate cash. This will be affected by the SLB Group’s ability to successfully implement its business strategy, as well as by general economic, financial, competitive, regulatory, technical and other factors beyond its control. If the SLB Group cannot generate sufficient cash to meet its debt service obligations or fund its other business needs, the Company or the Guarantor may, among other things, need to refinance all or a portion of its obligations, including the 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and the Guarantee will be subordinated to any secured indebtedness of the Company and the Guarantor.</w:t>
      </w:r>
    </w:p>
    <w:p>
      <w:pPr>
        <w:spacing w:after="0" w:line="104"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 xml:space="preserve">The Notes will be unsecured and unsubordinated obligations of the Company and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to all other existing and future unsecured and unsubordinated indebtedness of the Guarantor, and senior in</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291" w:lineRule="exact"/>
        <w:rPr>
          <w:sz w:val="20"/>
          <w:szCs w:val="20"/>
          <w:color w:val="auto"/>
        </w:rPr>
      </w:pPr>
    </w:p>
    <w:p>
      <w:pPr>
        <w:ind w:left="120" w:right="180"/>
        <w:spacing w:after="0" w:line="281" w:lineRule="auto"/>
        <w:rPr>
          <w:sz w:val="20"/>
          <w:szCs w:val="20"/>
          <w:color w:val="auto"/>
        </w:rPr>
      </w:pPr>
      <w:r>
        <w:rPr>
          <w:rFonts w:ascii="Arial" w:cs="Arial" w:eastAsia="Arial" w:hAnsi="Arial"/>
          <w:sz w:val="18"/>
          <w:szCs w:val="18"/>
          <w:b w:val="1"/>
          <w:bCs w:val="1"/>
          <w:color w:val="auto"/>
        </w:rPr>
        <w:t>The Guarantee and the Notes will be structurally subordinated to the obligations of the Guarantor’s subsidiaries other than the Company</w:t>
      </w:r>
      <w:r>
        <w:rPr>
          <w:rFonts w:ascii="Arial" w:cs="Arial" w:eastAsia="Arial" w:hAnsi="Arial"/>
          <w:sz w:val="18"/>
          <w:szCs w:val="18"/>
          <w:color w:val="auto"/>
        </w:rPr>
        <w:t>.</w:t>
      </w:r>
    </w:p>
    <w:p>
      <w:pPr>
        <w:spacing w:after="0" w:line="28" w:lineRule="exact"/>
        <w:rPr>
          <w:sz w:val="20"/>
          <w:szCs w:val="20"/>
          <w:color w:val="auto"/>
        </w:rPr>
      </w:pPr>
    </w:p>
    <w:p>
      <w:pPr>
        <w:jc w:val="both"/>
        <w:ind w:left="120" w:right="660" w:firstLine="440"/>
        <w:spacing w:after="0" w:line="253" w:lineRule="auto"/>
        <w:rPr>
          <w:sz w:val="20"/>
          <w:szCs w:val="20"/>
          <w:color w:val="auto"/>
        </w:rPr>
      </w:pPr>
      <w:r>
        <w:rPr>
          <w:rFonts w:ascii="Arial" w:cs="Arial" w:eastAsia="Arial" w:hAnsi="Arial"/>
          <w:sz w:val="18"/>
          <w:szCs w:val="18"/>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79" w:lineRule="exact"/>
        <w:rPr>
          <w:sz w:val="20"/>
          <w:szCs w:val="20"/>
          <w:color w:val="auto"/>
        </w:rPr>
      </w:pPr>
    </w:p>
    <w:p>
      <w:pPr>
        <w:ind w:left="120" w:right="480" w:firstLine="440"/>
        <w:spacing w:after="0" w:line="242" w:lineRule="auto"/>
        <w:rPr>
          <w:sz w:val="20"/>
          <w:szCs w:val="20"/>
          <w:color w:val="auto"/>
        </w:rPr>
      </w:pPr>
      <w:r>
        <w:rPr>
          <w:rFonts w:ascii="Arial" w:cs="Arial" w:eastAsia="Arial" w:hAnsi="Arial"/>
          <w:sz w:val="18"/>
          <w:szCs w:val="18"/>
          <w:color w:val="auto"/>
        </w:rPr>
        <w:t>As a result, the Guarantee will be structurally subordinated to the obligations and liabilities of all of the Guarantor’s subsidiaries (other than the Company’s obligations and liabilities with respect to the Notes). As of March 31, 2024, the Guarantor had accounts payable and accrued liabilities of approximately U.S.$10.1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287" w:lineRule="exact"/>
        <w:rPr>
          <w:sz w:val="20"/>
          <w:szCs w:val="20"/>
          <w:color w:val="auto"/>
        </w:rPr>
      </w:pPr>
    </w:p>
    <w:p>
      <w:pPr>
        <w:ind w:left="120"/>
        <w:spacing w:after="0" w:line="281" w:lineRule="auto"/>
        <w:rPr>
          <w:sz w:val="20"/>
          <w:szCs w:val="20"/>
          <w:color w:val="auto"/>
        </w:rPr>
      </w:pPr>
      <w:r>
        <w:rPr>
          <w:rFonts w:ascii="Arial" w:cs="Arial" w:eastAsia="Arial" w:hAnsi="Arial"/>
          <w:sz w:val="18"/>
          <w:szCs w:val="18"/>
          <w:b w:val="1"/>
          <w:bCs w:val="1"/>
          <w:color w:val="auto"/>
        </w:rPr>
        <w:t>There is currently no trading market for the Notes and an active trading market for the Notes may not develop, in which case you may not be able to resell the Notes.</w:t>
      </w:r>
    </w:p>
    <w:p>
      <w:pPr>
        <w:spacing w:after="0" w:line="28"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the Company’s and the Guarantor’s financial performance, the market for similar securities and the interest of securities dealers in making a market in the Notes. In addition, changes in the overall market for investment grade securities and changes in the Company’s or the Guarantor’s financial performance or in the markets where we operate may adversely affect the liquidity of the trading market in the Notes and the market price quoted for the Notes. The market, if any, for the Notes may be subject to disruptions that may cause substantial volatility in their prices. Any disruptions may have an adverse effect on the holders of the Notes.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r>
        <w:rPr>
          <w:rFonts w:ascii="Arial" w:cs="Arial" w:eastAsia="Arial" w:hAnsi="Arial"/>
          <w:sz w:val="18"/>
          <w:szCs w:val="18"/>
          <w:color w:val="auto"/>
        </w:rPr>
        <w:t>.</w:t>
      </w:r>
    </w:p>
    <w:p>
      <w:pPr>
        <w:spacing w:after="0" w:line="104"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color w:val="auto"/>
        </w:rPr>
        <w:t>The Company is organized under the laws of Luxembourg and does not have any assets in the United States. It is anticipated that some or all of the directors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We estimate that the net proceeds (after deducting the underwriting discount and the estimated expenses of the offering payable by us) from the sale of the Notes will be approximately U.S.$        . We intend to use the net proceeds from the offering to repay existing indebtedness, as well as for general corporate purposes.</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320" w:top="455"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21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Schlumberger Investment S.A. (the “Company”) is offering U.S.$         principal amount of its   % Senior Notes due 2034 (the “Notes”). The Notes are to be issued under an indenture, dated December 3, 2013, as supplemented by the second supplemental indenture, dated June 26, 2020, and a supplemental indenture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18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w:t>
      </w:r>
    </w:p>
    <w:p>
      <w:pPr>
        <w:spacing w:after="0" w:line="16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 “Guarantor” refers to our parent company, the Guarantor, and not to any of its subsidiaries, in each case unless otherwise stated or the context otherwise requires.</w:t>
      </w:r>
    </w:p>
    <w:p>
      <w:pPr>
        <w:spacing w:after="0" w:line="169" w:lineRule="exact"/>
        <w:rPr>
          <w:sz w:val="20"/>
          <w:szCs w:val="20"/>
          <w:color w:val="auto"/>
        </w:rPr>
      </w:pPr>
    </w:p>
    <w:p>
      <w:pPr>
        <w:jc w:val="both"/>
        <w:ind w:left="120" w:right="40" w:firstLine="440"/>
        <w:spacing w:after="0" w:line="253"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69"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The registered holder of a Note will be treated as the owner of it for all purposes. Only registered holders will have rights under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Notes</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Notes are initially issuable in an aggregate principal amount of U.S.$         and will mature on         , 2034. Interest on the Notes will be 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maturity date.</w:t>
      </w:r>
    </w:p>
    <w:p>
      <w:pPr>
        <w:spacing w:after="0" w:line="185"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74"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The Notes will be issued only in registered form without interest coupons, in minimum denominations of U.S.$2,000 and in integral multiples of U.S.$1,000 in excess thereof.</w:t>
      </w:r>
    </w:p>
    <w:p>
      <w:pPr>
        <w:spacing w:after="0" w:line="154"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The Notes will bear interest at   % per annum. Interest on the Notes will accrue from         , 2034 and will be payable by the Company on         and         of each year, beginning on</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hanging="4"/>
        <w:spacing w:after="0" w:line="271"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 2024 to the person in whose name such Note is registered, subject to certain exceptions as provided in the Indenture, at the close of business on the         and immediately preceding such interest payment date (whether or not a business day).</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not subject to any mandatory redemption or any sinking fund provision.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w:t>
      </w:r>
    </w:p>
    <w:p>
      <w:pPr>
        <w:spacing w:after="0" w:line="104" w:lineRule="exact"/>
        <w:rPr>
          <w:sz w:val="20"/>
          <w:szCs w:val="20"/>
          <w:color w:val="auto"/>
        </w:rPr>
      </w:pPr>
    </w:p>
    <w:p>
      <w:pPr>
        <w:ind w:left="120" w:right="200" w:firstLine="440"/>
        <w:spacing w:after="0" w:line="247" w:lineRule="auto"/>
        <w:rPr>
          <w:sz w:val="20"/>
          <w:szCs w:val="20"/>
          <w:color w:val="auto"/>
        </w:rPr>
      </w:pPr>
      <w:r>
        <w:rPr>
          <w:rFonts w:ascii="Arial" w:cs="Arial" w:eastAsia="Arial" w:hAnsi="Arial"/>
          <w:sz w:val="18"/>
          <w:szCs w:val="18"/>
          <w:color w:val="auto"/>
        </w:rPr>
        <w:t>The Guarantor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will:</w:t>
      </w:r>
    </w:p>
    <w:p>
      <w:pPr>
        <w:spacing w:after="0" w:line="117" w:lineRule="exact"/>
        <w:rPr>
          <w:sz w:val="20"/>
          <w:szCs w:val="20"/>
          <w:color w:val="auto"/>
        </w:rPr>
      </w:pPr>
    </w:p>
    <w:p>
      <w:pPr>
        <w:jc w:val="both"/>
        <w:ind w:left="1080" w:right="480" w:hanging="424"/>
        <w:spacing w:after="0" w:line="25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74" w:lineRule="exact"/>
        <w:rPr>
          <w:rFonts w:ascii="Arial" w:cs="Arial" w:eastAsia="Arial" w:hAnsi="Arial"/>
          <w:sz w:val="18"/>
          <w:szCs w:val="18"/>
          <w:color w:val="auto"/>
        </w:rPr>
      </w:pPr>
    </w:p>
    <w:p>
      <w:pPr>
        <w:ind w:left="1080" w:right="180" w:hanging="424"/>
        <w:spacing w:after="0" w:line="27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Notes and Guarantee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w:t>
      </w:r>
    </w:p>
    <w:p>
      <w:pPr>
        <w:spacing w:after="0" w:line="117" w:lineRule="exact"/>
        <w:rPr>
          <w:sz w:val="20"/>
          <w:szCs w:val="20"/>
          <w:color w:val="auto"/>
        </w:rPr>
      </w:pPr>
    </w:p>
    <w:p>
      <w:pPr>
        <w:ind w:left="1080" w:right="80" w:hanging="424"/>
        <w:spacing w:after="0" w:line="27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59" w:lineRule="exact"/>
        <w:rPr>
          <w:rFonts w:ascii="Arial" w:cs="Arial" w:eastAsia="Arial" w:hAnsi="Arial"/>
          <w:sz w:val="18"/>
          <w:szCs w:val="18"/>
          <w:color w:val="auto"/>
        </w:rPr>
      </w:pPr>
    </w:p>
    <w:p>
      <w:pPr>
        <w:ind w:left="1080" w:right="660" w:hanging="424"/>
        <w:spacing w:after="0" w:line="271"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0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or (2) any jurisdiction from or through which payment is made or deemed made by or on behalf of the Company, or the Guarantor (including the jurisdiction of any Paying Agent for the Notes) or any political subdivision thereof or therein (each of clauses (1) and (2), a “Relevant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have been received in respect of such payments in the absence of such withholding or deduction; provided, however, that no Additional Amounts will be payable with respect to:</w:t>
      </w:r>
    </w:p>
    <w:p>
      <w:pPr>
        <w:spacing w:after="0" w:line="59" w:lineRule="exact"/>
        <w:rPr>
          <w:sz w:val="20"/>
          <w:szCs w:val="20"/>
          <w:color w:val="auto"/>
        </w:rPr>
      </w:pPr>
    </w:p>
    <w:p>
      <w:pPr>
        <w:ind w:left="1080" w:right="180" w:hanging="532"/>
        <w:spacing w:after="0" w:line="242"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Notes or Guarantee,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84" w:lineRule="exact"/>
        <w:rPr>
          <w:rFonts w:ascii="Arial" w:cs="Arial" w:eastAsia="Arial" w:hAnsi="Arial"/>
          <w:sz w:val="18"/>
          <w:szCs w:val="18"/>
          <w:color w:val="auto"/>
        </w:rPr>
      </w:pPr>
    </w:p>
    <w:p>
      <w:pPr>
        <w:ind w:left="1080" w:right="60" w:hanging="532"/>
        <w:spacing w:after="0" w:line="24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080" w:right="320" w:hanging="532"/>
        <w:spacing w:after="0" w:line="24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79" w:lineRule="exact"/>
        <w:rPr>
          <w:rFonts w:ascii="Arial" w:cs="Arial" w:eastAsia="Arial" w:hAnsi="Arial"/>
          <w:sz w:val="18"/>
          <w:szCs w:val="18"/>
          <w:color w:val="auto"/>
        </w:rPr>
      </w:pPr>
    </w:p>
    <w:p>
      <w:pPr>
        <w:ind w:left="1080" w:right="200" w:hanging="532"/>
        <w:spacing w:after="0" w:line="27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Taxes withheld, deducted or imposed pursuant to the Luxembourg law of 23 December 2005, as amended from time to time;</w:t>
      </w:r>
    </w:p>
    <w:p>
      <w:pPr>
        <w:spacing w:after="0" w:line="59" w:lineRule="exact"/>
        <w:rPr>
          <w:rFonts w:ascii="Arial" w:cs="Arial" w:eastAsia="Arial" w:hAnsi="Arial"/>
          <w:sz w:val="18"/>
          <w:szCs w:val="18"/>
          <w:color w:val="auto"/>
        </w:rPr>
      </w:pPr>
    </w:p>
    <w:p>
      <w:pPr>
        <w:ind w:left="1080" w:right="480" w:hanging="532"/>
        <w:spacing w:after="0" w:line="27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59" w:lineRule="exact"/>
        <w:rPr>
          <w:rFonts w:ascii="Arial" w:cs="Arial" w:eastAsia="Arial" w:hAnsi="Arial"/>
          <w:sz w:val="18"/>
          <w:szCs w:val="18"/>
          <w:color w:val="auto"/>
        </w:rPr>
      </w:pPr>
    </w:p>
    <w:p>
      <w:pPr>
        <w:ind w:left="1080" w:right="700" w:hanging="532"/>
        <w:spacing w:after="0" w:line="27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Notes or the Guarantee;</w:t>
      </w:r>
    </w:p>
    <w:p>
      <w:pPr>
        <w:spacing w:after="0" w:line="5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w:t>
      </w:r>
    </w:p>
    <w:p>
      <w:pPr>
        <w:spacing w:after="0" w:line="90" w:lineRule="exact"/>
        <w:rPr>
          <w:rFonts w:ascii="Arial" w:cs="Arial" w:eastAsia="Arial" w:hAnsi="Arial"/>
          <w:sz w:val="18"/>
          <w:szCs w:val="18"/>
          <w:color w:val="auto"/>
        </w:rPr>
      </w:pPr>
    </w:p>
    <w:p>
      <w:pPr>
        <w:ind w:left="1080" w:right="300" w:hanging="532"/>
        <w:spacing w:after="0" w:line="24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Taxes imposed, deducted or withheld pursuant to section 1471(b) of the U.S. Internal Revenue Code of 1986, as amended (the “Code”), or otherwise imposed pursuant to sections 1471 through 1474 of the Code, in each case, as of the date of the original issuance of the Notes (the “Issue Date”) (and any amended or successor version that is substantively comparable), any current or future regulations or agreements thereunder, official interpretations thereof or any law implementing an intergovernmental agreement relating thereto; or</w:t>
      </w:r>
    </w:p>
    <w:p>
      <w:pPr>
        <w:spacing w:after="0" w:line="81"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combination of items (1) through (9) above.</w:t>
      </w:r>
    </w:p>
    <w:p>
      <w:pPr>
        <w:spacing w:after="0" w:line="21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In addition to the foregoing, the Company and the Guarantor, as the case may be, will also pay and indemnify the beneficial owner for any present or future stamp, issue, registration, court or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documentary Taxes, or any other excise or property Taxes, charges or similar levies (including penalties, interest and any other reasonable expenses related thereto) which are levied by a Relevant Tax Jurisdiction on the execution, delivery, issuance, or registration of its Notes, or the Indenture, Guarantee or any other document or instrument referred to therein, except in the case of Luxembourg, any registration duties (droits d’enregistrement) that would become payable upon a voluntary registration made by any party in Luxembourg of the Notes, the Indenture, Guarantee or any other document or instrument referred to therein.</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Notes,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0"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will be deemed to include mention of the payment of Additional Amounts to the extent that, in such context, Additional Amounts are, were or would be payable in respect thereof.</w:t>
      </w:r>
    </w:p>
    <w:p>
      <w:pPr>
        <w:spacing w:after="0" w:line="17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 xml:space="preserve">The above obligations will survive any termination, defeasance or discharge of the Indenture, any transfer by a holder or beneficial owner of its Notes, and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74" w:lineRule="exact"/>
        <w:rPr>
          <w:sz w:val="20"/>
          <w:szCs w:val="20"/>
          <w:color w:val="auto"/>
        </w:rPr>
      </w:pPr>
    </w:p>
    <w:p>
      <w:pPr>
        <w:jc w:val="both"/>
        <w:ind w:left="120" w:right="560" w:firstLine="440"/>
        <w:spacing w:after="0" w:line="253" w:lineRule="auto"/>
        <w:rPr>
          <w:sz w:val="20"/>
          <w:szCs w:val="20"/>
          <w:color w:val="auto"/>
        </w:rPr>
      </w:pPr>
      <w:r>
        <w:rPr>
          <w:rFonts w:ascii="Arial" w:cs="Arial" w:eastAsia="Arial" w:hAnsi="Arial"/>
          <w:sz w:val="18"/>
          <w:szCs w:val="18"/>
          <w:color w:val="auto"/>
        </w:rPr>
        <w:t>Notwithstanding any provision herein or in the Indenture, the Notes or the Guarantee to the contrary, none of the Trustee, the Registrar, any transfer agent or any Paying Agent will be required to determine the identity of a beneficial owner or be liable for any determination thereof by the Company or the Guarantor.</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At any time prior to the Par Call Date, we may, at our option, redeem the Notes, in whole or in part, at any time and from time to time, at a redemption price (expressed as a percentage of principal amount and rounded to three decimal places) equal to the greater of:</w:t>
      </w:r>
    </w:p>
    <w:p>
      <w:pPr>
        <w:spacing w:after="0" w:line="59" w:lineRule="exact"/>
        <w:rPr>
          <w:sz w:val="20"/>
          <w:szCs w:val="20"/>
          <w:color w:val="auto"/>
        </w:rPr>
      </w:pPr>
    </w:p>
    <w:p>
      <w:pPr>
        <w:ind w:left="1080" w:right="320" w:hanging="532"/>
        <w:spacing w:after="0" w:line="24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and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either case, accrued and unpaid interest thereon, if any, to, but not including, the redemption date.</w:t>
      </w:r>
    </w:p>
    <w:p>
      <w:pPr>
        <w:spacing w:after="0" w:line="212" w:lineRule="exact"/>
        <w:rPr>
          <w:sz w:val="20"/>
          <w:szCs w:val="20"/>
          <w:color w:val="auto"/>
        </w:rPr>
      </w:pPr>
    </w:p>
    <w:p>
      <w:pPr>
        <w:jc w:val="both"/>
        <w:ind w:left="120" w:right="120" w:firstLine="440"/>
        <w:spacing w:after="0" w:line="253" w:lineRule="auto"/>
        <w:rPr>
          <w:sz w:val="20"/>
          <w:szCs w:val="20"/>
          <w:color w:val="auto"/>
        </w:rPr>
      </w:pPr>
      <w:r>
        <w:rPr>
          <w:rFonts w:ascii="Arial" w:cs="Arial" w:eastAsia="Arial" w:hAnsi="Arial"/>
          <w:sz w:val="18"/>
          <w:szCs w:val="18"/>
          <w:color w:val="auto"/>
        </w:rPr>
        <w:t>At any time on or after the Par Call Date, we may, at our option, redeem the Notes, in whole or in part, at any time and from time to time, at a redemption price equal to 100% of the principal amount of the Notes to be redeemed plus accrued and unpaid interest thereon, if any, to, but not including, the redemption date.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 Call Date” means             .</w:t>
      </w:r>
    </w:p>
    <w:p>
      <w:pPr>
        <w:spacing w:after="0" w:line="212" w:lineRule="exact"/>
        <w:rPr>
          <w:sz w:val="20"/>
          <w:szCs w:val="20"/>
          <w:color w:val="auto"/>
        </w:rPr>
      </w:pPr>
    </w:p>
    <w:p>
      <w:pPr>
        <w:jc w:val="both"/>
        <w:ind w:left="120" w:right="100" w:firstLine="440"/>
        <w:spacing w:after="0" w:line="271" w:lineRule="auto"/>
        <w:rPr>
          <w:sz w:val="20"/>
          <w:szCs w:val="20"/>
          <w:color w:val="auto"/>
        </w:rPr>
      </w:pPr>
      <w:r>
        <w:rPr>
          <w:rFonts w:ascii="Arial" w:cs="Arial" w:eastAsia="Arial" w:hAnsi="Arial"/>
          <w:sz w:val="18"/>
          <w:szCs w:val="18"/>
          <w:color w:val="auto"/>
        </w:rPr>
        <w:t>“Treasury Rate” means, with respect to any redemption date, the yield determined by the Company in accordance with the following two paragraphs.</w:t>
      </w:r>
    </w:p>
    <w:p>
      <w:pPr>
        <w:spacing w:after="0" w:line="154" w:lineRule="exact"/>
        <w:rPr>
          <w:sz w:val="20"/>
          <w:szCs w:val="20"/>
          <w:color w:val="auto"/>
        </w:rPr>
      </w:pPr>
    </w:p>
    <w:p>
      <w:pPr>
        <w:ind w:left="120" w:right="100" w:firstLine="440"/>
        <w:spacing w:after="0" w:line="252" w:lineRule="auto"/>
        <w:rPr>
          <w:sz w:val="20"/>
          <w:szCs w:val="20"/>
          <w:color w:val="auto"/>
        </w:rPr>
      </w:pPr>
      <w:r>
        <w:rPr>
          <w:rFonts w:ascii="Arial" w:cs="Arial" w:eastAsia="Arial" w:hAnsi="Arial"/>
          <w:sz w:val="17"/>
          <w:szCs w:val="17"/>
          <w:color w:val="auto"/>
        </w:rPr>
        <w:t>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will select, as applicable:</w:t>
      </w:r>
    </w:p>
    <w:p>
      <w:pPr>
        <w:spacing w:after="0" w:line="2" w:lineRule="exact"/>
        <w:rPr>
          <w:sz w:val="20"/>
          <w:szCs w:val="20"/>
          <w:color w:val="auto"/>
        </w:rPr>
      </w:pPr>
    </w:p>
    <w:p>
      <w:pPr>
        <w:ind w:left="120" w:right="160" w:hanging="4"/>
        <w:spacing w:after="0" w:line="237"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w:t>
      </w:r>
    </w:p>
    <w:p>
      <w:pPr>
        <w:spacing w:after="0" w:line="181"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Date, but there are two or more United States Treasury securities with a maturity date equally distant from the Par Call Date, one with a maturity date preceding the Par Call Date,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w:t>
      </w:r>
    </w:p>
    <w:p>
      <w:pPr>
        <w:spacing w:after="0" w:line="183"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Company or the Guarantor may redeem the Notes, in whole but not in part, at its discretion at any time upon giving not fewer than 10 nor more than 60 days’ prior notice to the holders of the Notes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the Notes on the relevant record date to receive interest due on the relevant interest payment date and Additional Amounts (if any) in respect thereof), if on the next date on which any amount would be payable in respect of the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w:t>
      </w:r>
    </w:p>
    <w:p>
      <w:pPr>
        <w:spacing w:after="0" w:line="85" w:lineRule="exact"/>
        <w:rPr>
          <w:sz w:val="20"/>
          <w:szCs w:val="20"/>
          <w:color w:val="auto"/>
        </w:rPr>
      </w:pPr>
    </w:p>
    <w:p>
      <w:pPr>
        <w:ind w:left="1080" w:right="160" w:hanging="532"/>
        <w:spacing w:after="0" w:line="24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79" w:lineRule="exact"/>
        <w:rPr>
          <w:rFonts w:ascii="Arial" w:cs="Arial" w:eastAsia="Arial" w:hAnsi="Arial"/>
          <w:sz w:val="18"/>
          <w:szCs w:val="18"/>
          <w:color w:val="auto"/>
        </w:rPr>
      </w:pPr>
    </w:p>
    <w:p>
      <w:pPr>
        <w:ind w:left="1080" w:right="20" w:hanging="532"/>
        <w:spacing w:after="0" w:line="26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59" w:lineRule="exact"/>
        <w:rPr>
          <w:sz w:val="20"/>
          <w:szCs w:val="20"/>
          <w:color w:val="auto"/>
        </w:rPr>
      </w:pPr>
    </w:p>
    <w:p>
      <w:pPr>
        <w:ind w:left="120" w:right="280" w:firstLine="440"/>
        <w:spacing w:after="0" w:line="247"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Guarantor, as applicable, will deliver to the Trustee an opinion of independent tax counsel to the effect that there has been such amendment or change which would entitle the Company or the Guarantor to redeem the Notes hereunder. In addition, before the Company or the Guarantor, as applicable, gives notice of redemption of the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w:t>
      </w:r>
    </w:p>
    <w:p>
      <w:pPr>
        <w:spacing w:after="0" w:line="176"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Trustee will accept and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16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0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If fewer than all of the Notes are to be redeemed at any time, the Trustee will select Notes in definitive, non-global form for redemption on a pro rata basis (or, in the case of Notes issued in global form as discussed under “—Book-Entry, Delivery and Form,” such Notes to be redeemed will be selected in accordance with the procedures of the depository therefor) unless otherwise required by law or applicable stock exchange.</w:t>
      </w:r>
    </w:p>
    <w:p>
      <w:pPr>
        <w:spacing w:after="0" w:line="174"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No Notes in principal amount of U.S.$2,000 or less can be redeemed in part. Notices of redemption will be given at least 10 but not more than 60 days before the redemption date to each holder of Notes to be redeemed, except that redemption notices may be given more than 60 days prior to a redemption date if the notice is issued in connection with a defeasance of the Notes or a satisfaction and discharge of the Indenture.</w:t>
      </w:r>
    </w:p>
    <w:p>
      <w:pPr>
        <w:spacing w:after="0" w:line="17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76" w:lineRule="exact"/>
        <w:rPr>
          <w:sz w:val="20"/>
          <w:szCs w:val="20"/>
          <w:color w:val="auto"/>
        </w:rPr>
      </w:pPr>
    </w:p>
    <w:p>
      <w:pPr>
        <w:jc w:val="both"/>
        <w:ind w:left="120" w:right="200" w:firstLine="440"/>
        <w:spacing w:after="0" w:line="255" w:lineRule="auto"/>
        <w:rPr>
          <w:sz w:val="20"/>
          <w:szCs w:val="20"/>
          <w:color w:val="auto"/>
        </w:rPr>
      </w:pPr>
      <w:r>
        <w:rPr>
          <w:rFonts w:ascii="Arial" w:cs="Arial" w:eastAsia="Arial" w:hAnsi="Arial"/>
          <w:sz w:val="17"/>
          <w:szCs w:val="17"/>
          <w:color w:val="auto"/>
        </w:rPr>
        <w:t>The Trustee will not be liable for selections made as contemplated in this section. Notices to holders of definitive, non-global Notes will be mailed to them at their registered addresses. For Notes which are represented by global Notes held on behalf of The Depository Trust Company (“DTC”), Euroclear Bank SA/NV, as operator of the Euroclear System (“Euroclear”) and Clearstream Banking S.A.</w:t>
      </w:r>
    </w:p>
    <w:p>
      <w:pPr>
        <w:spacing w:after="0" w:line="2" w:lineRule="exact"/>
        <w:rPr>
          <w:sz w:val="20"/>
          <w:szCs w:val="20"/>
          <w:color w:val="auto"/>
        </w:rPr>
      </w:pPr>
    </w:p>
    <w:p>
      <w:pPr>
        <w:jc w:val="both"/>
        <w:ind w:left="120" w:right="200"/>
        <w:spacing w:after="0" w:line="250" w:lineRule="auto"/>
        <w:rPr>
          <w:sz w:val="20"/>
          <w:szCs w:val="20"/>
          <w:color w:val="auto"/>
        </w:rPr>
      </w:pPr>
      <w:r>
        <w:rPr>
          <w:rFonts w:ascii="Arial" w:cs="Arial" w:eastAsia="Arial" w:hAnsi="Arial"/>
          <w:sz w:val="18"/>
          <w:szCs w:val="18"/>
          <w:color w:val="auto"/>
        </w:rPr>
        <w:t>(“Clearstream”), notices may be given by delivery of the relevant notices to DTC, Euroclear or Clearstream for communication to entitled account holders in substitution for the aforesaid mailing.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04" w:lineRule="exact"/>
        <w:rPr>
          <w:sz w:val="20"/>
          <w:szCs w:val="20"/>
          <w:color w:val="auto"/>
        </w:rPr>
      </w:pPr>
    </w:p>
    <w:p>
      <w:pPr>
        <w:jc w:val="both"/>
        <w:ind w:left="120" w:right="240" w:firstLine="440"/>
        <w:spacing w:after="0" w:line="275" w:lineRule="auto"/>
        <w:rPr>
          <w:sz w:val="20"/>
          <w:szCs w:val="20"/>
          <w:color w:val="auto"/>
        </w:rPr>
      </w:pPr>
      <w:r>
        <w:rPr>
          <w:rFonts w:ascii="Arial" w:cs="Arial" w:eastAsia="Arial" w:hAnsi="Arial"/>
          <w:sz w:val="17"/>
          <w:szCs w:val="17"/>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04"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so determine, any of its other indebtedness or the indebtedness of any such restricted subsidiary then existing or thereafter created ranking on a parity with the Notes or Guarantee)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5"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Notes;</w:t>
      </w:r>
    </w:p>
    <w:p>
      <w:pPr>
        <w:spacing w:after="0" w:line="117"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9" w:lineRule="exact"/>
        <w:rPr>
          <w:rFonts w:ascii="Arial" w:cs="Arial" w:eastAsia="Arial" w:hAnsi="Arial"/>
          <w:sz w:val="18"/>
          <w:szCs w:val="18"/>
          <w:color w:val="auto"/>
        </w:rPr>
      </w:pPr>
    </w:p>
    <w:p>
      <w:pPr>
        <w:ind w:left="1080" w:right="280" w:hanging="532"/>
        <w:spacing w:after="0" w:line="24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9" w:lineRule="exact"/>
        <w:rPr>
          <w:rFonts w:ascii="Arial" w:cs="Arial" w:eastAsia="Arial" w:hAnsi="Arial"/>
          <w:sz w:val="18"/>
          <w:szCs w:val="18"/>
          <w:color w:val="auto"/>
        </w:rPr>
      </w:pPr>
    </w:p>
    <w:p>
      <w:pPr>
        <w:ind w:left="1080" w:right="320" w:hanging="532"/>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mortgage of any property or assets to secure indebtedness of the pollution control, industrial revenue or other revenue bond type;</w:t>
      </w:r>
    </w:p>
    <w:p>
      <w:pPr>
        <w:spacing w:after="0" w:line="59"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9" w:lineRule="exact"/>
        <w:rPr>
          <w:rFonts w:ascii="Arial" w:cs="Arial" w:eastAsia="Arial" w:hAnsi="Arial"/>
          <w:sz w:val="18"/>
          <w:szCs w:val="18"/>
          <w:color w:val="auto"/>
        </w:rPr>
      </w:pPr>
    </w:p>
    <w:p>
      <w:pPr>
        <w:ind w:left="1080" w:right="260" w:hanging="532"/>
        <w:spacing w:after="0" w:line="27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1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5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2"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0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85"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It is possible that a merger, transfer, or other transaction could be treated for U.S. federal income tax purposes as a taxable exchange by the beneficial owners of the Notes for new securities, which could result in beneficial owners of the Notes being required to recognize taxable gain or loss for U.S. federal income tax purposes. A merger, transfer, lease or other transaction could also have adverse tax consequences to beneficial owners of the Notes under other tax laws to which the beneficial owners are subject.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04"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color w:val="auto"/>
        </w:rPr>
        <w:t>Any subsidiary of the Guarantor may, at its option, assume the obligations of the Company under the Indenture and the Notes, provided that:</w:t>
      </w:r>
    </w:p>
    <w:p>
      <w:pPr>
        <w:spacing w:after="0" w:line="59" w:lineRule="exact"/>
        <w:rPr>
          <w:sz w:val="20"/>
          <w:szCs w:val="20"/>
          <w:color w:val="auto"/>
        </w:rPr>
      </w:pPr>
    </w:p>
    <w:p>
      <w:pPr>
        <w:ind w:left="1080" w:right="260" w:hanging="532"/>
        <w:spacing w:after="0" w:line="27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subsidiary expressly assumes such obligations in an assumption agreement or supplemental indenture duly executed and delivered to the Trustee, and</w:t>
      </w:r>
    </w:p>
    <w:p>
      <w:pPr>
        <w:spacing w:after="0" w:line="59" w:lineRule="exact"/>
        <w:rPr>
          <w:rFonts w:ascii="Arial" w:cs="Arial" w:eastAsia="Arial" w:hAnsi="Arial"/>
          <w:sz w:val="18"/>
          <w:szCs w:val="18"/>
          <w:color w:val="auto"/>
        </w:rPr>
      </w:pPr>
    </w:p>
    <w:p>
      <w:pPr>
        <w:ind w:left="1080" w:right="340" w:hanging="532"/>
        <w:spacing w:after="0" w:line="271"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54"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Upon any such assumption, the person so assuming the Company’s obligations under the Indenture and the Notes will succeed to, and be substituted for, and may exercise any right and power of, the Company under the Notes and the Indenture with the same effect as if such person had been the issuer thereof, and the Company will be released from its liability as obligor under the Notes. An Officer’s Certificate and an opinion of counsel will be delivered to the Trustee, which will serve as conclusive evidence of compliance with these provisions.</w:t>
      </w:r>
    </w:p>
    <w:p>
      <w:pPr>
        <w:spacing w:after="0" w:line="286"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i w:val="1"/>
          <w:iCs w:val="1"/>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U.S. Holders (as defined in “U.S. Federal Income Tax Considerations”) of such Notes may recognize taxable gain for U.S. federal income tax purposes, generally in an amount equal to the excess (if any) of the “issue price” of the new Notes over their basis in the old Notes, even though such U.S. Holders continue to hold the Notes and receive no distribution in connection with the deemed disposition. Beneficial owners of Notes who are U.S. Holders should consult their tax advisors regarding the non-U.S., U.S. federal, state and local income tax consequences of an assumption of the Company’s obligations as issuer of Notes by a subsidiary of the Guarantor. See “U.S. Federal Income Tax Considerations.”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Pursuant to the Indenture, the Trustee will notify holders of an assumption of the Company’s obligations as the issuer of the Notes by a subsidiary of the Guarantor. Upon an assumption treated as a taxable exchange,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 The information on or accessible through the Guarantor’s website is not incorporated herein by reference.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“Events of Default” with respect to the Notes:</w:t>
      </w:r>
    </w:p>
    <w:p>
      <w:pPr>
        <w:spacing w:after="0" w:line="117"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failure to pay any interest on the Notes within 30 days after such interest becomes due and payable;</w:t>
      </w:r>
    </w:p>
    <w:p>
      <w:pPr>
        <w:spacing w:after="0" w:line="117" w:lineRule="exact"/>
        <w:rPr>
          <w:rFonts w:ascii="Arial" w:cs="Arial" w:eastAsia="Arial" w:hAnsi="Arial"/>
          <w:sz w:val="18"/>
          <w:szCs w:val="18"/>
          <w:color w:val="auto"/>
        </w:rPr>
      </w:pPr>
    </w:p>
    <w:p>
      <w:pPr>
        <w:ind w:left="1080" w:right="120" w:hanging="424"/>
        <w:spacing w:after="0" w:line="271"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failure to pay principal of the Notes at maturity, or if applicable, the redemption price, when the same become due and payable;</w:t>
      </w:r>
    </w:p>
    <w:p>
      <w:pPr>
        <w:spacing w:after="0" w:line="59" w:lineRule="exact"/>
        <w:rPr>
          <w:rFonts w:ascii="Arial" w:cs="Arial" w:eastAsia="Arial" w:hAnsi="Arial"/>
          <w:sz w:val="18"/>
          <w:szCs w:val="18"/>
          <w:color w:val="auto"/>
        </w:rPr>
      </w:pPr>
    </w:p>
    <w:p>
      <w:pPr>
        <w:ind w:left="1080" w:right="40" w:hanging="424"/>
        <w:spacing w:after="0" w:line="24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79" w:lineRule="exact"/>
        <w:rPr>
          <w:rFonts w:ascii="Arial" w:cs="Arial" w:eastAsia="Arial" w:hAnsi="Arial"/>
          <w:sz w:val="18"/>
          <w:szCs w:val="18"/>
          <w:color w:val="auto"/>
        </w:rPr>
      </w:pPr>
    </w:p>
    <w:p>
      <w:pPr>
        <w:ind w:left="1080" w:right="260" w:hanging="424"/>
        <w:spacing w:after="0" w:line="25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1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17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an Event of Default for the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of Notes may pursue any remedy under the Indenture applicable to such Notes only if:</w:t>
      </w:r>
    </w:p>
    <w:p>
      <w:pPr>
        <w:spacing w:after="0" w:line="117" w:lineRule="exact"/>
        <w:rPr>
          <w:sz w:val="20"/>
          <w:szCs w:val="20"/>
          <w:color w:val="auto"/>
        </w:rPr>
      </w:pPr>
    </w:p>
    <w:p>
      <w:pPr>
        <w:ind w:left="5440" w:right="2880" w:hanging="4784"/>
        <w:spacing w:after="0" w:line="443"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 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such outstanding Notes make a written request to the Trustee to pursue the remedy;</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15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This provision does not, however, affect the right of a holder of Notes to sue for enforcement of any overdue payment with respect to such Notes.</w:t>
      </w:r>
    </w:p>
    <w:p>
      <w:pPr>
        <w:spacing w:after="0" w:line="154" w:lineRule="exact"/>
        <w:rPr>
          <w:sz w:val="20"/>
          <w:szCs w:val="20"/>
          <w:color w:val="auto"/>
        </w:rPr>
      </w:pPr>
    </w:p>
    <w:p>
      <w:pPr>
        <w:ind w:left="120" w:right="580" w:firstLine="440"/>
        <w:spacing w:after="0" w:line="271" w:lineRule="auto"/>
        <w:rPr>
          <w:sz w:val="20"/>
          <w:szCs w:val="20"/>
          <w:color w:val="auto"/>
        </w:rPr>
      </w:pPr>
      <w:r>
        <w:rPr>
          <w:rFonts w:ascii="Arial" w:cs="Arial" w:eastAsia="Arial" w:hAnsi="Arial"/>
          <w:sz w:val="18"/>
          <w:szCs w:val="18"/>
          <w:color w:val="auto"/>
        </w:rPr>
        <w:t>In most cases, holders of a majority in principal amount of the outstanding Notes issued by the Company may direct the time, method and place of:</w:t>
      </w:r>
    </w:p>
    <w:p>
      <w:pPr>
        <w:spacing w:after="0" w:line="5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such Notes.</w:t>
      </w:r>
    </w:p>
    <w:p>
      <w:pPr>
        <w:spacing w:after="0" w:line="154"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04" w:lineRule="exact"/>
        <w:rPr>
          <w:sz w:val="20"/>
          <w:szCs w:val="20"/>
          <w:color w:val="auto"/>
        </w:rPr>
      </w:pPr>
    </w:p>
    <w:p>
      <w:pPr>
        <w:ind w:left="120" w:right="140" w:firstLine="440"/>
        <w:spacing w:after="0" w:line="239" w:lineRule="auto"/>
        <w:rPr>
          <w:sz w:val="20"/>
          <w:szCs w:val="20"/>
          <w:color w:val="auto"/>
        </w:rPr>
      </w:pPr>
      <w:r>
        <w:rPr>
          <w:rFonts w:ascii="Arial" w:cs="Arial" w:eastAsia="Arial" w:hAnsi="Arial"/>
          <w:sz w:val="18"/>
          <w:szCs w:val="18"/>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Without the consent of each holder of Notes affected thereby, an amendment, supplement or waiver may not (with respect to any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held by a non-consenting holder):</w:t>
      </w:r>
    </w:p>
    <w:p>
      <w:pPr>
        <w:spacing w:after="0" w:line="9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the Notes;</w:t>
      </w:r>
    </w:p>
    <w:p>
      <w:pPr>
        <w:spacing w:after="0" w:line="117" w:lineRule="exact"/>
        <w:rPr>
          <w:rFonts w:ascii="Arial" w:cs="Arial" w:eastAsia="Arial" w:hAnsi="Arial"/>
          <w:sz w:val="18"/>
          <w:szCs w:val="18"/>
          <w:color w:val="auto"/>
        </w:rPr>
      </w:pPr>
    </w:p>
    <w:p>
      <w:pPr>
        <w:ind w:left="1080" w:right="800" w:hanging="424"/>
        <w:spacing w:after="0" w:line="271"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Notes or change the time at which the Notes may or must be redeemed;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payments on the Notes payable in currency other than as originally stated in the Notes;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the Notes;</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Notes necessary to waive compliance with certain provisions of the Indenture such Notes were issued under or to make any change in this provision for modification; or</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Notes.</w:t>
      </w:r>
    </w:p>
    <w:p>
      <w:pPr>
        <w:spacing w:after="0" w:line="21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Notwithstanding the preceding, without the consent of any holder of Notes, the Company, the Guarantor and the Trustee may amend or supplement the Indenture or the Notes or Guarantee in certain circumstances, including:</w:t>
      </w:r>
    </w:p>
    <w:p>
      <w:pPr>
        <w:spacing w:after="0" w:line="5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080" w:right="20" w:hanging="424"/>
        <w:spacing w:after="0" w:line="24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 the assumption of the Company’s obligations under the Indenture and the Notes by a subsidiary of the Guarantor in accordance with the requirements under “— Assumption by a Subsidiary” above;</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any security for or guarantee of the Notes or for the addition of an additional obligor on the Notes;</w:t>
      </w:r>
    </w:p>
    <w:p>
      <w:pPr>
        <w:spacing w:after="0" w:line="117"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(the “Trust Indenture Act”), if applicable;</w:t>
      </w:r>
    </w:p>
    <w:p>
      <w:pPr>
        <w:spacing w:after="0" w:line="59"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the outstanding Notes or to surrender any rights the Company has under the Indenture;</w:t>
      </w:r>
    </w:p>
    <w:p>
      <w:pPr>
        <w:spacing w:after="0" w:line="59" w:lineRule="exact"/>
        <w:rPr>
          <w:rFonts w:ascii="Arial" w:cs="Arial" w:eastAsia="Arial" w:hAnsi="Arial"/>
          <w:sz w:val="18"/>
          <w:szCs w:val="18"/>
          <w:color w:val="auto"/>
        </w:rPr>
      </w:pPr>
    </w:p>
    <w:p>
      <w:pPr>
        <w:ind w:left="1080" w:right="280" w:hanging="424"/>
        <w:spacing w:after="0" w:line="25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any the outstanding Notes created prior to the execution of such supplemental indenture which is entitled to the benefit of such provision;</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17" w:lineRule="exact"/>
        <w:rPr>
          <w:rFonts w:ascii="Arial" w:cs="Arial" w:eastAsia="Arial" w:hAnsi="Arial"/>
          <w:sz w:val="18"/>
          <w:szCs w:val="18"/>
          <w:color w:val="auto"/>
        </w:rPr>
      </w:pPr>
    </w:p>
    <w:p>
      <w:pPr>
        <w:ind w:left="1080" w:right="200" w:hanging="424"/>
        <w:spacing w:after="0" w:line="271"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issue additional Notes; provided that such additional Notes have the same terms as, and will be deemed part of the same series as, the Notes to the extent required under the Indenture;</w:t>
      </w:r>
    </w:p>
    <w:p>
      <w:pPr>
        <w:spacing w:after="0" w:line="59" w:lineRule="exact"/>
        <w:rPr>
          <w:rFonts w:ascii="Arial" w:cs="Arial" w:eastAsia="Arial" w:hAnsi="Arial"/>
          <w:sz w:val="18"/>
          <w:szCs w:val="18"/>
          <w:color w:val="auto"/>
        </w:rPr>
      </w:pPr>
    </w:p>
    <w:p>
      <w:pPr>
        <w:ind w:left="1080" w:right="160" w:hanging="424"/>
        <w:spacing w:after="0" w:line="25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Notes and to add to or change any of the provisions of the Indenture as are necessary to provide for or facilitate the administration of the trust by more than one trustee;</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Notes;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the outstanding Notes in any material respect.</w:t>
      </w:r>
    </w:p>
    <w:p>
      <w:pPr>
        <w:spacing w:after="0" w:line="21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10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04" w:lineRule="exact"/>
        <w:rPr>
          <w:sz w:val="20"/>
          <w:szCs w:val="20"/>
          <w:color w:val="auto"/>
        </w:rPr>
      </w:pPr>
    </w:p>
    <w:p>
      <w:pPr>
        <w:jc w:val="both"/>
        <w:ind w:left="120" w:right="140" w:firstLine="440"/>
        <w:spacing w:after="0" w:line="253"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74" w:lineRule="exact"/>
        <w:rPr>
          <w:sz w:val="20"/>
          <w:szCs w:val="20"/>
          <w:color w:val="auto"/>
        </w:rPr>
      </w:pPr>
    </w:p>
    <w:p>
      <w:pPr>
        <w:ind w:left="1080" w:right="24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Notes, except as described in the paragraph immediately below (“legal defeasance”); or</w:t>
      </w:r>
    </w:p>
    <w:p>
      <w:pPr>
        <w:spacing w:after="0" w:line="59" w:lineRule="exact"/>
        <w:rPr>
          <w:rFonts w:ascii="Arial" w:cs="Arial" w:eastAsia="Arial" w:hAnsi="Arial"/>
          <w:sz w:val="18"/>
          <w:szCs w:val="18"/>
          <w:color w:val="auto"/>
        </w:rPr>
      </w:pPr>
    </w:p>
    <w:p>
      <w:pPr>
        <w:ind w:left="1080" w:right="280" w:hanging="424"/>
        <w:spacing w:after="0" w:line="271"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and the related Events of Default will no longer apply to the Company (“covenant defeasance”).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exercise our legal defeasance option notwithstanding our prior exercise of our covenant defeasance option.</w:t>
      </w:r>
    </w:p>
    <w:p>
      <w:pPr>
        <w:spacing w:after="0" w:line="212"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color w:val="auto"/>
        </w:rPr>
        <w:t>If we exercise our legal defeasance option with respect to the Notes, the Company and the Guarantor will be deemed to have paid and discharged the entire indebtedness represented by the outstanding Notes and the Guarantee, and to have satisfied all other obligations under the Notes, the Guarantee and the Indenture, except as to (i) the Company’s obligations to register the transfer or exchange of the Notes, replace stolen, lost or mutilated Notes, pay Additional Amounts, maintain paying agencies, and hold moneys for payment in trust, and (ii) the obligation of the Company and the Guarantor to compensate and indemnify the Trustee.</w:t>
      </w:r>
    </w:p>
    <w:p>
      <w:pPr>
        <w:spacing w:after="0" w:line="17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If we exercise our covenant defeasance option with respect to the Notes, the Company will no longer have any obligation to comply with the restrictive covenants under the Indenture, and the related Events of Default will no longer apply to the Company. Except as specified in the Indenture, however, the remainder of the Indenture and the Notes and the Guarantee will be unaffected by the occurrence of covenant defeasance, and the Notes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79"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or a tax ruling to the effect that the deposit and related defeasance would not cause the beneficial owners of the Notes to recognize income, gain or loss for U.S. federal income tax purposes. If the Company elects legal defeasance, that opinion of counsel must be based upon a ruling from the U.S. Internal Revenue Service (or successor agency) or changes in law to that effect.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0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or security reasonably satisfactory to it.</w:t>
      </w:r>
    </w:p>
    <w:p>
      <w:pPr>
        <w:spacing w:after="0" w:line="174"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04"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We will maintain one or more paying agents (each a “Paying Agent”) for the Notes in the Borough of Manhattan, City of New York. We will also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the Notes. If we fail to appoint or maintain another entity as Paying Agent, the Trustee will act as such. The Company, the Guarantor or any of the Guarantor’s subsidiaries, upon notice to the Trustee, may act as Paying Agent. The initial Paying Agent will be The Bank of New York Mellon in New York.</w:t>
      </w:r>
    </w:p>
    <w:p>
      <w:pPr>
        <w:spacing w:after="0" w:line="180"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We will also maintain a registrar (the “Registrar”) with an office in the Borough of Manhattan, City of New York. Upon written notice to the Trustee accompanied by an Officer’s Certificate, we may appoint one or more registrars, other than the Trustee, for the Notes. If we fail to appoint or maintain another entity as Registrar, the Trustee will act as such. The Company, the Guarantor or any of the Guarantor’s subsidiaries, upon notice to the Trustee, may act as Registrar. The initial Registrar will be The Bank of New York Mellon in New York.</w:t>
      </w:r>
    </w:p>
    <w:p>
      <w:pPr>
        <w:spacing w:after="0" w:line="174" w:lineRule="exact"/>
        <w:rPr>
          <w:sz w:val="20"/>
          <w:szCs w:val="20"/>
          <w:color w:val="auto"/>
        </w:rPr>
      </w:pPr>
    </w:p>
    <w:p>
      <w:pPr>
        <w:jc w:val="both"/>
        <w:ind w:left="120" w:right="80" w:firstLine="440"/>
        <w:spacing w:after="0" w:line="244"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the Notes. If we fail to appoint or maintain another entity as transfer agent, the Trustee will act as such. The Company, the Guarantor or any of the Guarantor’s subsidiaries, upon notice to the Trustee, may act as transfer agent. The initial transfer agent will be The Bank of New York Mellon in New York.</w:t>
      </w:r>
    </w:p>
    <w:p>
      <w:pPr>
        <w:spacing w:after="0" w:line="176"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our behalf.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Notes.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10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Company may, from time to time, without notice to or consent of the registered holders of the Notes, increase the principal amount of the Notes that may be issued under the Indenture and issue such increased principal amount (or any portion thereof), in which case any such additional Notes so</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04"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69"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5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represented by a global Note can be exchanged for definitive securities in registered form only if:</w:t>
      </w:r>
    </w:p>
    <w:p>
      <w:pPr>
        <w:spacing w:after="0" w:line="117" w:lineRule="exact"/>
        <w:rPr>
          <w:sz w:val="20"/>
          <w:szCs w:val="20"/>
          <w:color w:val="auto"/>
        </w:rPr>
      </w:pPr>
    </w:p>
    <w:p>
      <w:pPr>
        <w:ind w:left="1080" w:right="40" w:hanging="424"/>
        <w:spacing w:after="0" w:line="25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74"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determine that the Notes will no longer be represented by a global Note and execute and deliver to the Trustee an Officer’s Certificate to such effect.</w:t>
      </w:r>
    </w:p>
    <w:p>
      <w:pPr>
        <w:spacing w:after="0" w:line="154"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69" w:lineRule="exact"/>
        <w:rPr>
          <w:sz w:val="20"/>
          <w:szCs w:val="20"/>
          <w:color w:val="auto"/>
        </w:rPr>
      </w:pPr>
    </w:p>
    <w:p>
      <w:pPr>
        <w:ind w:left="120" w:right="280" w:firstLine="440"/>
        <w:spacing w:after="0" w:line="247" w:lineRule="auto"/>
        <w:rPr>
          <w:sz w:val="20"/>
          <w:szCs w:val="20"/>
          <w:color w:val="auto"/>
        </w:rPr>
      </w:pPr>
      <w:r>
        <w:rPr>
          <w:rFonts w:ascii="Arial" w:cs="Arial" w:eastAsia="Arial" w:hAnsi="Arial"/>
          <w:sz w:val="18"/>
          <w:szCs w:val="18"/>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79" w:lineRule="exact"/>
        <w:rPr>
          <w:sz w:val="20"/>
          <w:szCs w:val="20"/>
          <w:color w:val="auto"/>
        </w:rPr>
      </w:pPr>
    </w:p>
    <w:p>
      <w:pPr>
        <w:ind w:left="1080" w:right="980" w:hanging="424"/>
        <w:spacing w:after="0" w:line="271"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Note represented by a global Note;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71"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212"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80"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6"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174" w:lineRule="exact"/>
        <w:rPr>
          <w:sz w:val="20"/>
          <w:szCs w:val="20"/>
          <w:color w:val="auto"/>
        </w:rPr>
      </w:pPr>
    </w:p>
    <w:p>
      <w:pPr>
        <w:jc w:val="both"/>
        <w:ind w:left="120" w:right="60" w:firstLine="440"/>
        <w:spacing w:after="0" w:line="275"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2" w:lineRule="exact"/>
        <w:rPr>
          <w:sz w:val="20"/>
          <w:szCs w:val="20"/>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DTC holds the securities of its participants and facilitates the clearance and settlement of securities transactions among its participants in such securities through electronic book-entry changes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w:t>
      </w:r>
    </w:p>
    <w:p>
      <w:pPr>
        <w:spacing w:after="0" w:line="169"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7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3" w:lineRule="exact"/>
        <w:rPr>
          <w:sz w:val="20"/>
          <w:szCs w:val="20"/>
          <w:color w:val="auto"/>
        </w:rPr>
      </w:pPr>
    </w:p>
    <w:p>
      <w:pPr>
        <w:ind w:left="120" w:right="960" w:firstLine="440"/>
        <w:spacing w:after="0" w:line="301" w:lineRule="auto"/>
        <w:rPr>
          <w:sz w:val="20"/>
          <w:szCs w:val="20"/>
          <w:color w:val="auto"/>
        </w:rPr>
      </w:pPr>
      <w:r>
        <w:rPr>
          <w:rFonts w:ascii="Arial" w:cs="Arial" w:eastAsia="Arial" w:hAnsi="Arial"/>
          <w:sz w:val="17"/>
          <w:szCs w:val="17"/>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02"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69"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5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04"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76"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Because of time-zone differences, credits of Notes received through Clearstream or Euroclear as a result of a transaction with a DTC participant will be made during subsequent securities settlement</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0"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NON-U.S. FEDERAL INCOME TAX CONSIDERATIONS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This summary solely addresses the principal Luxembourg tax consequences of the acquisition, ownership and disposal of the Notes and does not purport to describe every aspect of taxation that may be relevant to a particular holder. Tax matters are complex, and the tax consequences of the offer to a particular holder of Notes will depend in part on such holder’s circumstances. Accordingly, a holder is urged to consult his tax advisor for a full understanding of the tax consequences of the offer to him, including the applicability and effect of Luxembourg tax laws.</w:t>
      </w:r>
    </w:p>
    <w:p>
      <w:pPr>
        <w:spacing w:after="0" w:line="176"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7"/>
          <w:szCs w:val="17"/>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131" w:lineRule="exact"/>
        <w:rPr>
          <w:sz w:val="20"/>
          <w:szCs w:val="20"/>
          <w:color w:val="auto"/>
        </w:rPr>
      </w:pPr>
    </w:p>
    <w:p>
      <w:pPr>
        <w:jc w:val="both"/>
        <w:ind w:left="120" w:right="80" w:firstLine="440"/>
        <w:spacing w:after="0" w:line="253" w:lineRule="auto"/>
        <w:rPr>
          <w:sz w:val="20"/>
          <w:szCs w:val="20"/>
          <w:color w:val="auto"/>
        </w:rPr>
      </w:pPr>
      <w:r>
        <w:rPr>
          <w:rFonts w:ascii="Arial" w:cs="Arial" w:eastAsia="Arial" w:hAnsi="Arial"/>
          <w:sz w:val="18"/>
          <w:szCs w:val="18"/>
          <w:color w:val="auto"/>
        </w:rPr>
        <w:t>This summary is based on the tax law of Luxembourg (unpublished case law not included) as it stands at the date of this prospectus supplement. The tax law upon which this summary is based, is subject to changes, possibly with retroactive effect. Any such change may invalidate the contents of this summary, which will not be updated to reflect such change.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overview assumes that each transaction with respect to the Notes is at arm’s length.</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summary in this Luxembourg taxation paragraph does not address the Luxembourg tax consequences for a noteholder who:</w:t>
      </w:r>
    </w:p>
    <w:p>
      <w:pPr>
        <w:spacing w:after="0" w:line="117" w:lineRule="exact"/>
        <w:rPr>
          <w:sz w:val="20"/>
          <w:szCs w:val="20"/>
          <w:color w:val="auto"/>
        </w:rPr>
      </w:pPr>
    </w:p>
    <w:p>
      <w:pPr>
        <w:ind w:left="1080" w:hanging="532"/>
        <w:spacing w:after="0" w:line="244"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an investor as defined in a specific law (such as the law on family wealth management companies of 11 May 2007, as amended, the law on undertakings for collective investment of 17 December 2010, as amended, the law on specialized investment funds of 13 February 2007, as amended, the law on reserved alternative investment funds of 23 July 2016, the law on securitisation of 22 March 2004, as amended, the law on venture capital vehicles of 15 June 2004, as amended and the law on pension saving companies and associations of 13 July 2005);</w:t>
      </w:r>
    </w:p>
    <w:p>
      <w:pPr>
        <w:spacing w:after="0" w:line="8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in whole or in part, exempt from tax;</w:t>
      </w:r>
    </w:p>
    <w:p>
      <w:pPr>
        <w:spacing w:after="0" w:line="117" w:lineRule="exact"/>
        <w:rPr>
          <w:rFonts w:ascii="Arial" w:cs="Arial" w:eastAsia="Arial" w:hAnsi="Arial"/>
          <w:sz w:val="18"/>
          <w:szCs w:val="18"/>
          <w:color w:val="auto"/>
        </w:rPr>
      </w:pPr>
    </w:p>
    <w:p>
      <w:pPr>
        <w:ind w:left="1080" w:right="240" w:hanging="532"/>
        <w:spacing w:after="0" w:line="271"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acquires, owns or disposes of the Notes in connection with a membership of a management board, a supervisory board, an employment relationship, a deemed employment relationship or management role; or</w:t>
      </w:r>
    </w:p>
    <w:p>
      <w:pPr>
        <w:spacing w:after="0" w:line="59" w:lineRule="exact"/>
        <w:rPr>
          <w:rFonts w:ascii="Arial" w:cs="Arial" w:eastAsia="Arial" w:hAnsi="Arial"/>
          <w:sz w:val="18"/>
          <w:szCs w:val="18"/>
          <w:color w:val="auto"/>
        </w:rPr>
      </w:pPr>
    </w:p>
    <w:p>
      <w:pPr>
        <w:ind w:left="1080" w:right="40" w:hanging="532"/>
        <w:spacing w:after="0" w:line="25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a substantial interest in the Company or a deemed substantial interest in the Company for Luxembourg tax purposes. Generally, a person holds a substantial interest if such person owns or is deemed to own, directly or indirectly, more than 10% of the shares or interest in an entity.</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Non-resident noteholders</w:t>
      </w:r>
    </w:p>
    <w:p>
      <w:pPr>
        <w:spacing w:after="0" w:line="102"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All payments of interest and principal under the Notes made to non-residents of Luxembourg may be made free from withholding or deduction of or for any taxes of whatever nature imposed, levied, withheld or assessed by Luxembourg or any political subdivision or taxing authority of or in Luxembourg.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Individual resident noteholders</w:t>
      </w:r>
    </w:p>
    <w:p>
      <w:pPr>
        <w:spacing w:after="0" w:line="10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8"/>
          <w:szCs w:val="18"/>
          <w:color w:val="auto"/>
        </w:rPr>
        <w:t>Under the law of 23 December 2005 as amended (the “Relibi Law”), payments of interest and similar income made or deemed to be made to an individual who is resident in Luxembourg are subject to a withholding tax of 20% of the payment.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 on Income and Capital Gains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Non-resident noteholders</w:t>
      </w:r>
    </w:p>
    <w:p>
      <w:pPr>
        <w:spacing w:after="0" w:line="10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Non-resident noteholders that do not have a permanent establishment in Luxembourg to which the Notes or income thereon are attributable are not subject to Luxembourg income taxes in respect of any benefits derived or deemed to be derived in connection with the Notes.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Resident noteholders</w:t>
      </w:r>
    </w:p>
    <w:p>
      <w:pPr>
        <w:spacing w:after="0" w:line="10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Individuals. Any benefits derived or deemed to be derived from or in connection with Notes that are attributable to an enterprise from which an individual derives profits, whether as an entrepreneur or pursuant to a co-entitlement to the net value of an enterprise, are generally subject to Luxembourg income tax. A resident individual who invests in the Notes as part of such person’s private wealth management, is subject to Luxembourg income tax in respect of interest and similar income (such as premiums or issue discounts) derived from the Notes, except if tax is levied on such income in accordance with the Relibi Law. A gain realised by a resident individual, acting in the course of the management of that person’s private wealth, upon the sale or disposal, in any form whatsoever, of Notes is not subject to Luxembourg income tax, provided this sale or disposal takes place more than six months after the Notes are acquired.</w:t>
      </w:r>
    </w:p>
    <w:p>
      <w:pPr>
        <w:spacing w:after="0" w:line="18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However, any portion of such gain corresponding to accrued but unpaid interest is subject to Luxembourg income tax, except if tax is levied on such interest in accordance with the Relibi Law. Any benefit derived by a resident individual from the disposal of Notes prior to their acquisition is subject to income tax as well.</w:t>
      </w:r>
    </w:p>
    <w:p>
      <w:pPr>
        <w:spacing w:after="0" w:line="169"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i w:val="1"/>
          <w:iCs w:val="1"/>
          <w:color w:val="auto"/>
        </w:rPr>
        <w:t>Corporations</w:t>
      </w:r>
      <w:r>
        <w:rPr>
          <w:rFonts w:ascii="Arial" w:cs="Arial" w:eastAsia="Arial" w:hAnsi="Arial"/>
          <w:sz w:val="18"/>
          <w:szCs w:val="18"/>
          <w:color w:val="auto"/>
        </w:rPr>
        <w:t>. A corporate resident noteholder must include any benefits derived or deemed to be derived from or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such as interest accrued or received, any redemption premium or issue discount, as well as any gain realized on the sale or disposal, in any form whatsoever, of the Notes, in its taxable income for Luxembourg income tax purposes.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02"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If a noteholder is neither resident nor deemed to be resident in Luxembourg, such holder will for Luxembourg tax purposes not carry on or be deemed to carry on an enterprise, in whole or in part, through a permanent establishment or a permanent representative in Luxembourg by reason only of the execution of the documents relating to the issue of Notes or the performance by the Company of its obligations under such documents or under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Wealth Tax</w:t>
      </w:r>
    </w:p>
    <w:p>
      <w:pPr>
        <w:spacing w:after="0" w:line="104"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 xml:space="preserve">Corporate noteholders resident in Luxembourg and non-resident corporate noteholders that maintain a permanent establishment in Luxembourg to which such Notes are attributable are subject to annual net wealth tax on their unitary value (i.e., non-exempt assets minus liabilities and certain provisions as valued according to the Luxembourg valuation rules), levied at a rate of 0.5% if the unitary value does not exceed </w:t>
      </w:r>
      <w:r>
        <w:rPr>
          <w:rFonts w:ascii="Times New Roman" w:cs="Times New Roman" w:eastAsia="Times New Roman" w:hAnsi="Times New Roman"/>
          <w:sz w:val="18"/>
          <w:szCs w:val="18"/>
          <w:color w:val="auto"/>
        </w:rPr>
        <w:t>€</w:t>
      </w:r>
      <w:r>
        <w:rPr>
          <w:rFonts w:ascii="Arial" w:cs="Arial" w:eastAsia="Arial" w:hAnsi="Arial"/>
          <w:sz w:val="18"/>
          <w:szCs w:val="18"/>
          <w:color w:val="auto"/>
        </w:rPr>
        <w:t>500,000,000.</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Individuals are not subject to Luxembourg net wealth tax.</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Inheritance and Gift Tax</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transferred for non-consideration:</w:t>
      </w:r>
    </w:p>
    <w:p>
      <w:pPr>
        <w:spacing w:after="0" w:line="117" w:lineRule="exact"/>
        <w:rPr>
          <w:sz w:val="20"/>
          <w:szCs w:val="20"/>
          <w:color w:val="auto"/>
        </w:rPr>
      </w:pPr>
    </w:p>
    <w:p>
      <w:pPr>
        <w:ind w:left="1080" w:right="580" w:hanging="532"/>
        <w:spacing w:after="0" w:line="271"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Luxembourg inheritance tax is levied on the transfer of the Notes upon the death of a noteholder in cases where the deceased was not a resident or a deemed resident of Luxembourg for inheritance tax purposes;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5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way of gift, Luxembourg gift tax will be levied in the event that the gift is made pursuant to a notarial deed signed before a Luxembourg notary or produced for registration, directly or indirectly,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Taxes and Duties</w:t>
      </w:r>
    </w:p>
    <w:p>
      <w:pPr>
        <w:spacing w:after="0" w:line="10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It is not compulsory that the Notes be filed, recorded, or enrolled with any court or other authority in Luxembourg. No registration tax, stamp duty or any other similar documentary tax or duty is due in respect of or in connection with the issue of Notes, the performance by the Company of its obligations under the Notes, or the transfer of the Notes.</w:t>
      </w:r>
    </w:p>
    <w:p>
      <w:pPr>
        <w:spacing w:after="0" w:line="169" w:lineRule="exact"/>
        <w:rPr>
          <w:sz w:val="20"/>
          <w:szCs w:val="20"/>
          <w:color w:val="auto"/>
        </w:rPr>
      </w:pPr>
    </w:p>
    <w:p>
      <w:pPr>
        <w:ind w:left="120" w:right="120" w:firstLine="440"/>
        <w:spacing w:after="0" w:line="247" w:lineRule="auto"/>
        <w:rPr>
          <w:sz w:val="20"/>
          <w:szCs w:val="20"/>
          <w:color w:val="auto"/>
        </w:rPr>
      </w:pPr>
      <w:r>
        <w:rPr>
          <w:rFonts w:ascii="Arial" w:cs="Arial" w:eastAsia="Arial" w:hAnsi="Arial"/>
          <w:sz w:val="18"/>
          <w:szCs w:val="18"/>
          <w:color w:val="auto"/>
        </w:rPr>
        <w:t>A fixed or proportional registration duty in Luxembourg may however apply (i) upon registration of the Notes before the Registration and Estates Department (Administration de l’enregistrement, des domaines et de la TVA) in Luxembourg where this registration is not required by law, or (ii) if the Notes are (a) enclosed to a compulsory registrable deed under Luxembourg law, or (b) deposited with the official records of a notary.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04"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The Foreign Account Tax Compliance Act (“FATCA”) was enacted into U.S. law in March 2010 as part of the Hiring Incentives to Restore Employment Act. FATCA aims at reducing tax evasion by U.S. citizens and requires, among other things, foreign financial institutions outside the U.S. (“FFIs”) to provide information about financial accounts held, directly or indirectly, by specified U.S. persons or face a 30% U.S. federal withholding tax imposed on certain U.S.-source payment (“FATCA Withholding”).</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To implement FATCA in Luxembourg, Luxembourg entered into a so-called Model 1 Intergovernmental Agreement (the “IGA”) with the U.S., and a memorandum of understanding in respect thereof, on 28 March 2014. The IGA was implemented under Luxembourg domestic law by Law of 24 July 2015 (the “Luxembourg FATCA Law”). Luxembourg FFIs that comply with the requirements of the IGA and the Luxembourg FATCA Law will not be subject to FATCA Withholding.</w:t>
      </w:r>
    </w:p>
    <w:p>
      <w:pPr>
        <w:spacing w:after="0" w:line="17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7"/>
          <w:szCs w:val="17"/>
          <w:color w:val="auto"/>
        </w:rPr>
        <w:t>Under the IGA and the Luxembourg FATCA Law, Luxembourg FFIs are required to perform certain necessary due diligence and monitoring of investors, and to report to the Luxembourg tax authorities on an annual basis information about financial accounts held by</w:t>
      </w:r>
    </w:p>
    <w:p>
      <w:pPr>
        <w:spacing w:after="0" w:line="1" w:lineRule="exact"/>
        <w:rPr>
          <w:sz w:val="20"/>
          <w:szCs w:val="20"/>
          <w:color w:val="auto"/>
        </w:rPr>
      </w:pPr>
    </w:p>
    <w:p>
      <w:pPr>
        <w:ind w:left="120" w:right="260" w:hanging="4"/>
        <w:spacing w:after="0" w:line="279" w:lineRule="auto"/>
        <w:tabs>
          <w:tab w:leader="none" w:pos="3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specified U.S. investors, (b) certain U.S.-controlled entity investors and (c) non-U.S. financial institution investors that do not comply with FATCA. Such information will subsequently be remitted by the Luxembourg tax authorities to the U.S. Internal Revenue Service.</w:t>
      </w:r>
    </w:p>
    <w:p>
      <w:pPr>
        <w:spacing w:after="0" w:line="149" w:lineRule="exact"/>
        <w:rPr>
          <w:sz w:val="20"/>
          <w:szCs w:val="20"/>
          <w:color w:val="auto"/>
        </w:rPr>
      </w:pPr>
    </w:p>
    <w:p>
      <w:pPr>
        <w:jc w:val="both"/>
        <w:ind w:left="120" w:right="440" w:firstLine="440"/>
        <w:spacing w:after="0" w:line="253" w:lineRule="auto"/>
        <w:rPr>
          <w:sz w:val="20"/>
          <w:szCs w:val="20"/>
          <w:color w:val="auto"/>
        </w:rPr>
      </w:pPr>
      <w:r>
        <w:rPr>
          <w:rFonts w:ascii="Arial" w:cs="Arial" w:eastAsia="Arial" w:hAnsi="Arial"/>
          <w:sz w:val="18"/>
          <w:szCs w:val="18"/>
          <w:color w:val="auto"/>
        </w:rPr>
        <w:t>Noteholders may be required to provide information to the Company to ensure the Company’s compliance with the IGA and the Luxembourg FATCA Law. In the event that a noteholder does not provide the required information, the Company may need to report financial account information of such noteholder to Luxembourg tax authorities.</w:t>
      </w:r>
    </w:p>
    <w:p>
      <w:pPr>
        <w:spacing w:after="0" w:line="169" w:lineRule="exact"/>
        <w:rPr>
          <w:sz w:val="20"/>
          <w:szCs w:val="20"/>
          <w:color w:val="auto"/>
        </w:rPr>
      </w:pPr>
    </w:p>
    <w:p>
      <w:pPr>
        <w:ind w:left="120" w:right="700" w:firstLine="440"/>
        <w:spacing w:after="0" w:line="271" w:lineRule="auto"/>
        <w:rPr>
          <w:sz w:val="20"/>
          <w:szCs w:val="20"/>
          <w:color w:val="auto"/>
        </w:rPr>
      </w:pPr>
      <w:r>
        <w:rPr>
          <w:rFonts w:ascii="Arial" w:cs="Arial" w:eastAsia="Arial" w:hAnsi="Arial"/>
          <w:sz w:val="18"/>
          <w:szCs w:val="18"/>
          <w:color w:val="auto"/>
        </w:rPr>
        <w:t>Noteholders should consult with their tax advisers regarding the effects of the IGA and the Luxembourg FATCA Law on their investment in the Notes.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Reporting Standard</w:t>
      </w:r>
    </w:p>
    <w:p>
      <w:pPr>
        <w:spacing w:after="0" w:line="10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Organisation for Economic Co-operation and Development has developed a new global standard for the automatic exchange of financial information between tax authorities (the “CRS”).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Luxembourg is a signatory jurisdiction to the CRS and has conducted its first exchange of information with tax authorities of other signatory jurisdictions in September 2017, as regards reportable financial information gathered in relation to fiscal year 2016. The CRS has been implemented in Luxembourg via the law dated 18 December 2015 concerning the automatic exchange of information on financial accounts and tax matters and implementing the EU Directive 2014/107/EU.</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regulations may impose obligations on the Company and the noteholders, if the Company is considered as a Reporting Financial Institution (e.g., an Investment Entity) under the CRS, so that the latter could be required to conduct due diligence and obtain (among other things) confirmation of the tax residency, tax identification number and CRS classification of noteholders in order to fulfil its own legal obligations.</w:t>
      </w:r>
    </w:p>
    <w:p>
      <w:pPr>
        <w:spacing w:after="0" w:line="1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0960"/>
          </w:cols>
          <w:pgMar w:left="320" w:top="455" w:right="6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12" w:lineRule="exact"/>
        <w:rPr>
          <w:sz w:val="20"/>
          <w:szCs w:val="20"/>
          <w:color w:val="auto"/>
        </w:rPr>
      </w:pPr>
    </w:p>
    <w:p>
      <w:pPr>
        <w:ind w:left="120" w:right="140" w:firstLine="440"/>
        <w:spacing w:after="0" w:line="242" w:lineRule="auto"/>
        <w:rPr>
          <w:sz w:val="20"/>
          <w:szCs w:val="20"/>
          <w:color w:val="auto"/>
        </w:rPr>
      </w:pPr>
      <w:r>
        <w:rPr>
          <w:rFonts w:ascii="Arial" w:cs="Arial" w:eastAsia="Arial" w:hAnsi="Arial"/>
          <w:sz w:val="18"/>
          <w:szCs w:val="18"/>
          <w:color w:val="auto"/>
        </w:rPr>
        <w:t>The following is a summary of U.S. federal income tax considerations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w:t>
      </w:r>
    </w:p>
    <w:p>
      <w:pPr>
        <w:spacing w:after="0" w:line="17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For purposes of this summary, a “U.S. Holder” is a beneficial owner of a Note that, for U.S. federal income tax purposes, is, or is treated as: (a) an individual citizen or resident of the United States; (b) a corporation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79"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174"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firstLine="440"/>
        <w:spacing w:after="0" w:line="257" w:lineRule="auto"/>
        <w:rPr>
          <w:sz w:val="20"/>
          <w:szCs w:val="20"/>
          <w:color w:val="auto"/>
        </w:rPr>
      </w:pPr>
      <w:r>
        <w:rPr>
          <w:rFonts w:ascii="Arial" w:cs="Arial" w:eastAsia="Arial" w:hAnsi="Arial"/>
          <w:sz w:val="18"/>
          <w:szCs w:val="18"/>
          <w:b w:val="1"/>
          <w:bCs w:val="1"/>
          <w:color w:val="auto"/>
        </w:rPr>
        <w:t>If you are considering the purchase of Notes, you should consult your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04"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b w:val="1"/>
          <w:bCs w:val="1"/>
          <w:i w:val="1"/>
          <w:iCs w:val="1"/>
          <w:color w:val="auto"/>
        </w:rPr>
        <w:t>Assumption by Subsidiary</w:t>
      </w:r>
      <w:r>
        <w:rPr>
          <w:rFonts w:ascii="Arial" w:cs="Arial" w:eastAsia="Arial" w:hAnsi="Arial"/>
          <w:sz w:val="18"/>
          <w:szCs w:val="18"/>
          <w:color w:val="auto"/>
        </w:rPr>
        <w:t>. An assumption of the Company’s obligations as the issuer of the Notes by a subsidiary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Guarantor may be treated for U.S. federal income tax purposes as a taxable exchange of the Notes for new Notes issued by such subsidiary of the Guarantor. In that event, you may be required to recognize taxable gain or loss for U.S. federal income tax purposes, generally in an amount equal to the difference between the “issue price” of the new Notes (which will be the trading price of the Notes at such time if they are treated as traded on an established securities market) and your basis in the old Notes, even though you continue to hold the Notes and receive no distribution in connection with the deemed disposition. Such gain or loss generally will be capital, and any loss could be disallowed under the wash sale rules. In addition, the new Notes deemed issued in such a deemed exchange could be treated as issued with original issue discount (“OID”) if the new Notes or the Notes are treated as traded on an established securities market at such time and the principal amount of the new Notes were to exceed the new Notes or the Notes’ trading price, as applicable. See “Description of the Notes—Assumption by a Subsidiary” for the information to be made available to holders in this regard. In such a case, U.S. Holders would be required to include such OID in their income as it accrues, in advance of the receipt of cash corresponding to such income, regardless of their regular method of tax accounting. Beneficial owners of Notes who are U.S. Holders should consult their tax advisors regarding the non-U.S., U.S. federal, state and local income tax consequences of an assumption of the Company’s obligations as issuer of Notes by a subsidiary of the Guarantor. See “</w:t>
      </w:r>
      <w:r>
        <w:rPr>
          <w:rFonts w:ascii="Arial" w:cs="Arial" w:eastAsia="Arial" w:hAnsi="Arial"/>
          <w:sz w:val="18"/>
          <w:szCs w:val="18"/>
          <w:i w:val="1"/>
          <w:iCs w:val="1"/>
          <w:color w:val="auto"/>
        </w:rPr>
        <w:t>Description of the Notes—Assumption by a Subsidiary</w:t>
      </w:r>
      <w:r>
        <w:rPr>
          <w:rFonts w:ascii="Arial" w:cs="Arial" w:eastAsia="Arial" w:hAnsi="Arial"/>
          <w:sz w:val="18"/>
          <w:szCs w:val="18"/>
          <w:color w:val="auto"/>
        </w:rPr>
        <w:t>” for additional information.</w:t>
      </w:r>
    </w:p>
    <w:p>
      <w:pPr>
        <w:spacing w:after="0" w:line="188"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color w:val="auto"/>
        </w:rPr>
        <w:t>. Interest on a Note (including Additional Amounts, if any) will generally be taxable to you as ordinary interest income as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accrues or is received by you in accordance with your usual method of accounting for U.S. federal income tax purposes.</w:t>
      </w:r>
    </w:p>
    <w:p>
      <w:pPr>
        <w:spacing w:after="0" w:line="154"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If withholding taxes are imposed in Luxembourg or in another jurisdiction, you will be treated as having actually received an amount equal to the amount of such taxes and as having paid such amount to the relevant taxing authority. As a result, the amount of income included in gross income may be greater than the amount of cash actually received. You should consult your tax advisors concerning the U.S. federal income tax consequences of the imposition of such taxes and the availability of any credit or deduction.</w:t>
      </w:r>
    </w:p>
    <w:p>
      <w:pPr>
        <w:spacing w:after="0" w:line="174"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Interest income (and Additional Amounts, if any) from the Notes generally will constitute foreign-source income, and will generally constitute “passive category income,” which may be relevant to you in calculating your foreign tax credit limitation. The limitation on foreign taxes eligible for credit is calculated separately with respect to specific classes of income. You should consult your tax advisors regarding the application of the U.S. foreign tax credit rules.</w:t>
      </w:r>
    </w:p>
    <w:p>
      <w:pPr>
        <w:spacing w:after="0" w:line="174" w:lineRule="exact"/>
        <w:rPr>
          <w:sz w:val="20"/>
          <w:szCs w:val="20"/>
          <w:color w:val="auto"/>
        </w:rPr>
      </w:pPr>
    </w:p>
    <w:p>
      <w:pPr>
        <w:ind w:left="120" w:right="60" w:firstLine="440"/>
        <w:spacing w:after="0" w:line="242" w:lineRule="auto"/>
        <w:rPr>
          <w:sz w:val="20"/>
          <w:szCs w:val="20"/>
          <w:color w:val="auto"/>
        </w:rPr>
      </w:pPr>
      <w:r>
        <w:rPr>
          <w:rFonts w:ascii="Arial" w:cs="Arial" w:eastAsia="Arial" w:hAnsi="Arial"/>
          <w:sz w:val="18"/>
          <w:szCs w:val="18"/>
          <w:b w:val="1"/>
          <w:bCs w:val="1"/>
          <w:i w:val="1"/>
          <w:iCs w:val="1"/>
          <w:color w:val="auto"/>
        </w:rPr>
        <w:t xml:space="preserve">Sale, Exchange or Other Taxable Dispositions of Notes. </w:t>
      </w:r>
      <w:r>
        <w:rPr>
          <w:rFonts w:ascii="Arial" w:cs="Arial" w:eastAsia="Arial" w:hAnsi="Arial"/>
          <w:sz w:val="18"/>
          <w:szCs w:val="18"/>
          <w:color w:val="auto"/>
        </w:rPr>
        <w:t>If you are a U.S. Holder, upon the sale, exchange, redemption,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or other taxable 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 You should consult your tax advisors as to the U.S. federal income tax and foreign tax credit implications of such sale, redemption, retirement or other disposition of a Note.</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i w:val="1"/>
          <w:iCs w:val="1"/>
          <w:color w:val="auto"/>
        </w:rPr>
        <w:t>Additional Tax on Net Investment Income</w:t>
      </w:r>
      <w:r>
        <w:rPr>
          <w:rFonts w:ascii="Arial" w:cs="Arial" w:eastAsia="Arial" w:hAnsi="Arial"/>
          <w:sz w:val="18"/>
          <w:szCs w:val="18"/>
          <w:color w:val="auto"/>
        </w:rPr>
        <w:t>. U.S. persons that are individuals, estates, or certain trusts are generally subject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3.8% tax on the 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80" w:lineRule="exact"/>
        <w:rPr>
          <w:sz w:val="20"/>
          <w:szCs w:val="20"/>
          <w:color w:val="auto"/>
        </w:rPr>
      </w:pPr>
    </w:p>
    <w:p>
      <w:pPr>
        <w:jc w:val="both"/>
        <w:ind w:left="120" w:right="140" w:firstLine="440"/>
        <w:spacing w:after="0" w:line="247" w:lineRule="auto"/>
        <w:rPr>
          <w:sz w:val="20"/>
          <w:szCs w:val="20"/>
          <w:color w:val="auto"/>
        </w:rPr>
      </w:pPr>
      <w:r>
        <w:rPr>
          <w:rFonts w:ascii="Arial" w:cs="Arial" w:eastAsia="Arial" w:hAnsi="Arial"/>
          <w:sz w:val="18"/>
          <w:szCs w:val="18"/>
          <w:b w:val="1"/>
          <w:bCs w:val="1"/>
          <w:i w:val="1"/>
          <w:iCs w:val="1"/>
          <w:color w:val="auto"/>
        </w:rPr>
        <w:t>Information With Respect to Foreign Financial Assets</w:t>
      </w:r>
      <w:r>
        <w:rPr>
          <w:rFonts w:ascii="Arial" w:cs="Arial" w:eastAsia="Arial" w:hAnsi="Arial"/>
          <w:sz w:val="18"/>
          <w:szCs w:val="18"/>
          <w:color w:val="auto"/>
        </w:rPr>
        <w:t>. Certain U.S. Holders who are individuals (and certain specified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hold certain foreign financial assets (which may include the Notes) other than in an account at a financial institution may be required to report information relating to such assets to the IRS. Failure to report such information, if required, may result in substantial penalties. You should consult your tax advisor regarding the application of these rules to your ownership of the Notes.</w:t>
      </w:r>
    </w:p>
    <w:p>
      <w:pPr>
        <w:spacing w:after="0" w:line="174"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Payments of interest and sales proceeds that are made within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through certain U.S.-related financial intermediaries may be subject to information reporting and backup withholding unless the U.S. Holder is an exempt recipient or, in the case of backup withholding, provides a correct taxpayer identification number and certifies that it is not subject to backup withholding and otherwise complies with applicable requirements of the backup withholding rules.</w:t>
      </w:r>
    </w:p>
    <w:p>
      <w:pPr>
        <w:spacing w:after="0" w:line="174" w:lineRule="exact"/>
        <w:rPr>
          <w:sz w:val="20"/>
          <w:szCs w:val="20"/>
          <w:color w:val="auto"/>
        </w:rPr>
      </w:pPr>
    </w:p>
    <w:p>
      <w:pPr>
        <w:jc w:val="both"/>
        <w:ind w:left="120" w:right="220" w:firstLine="440"/>
        <w:spacing w:after="0" w:line="25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credit against your U.S. federal income tax liability and may entitle you to a refund, provided the required information is timely furnished to the IRS.</w:t>
      </w:r>
    </w:p>
    <w:p>
      <w:pPr>
        <w:spacing w:after="0" w:line="169" w:lineRule="exact"/>
        <w:rPr>
          <w:sz w:val="20"/>
          <w:szCs w:val="20"/>
          <w:color w:val="auto"/>
        </w:rPr>
      </w:pPr>
    </w:p>
    <w:p>
      <w:pPr>
        <w:jc w:val="both"/>
        <w:ind w:left="120" w:right="140" w:firstLine="440"/>
        <w:spacing w:after="0" w:line="250" w:lineRule="auto"/>
        <w:rPr>
          <w:sz w:val="20"/>
          <w:szCs w:val="20"/>
          <w:color w:val="auto"/>
        </w:rPr>
      </w:pPr>
      <w:r>
        <w:rPr>
          <w:rFonts w:ascii="Arial" w:cs="Arial" w:eastAsia="Arial" w:hAnsi="Arial"/>
          <w:sz w:val="18"/>
          <w:szCs w:val="18"/>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w:t>
      </w:r>
      <w:r>
        <w:rPr>
          <w:rFonts w:ascii="Arial" w:cs="Arial" w:eastAsia="Arial" w:hAnsi="Arial"/>
          <w:sz w:val="18"/>
          <w:szCs w:val="18"/>
          <w:color w:val="auto"/>
        </w:rPr>
        <w:t>.</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ind w:left="120" w:right="120" w:firstLine="440"/>
        <w:spacing w:after="0" w:line="247" w:lineRule="auto"/>
        <w:rPr>
          <w:sz w:val="20"/>
          <w:szCs w:val="20"/>
          <w:color w:val="auto"/>
        </w:rPr>
      </w:pPr>
      <w:r>
        <w:rPr>
          <w:rFonts w:ascii="Arial" w:cs="Arial" w:eastAsia="Arial" w:hAnsi="Arial"/>
          <w:sz w:val="18"/>
          <w:szCs w:val="18"/>
          <w:color w:val="auto"/>
        </w:rPr>
        <w:t>Subject to the terms and conditions contained in an underwriting agreement, dated as of the date of this prospectus supplement among us, the Guarantor and the underwriters named below, for whom Citigroup Global Markets Inc., HSBC Securities (USA) Inc. and J.P. Morgan Securities LLC are acting as representatives, we have agreed to sell to each underwriter, and each underwriter has severally agreed to purchase from us, the principal amount of Notes that appears opposite its name in the table below:</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 Notes</w:t>
            </w: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9"/>
        </w:trPr>
        <w:tc>
          <w:tcPr>
            <w:tcW w:w="9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 xml:space="preserve">       </w:t>
            </w:r>
          </w:p>
        </w:tc>
        <w:tc>
          <w:tcPr>
            <w:tcW w:w="40" w:type="dxa"/>
            <w:vAlign w:val="bottom"/>
            <w:shd w:val="clear" w:color="auto" w:fill="CCEEFF"/>
          </w:tcPr>
          <w:p>
            <w:pPr>
              <w:spacing w:after="0"/>
              <w:rPr>
                <w:sz w:val="16"/>
                <w:szCs w:val="16"/>
                <w:color w:val="auto"/>
              </w:rPr>
            </w:pPr>
          </w:p>
        </w:tc>
      </w:tr>
      <w:tr>
        <w:trPr>
          <w:trHeight w:val="203"/>
        </w:trPr>
        <w:tc>
          <w:tcPr>
            <w:tcW w:w="9160" w:type="dxa"/>
            <w:vAlign w:val="bottom"/>
            <w:gridSpan w:val="2"/>
          </w:tcPr>
          <w:p>
            <w:pPr>
              <w:spacing w:after="0" w:line="202" w:lineRule="exact"/>
              <w:rPr>
                <w:sz w:val="20"/>
                <w:szCs w:val="20"/>
                <w:color w:val="auto"/>
              </w:rPr>
            </w:pPr>
            <w:r>
              <w:rPr>
                <w:rFonts w:ascii="Arial" w:cs="Arial" w:eastAsia="Arial" w:hAnsi="Arial"/>
                <w:sz w:val="18"/>
                <w:szCs w:val="18"/>
                <w:color w:val="auto"/>
              </w:rPr>
              <w:t>HSBC Securities (USA) Inc.</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9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174" w:lineRule="exact"/>
        <w:rPr>
          <w:sz w:val="20"/>
          <w:szCs w:val="20"/>
          <w:color w:val="auto"/>
        </w:rPr>
      </w:pPr>
    </w:p>
    <w:p>
      <w:pPr>
        <w:ind w:left="120" w:right="220" w:firstLine="440"/>
        <w:spacing w:after="0" w:line="242" w:lineRule="auto"/>
        <w:rPr>
          <w:sz w:val="20"/>
          <w:szCs w:val="20"/>
          <w:color w:val="auto"/>
        </w:rPr>
      </w:pPr>
      <w:r>
        <w:rPr>
          <w:rFonts w:ascii="Arial" w:cs="Arial" w:eastAsia="Arial" w:hAnsi="Arial"/>
          <w:sz w:val="18"/>
          <w:szCs w:val="18"/>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 of the principal amount of the Notes. Any underwriter may allow, and any such dealer may reallow, a concession not in excess of     % of the principal 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Paid by Us</w:t>
            </w: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Note</w:t>
            </w:r>
          </w:p>
        </w:tc>
        <w:tc>
          <w:tcPr>
            <w:tcW w:w="4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8"/>
                <w:szCs w:val="8"/>
                <w:color w:val="auto"/>
                <w:w w:val="74"/>
              </w:rPr>
              <w:t> </w:t>
            </w:r>
          </w:p>
        </w:tc>
        <w:tc>
          <w:tcPr>
            <w:tcW w:w="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8"/>
                <w:szCs w:val="8"/>
                <w:color w:val="auto"/>
                <w:w w:val="74"/>
              </w:rPr>
              <w:t> </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7"/>
                <w:szCs w:val="17"/>
                <w:color w:val="auto"/>
                <w:w w:val="70"/>
              </w:rPr>
              <w:t> </w:t>
            </w:r>
          </w:p>
        </w:tc>
        <w:tc>
          <w:tcPr>
            <w:tcW w:w="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9"/>
        </w:trPr>
        <w:tc>
          <w:tcPr>
            <w:tcW w:w="5480" w:type="dxa"/>
            <w:vAlign w:val="bottom"/>
          </w:tcPr>
          <w:p>
            <w:pPr>
              <w:spacing w:after="0"/>
              <w:rPr>
                <w:sz w:val="20"/>
                <w:szCs w:val="20"/>
                <w:color w:val="auto"/>
              </w:rPr>
            </w:pPr>
            <w:r>
              <w:rPr>
                <w:rFonts w:ascii="Arial" w:cs="Arial" w:eastAsia="Arial" w:hAnsi="Arial"/>
                <w:sz w:val="18"/>
                <w:szCs w:val="18"/>
                <w:color w:val="auto"/>
              </w:rPr>
              <w:t>Notes Total</w:t>
            </w:r>
          </w:p>
        </w:tc>
        <w:tc>
          <w:tcPr>
            <w:tcW w:w="4860" w:type="dxa"/>
            <w:vAlign w:val="bottom"/>
            <w:gridSpan w:val="2"/>
          </w:tcPr>
          <w:p>
            <w:pPr>
              <w:ind w:left="4580"/>
              <w:spacing w:after="0"/>
              <w:rPr>
                <w:sz w:val="20"/>
                <w:szCs w:val="20"/>
                <w:color w:val="auto"/>
              </w:rPr>
            </w:pPr>
            <w:r>
              <w:rPr>
                <w:rFonts w:ascii="Arial" w:cs="Arial" w:eastAsia="Arial" w:hAnsi="Arial"/>
                <w:sz w:val="18"/>
                <w:szCs w:val="18"/>
                <w:color w:val="auto"/>
              </w:rPr>
              <w:t xml:space="preserve">$  </w:t>
            </w:r>
          </w:p>
        </w:tc>
        <w:tc>
          <w:tcPr>
            <w:tcW w:w="180" w:type="dxa"/>
            <w:vAlign w:val="bottom"/>
          </w:tcPr>
          <w:p>
            <w:pPr>
              <w:ind w:left="40"/>
              <w:spacing w:after="0"/>
              <w:rPr>
                <w:sz w:val="20"/>
                <w:szCs w:val="20"/>
                <w:color w:val="auto"/>
              </w:rPr>
            </w:pPr>
            <w:r>
              <w:rPr>
                <w:rFonts w:ascii="Arial" w:cs="Arial" w:eastAsia="Arial" w:hAnsi="Arial"/>
                <w:sz w:val="17"/>
                <w:szCs w:val="17"/>
                <w:color w:val="auto"/>
                <w:w w:val="70"/>
              </w:rPr>
              <w:t> </w:t>
            </w:r>
          </w:p>
        </w:tc>
        <w:tc>
          <w:tcPr>
            <w:tcW w:w="500" w:type="dxa"/>
            <w:vAlign w:val="bottom"/>
            <w:gridSpan w:val="2"/>
          </w:tcPr>
          <w:p>
            <w:pPr>
              <w:jc w:val="right"/>
              <w:ind w:right="310"/>
              <w:spacing w:after="0"/>
              <w:rPr>
                <w:sz w:val="20"/>
                <w:szCs w:val="20"/>
                <w:color w:val="auto"/>
              </w:rPr>
            </w:pPr>
            <w:r>
              <w:rPr>
                <w:rFonts w:ascii="Arial" w:cs="Arial" w:eastAsia="Arial" w:hAnsi="Arial"/>
                <w:sz w:val="11"/>
                <w:szCs w:val="11"/>
                <w:color w:val="auto"/>
                <w:w w:val="72"/>
              </w:rPr>
              <w:t> </w:t>
            </w:r>
          </w:p>
        </w:tc>
      </w:tr>
    </w:tbl>
    <w:p>
      <w:pPr>
        <w:spacing w:after="0" w:line="161" w:lineRule="exact"/>
        <w:rPr>
          <w:sz w:val="20"/>
          <w:szCs w:val="20"/>
          <w:color w:val="auto"/>
        </w:rPr>
      </w:pPr>
    </w:p>
    <w:p>
      <w:pPr>
        <w:jc w:val="both"/>
        <w:ind w:left="120" w:right="60" w:firstLine="440"/>
        <w:spacing w:after="0" w:line="271" w:lineRule="auto"/>
        <w:rPr>
          <w:sz w:val="20"/>
          <w:szCs w:val="20"/>
          <w:color w:val="auto"/>
        </w:rPr>
      </w:pPr>
      <w:r>
        <w:rPr>
          <w:rFonts w:ascii="Arial" w:cs="Arial" w:eastAsia="Arial" w:hAnsi="Arial"/>
          <w:sz w:val="18"/>
          <w:szCs w:val="18"/>
          <w:color w:val="auto"/>
        </w:rPr>
        <w:t>Expenses associated with this offering to be paid by us, other than underwriting discounts, are estimated to be approximately U.S.$1 million.</w:t>
      </w:r>
    </w:p>
    <w:p>
      <w:pPr>
        <w:spacing w:after="0" w:line="15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154"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7"/>
          <w:szCs w:val="17"/>
          <w:color w:val="auto"/>
        </w:rPr>
        <w:t>The Notes are new issues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02"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400" w:firstLine="44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0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3" w:lineRule="exact"/>
        <w:rPr>
          <w:sz w:val="20"/>
          <w:szCs w:val="20"/>
          <w:color w:val="auto"/>
        </w:rPr>
      </w:pPr>
    </w:p>
    <w:p>
      <w:pPr>
        <w:ind w:left="120" w:right="240" w:firstLine="440"/>
        <w:spacing w:after="0" w:line="25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89" w:lineRule="exact"/>
        <w:rPr>
          <w:sz w:val="20"/>
          <w:szCs w:val="20"/>
          <w:color w:val="auto"/>
        </w:rPr>
      </w:pPr>
    </w:p>
    <w:p>
      <w:pPr>
        <w:ind w:left="120" w:firstLine="440"/>
        <w:spacing w:after="0" w:line="255" w:lineRule="auto"/>
        <w:rPr>
          <w:sz w:val="20"/>
          <w:szCs w:val="20"/>
          <w:color w:val="auto"/>
        </w:rPr>
      </w:pPr>
      <w:r>
        <w:rPr>
          <w:rFonts w:ascii="Arial" w:cs="Arial" w:eastAsia="Arial" w:hAnsi="Arial"/>
          <w:sz w:val="17"/>
          <w:szCs w:val="17"/>
          <w:color w:val="auto"/>
        </w:rPr>
        <w:t>This prospectus supplement is for distribution only to persons who (i) have professional experience in matters relating to investments and who qualify as investment professionals within the meaning of Article 19 (5)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Luxembourg</w:t>
      </w:r>
    </w:p>
    <w:p>
      <w:pPr>
        <w:spacing w:after="0" w:line="10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This prospectus supplement has not been approved by and will not be submitted for approval to the Luxembourg Financial Sector Authority (</w:t>
      </w:r>
      <w:r>
        <w:rPr>
          <w:rFonts w:ascii="Arial" w:cs="Arial" w:eastAsia="Arial" w:hAnsi="Arial"/>
          <w:sz w:val="18"/>
          <w:szCs w:val="18"/>
          <w:i w:val="1"/>
          <w:iCs w:val="1"/>
          <w:color w:val="auto"/>
        </w:rPr>
        <w:t>Commission de Surveillance du Secteur Financier</w:t>
      </w:r>
      <w:r>
        <w:rPr>
          <w:rFonts w:ascii="Arial" w:cs="Arial" w:eastAsia="Arial" w:hAnsi="Arial"/>
          <w:sz w:val="18"/>
          <w:szCs w:val="18"/>
          <w:color w:val="auto"/>
        </w:rPr>
        <w:t>)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02"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The Notes may not be publicly offered, directly or indirectly, in Switzerland within</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Arial" w:cs="Arial" w:eastAsia="Arial" w:hAnsi="Arial"/>
          <w:sz w:val="17"/>
          <w:szCs w:val="17"/>
          <w:color w:val="auto"/>
        </w:rPr>
        <w:t>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0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7"/>
          <w:szCs w:val="17"/>
          <w:color w:val="auto"/>
        </w:rPr>
        <w:t>The Notes have not and may not be offered or sold in Hong Kong by means of any document other than (i) to “professional investors” as defined in the Securities and Futures Ordinance (Cap.571, Laws of Hong Kong) (“SFO”) and any rules made thereunder, or</w:t>
      </w:r>
    </w:p>
    <w:p>
      <w:pPr>
        <w:spacing w:after="0" w:line="1" w:lineRule="exact"/>
        <w:rPr>
          <w:sz w:val="20"/>
          <w:szCs w:val="20"/>
          <w:color w:val="auto"/>
        </w:rPr>
      </w:pPr>
    </w:p>
    <w:p>
      <w:pPr>
        <w:ind w:left="120" w:hanging="4"/>
        <w:spacing w:after="0" w:line="237" w:lineRule="auto"/>
        <w:tabs>
          <w:tab w:leader="none" w:pos="3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(Cap.32, Laws of Hong Kong) or which do not constitute an offer to the public within the meaning of that Ordinance, and no advertisement, invitation or document relating to the Notes has been or may be issued or has been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0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0"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Where the Notes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corporation or the beneficiaries’ rights and interest (howsoever described) in that trust shall not be transferable for six months after that corporation or that trust has acquired the Notes pursuant to an offer made under Section 275 of the SFA except: (1) to an institutional investor or to a relevant person defined in Section 275(2) of the SFA or to any person arising from an offer referred to in Section 275(1A) or Section 276(4)(i)(B) of the SFA, (2) where no consideration is given for the transfer, (3) where the transfer is by operation of law, (4) as specified in Section 276(7) of the SFA; or (5) as specified in Regulation 37A of the Securities and Futures (Offers of Investments) (Securities and Securities-based Derivatives Contracts) Regulations 2018 of Singapore.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w:t>
      </w:r>
    </w:p>
    <w:p>
      <w:pPr>
        <w:spacing w:after="0" w:line="14" w:lineRule="exact"/>
        <w:rPr>
          <w:sz w:val="20"/>
          <w:szCs w:val="20"/>
          <w:color w:val="auto"/>
        </w:rPr>
      </w:pPr>
    </w:p>
    <w:p>
      <w:pPr>
        <w:ind w:left="120" w:hanging="4"/>
        <w:spacing w:after="0" w:line="239" w:lineRule="auto"/>
        <w:tabs>
          <w:tab w:leader="none" w:pos="3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309B(1 )(c)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Taiwan</w:t>
      </w:r>
    </w:p>
    <w:p>
      <w:pPr>
        <w:spacing w:after="0" w:line="102"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0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This prospectus supplement and the accompanying prospectus have not been approved by or filed with the Central Bank of the United Arab Emirates, the Securities Commodities Authority, the Financial Services Regulatory Authority or the Dubai Financial Services Authority.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and Sale of the Notes</w:t>
      </w:r>
    </w:p>
    <w:p>
      <w:pPr>
        <w:spacing w:after="0" w:line="104" w:lineRule="exact"/>
        <w:rPr>
          <w:sz w:val="20"/>
          <w:szCs w:val="20"/>
          <w:color w:val="auto"/>
        </w:rPr>
      </w:pPr>
    </w:p>
    <w:p>
      <w:pPr>
        <w:ind w:left="120" w:right="120" w:firstLine="440"/>
        <w:spacing w:after="0" w:line="244"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last paragraph of the cover page of this prospectus supplement, which will be the fifth business day following the date of the pricing of the Notes. Since trades in the secondary market generally settle in two business days, purchasers who wish to trade Notes on the date of pricing or the next two succeeding business days will be required, by virtue of the fact that the Notes initially will settle in T+5, to specify alternative settlement arrangements to prevent a failed settlement.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0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w:t>
      </w:r>
    </w:p>
    <w:p>
      <w:pPr>
        <w:spacing w:after="0" w:line="15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500" w:firstLine="440"/>
        <w:spacing w:after="0" w:line="253" w:lineRule="auto"/>
        <w:rPr>
          <w:sz w:val="20"/>
          <w:szCs w:val="20"/>
          <w:color w:val="auto"/>
        </w:rPr>
      </w:pPr>
      <w:r>
        <w:rPr>
          <w:rFonts w:ascii="Arial" w:cs="Arial" w:eastAsia="Arial" w:hAnsi="Arial"/>
          <w:sz w:val="18"/>
          <w:szCs w:val="18"/>
          <w:color w:val="auto"/>
        </w:rPr>
        <w:t>Certain legal matters in connection with the notes and guarantee offered hereby will be passed upon for us by Gibson, Dunn &amp; Crutcher LLP, New York, New York, LOYENS &amp; LOEFF LUXEMBOURG SARL, Luxembourg, and STvB Advocaten (Europe) N.V., Amsterdam, The Netherlands, and for the underwriters by Davis Polk &amp; Wardwell LLP, New York, New York.</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9"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69" w:lineRule="exact"/>
        <w:rPr>
          <w:sz w:val="20"/>
          <w:szCs w:val="20"/>
          <w:color w:val="auto"/>
        </w:rPr>
      </w:pPr>
    </w:p>
    <w:p>
      <w:pPr>
        <w:ind w:left="120" w:right="420" w:firstLine="440"/>
        <w:spacing w:after="0" w:line="253" w:lineRule="auto"/>
        <w:rPr>
          <w:sz w:val="20"/>
          <w:szCs w:val="20"/>
          <w:color w:val="auto"/>
        </w:rPr>
      </w:pPr>
      <w:r>
        <w:rPr>
          <w:rFonts w:ascii="Arial" w:cs="Arial" w:eastAsia="Arial" w:hAnsi="Arial"/>
          <w:sz w:val="18"/>
          <w:szCs w:val="18"/>
          <w:color w:val="auto"/>
        </w:rPr>
        <w:t>Please note that any internet addresses provided in this prospectus supplement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1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SLB Group and its financial condition, business and results.</w:t>
      </w:r>
    </w:p>
    <w:p>
      <w:pPr>
        <w:spacing w:after="0" w:line="17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are incorporating by reference into this prospectus supplement and the accompanying prospectus the following documents listed below and any other filings made by the Guarantor under Section 13(a), 13(c), 14 or 15(d) of the Exchange Act on or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82" w:lineRule="exact"/>
        <w:rPr>
          <w:sz w:val="20"/>
          <w:szCs w:val="20"/>
          <w:color w:val="auto"/>
        </w:rPr>
      </w:pPr>
    </w:p>
    <w:p>
      <w:pPr>
        <w:ind w:left="1080" w:right="80" w:hanging="424"/>
        <w:spacing w:after="0" w:line="25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Guarantor’s Annual Report on </w:t>
      </w:r>
      <w:hyperlink r:id="rId6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2023, as filed with the SEC on January 24, 2024 (including the portions of our proxy statement for our 2024 annual meeting of shareholders incorporated by reference therein);</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Guarantor’s Quarterly Report on </w:t>
      </w:r>
      <w:hyperlink r:id="rId6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2024, as filed with the SEC on April 24, 2024; and</w:t>
      </w:r>
    </w:p>
    <w:p>
      <w:pPr>
        <w:spacing w:after="0" w:line="59"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Guarantor’s Current Reports on Form 8-K as filed with the SEC on </w:t>
      </w:r>
      <w:hyperlink r:id="rId63">
        <w:r>
          <w:rPr>
            <w:rFonts w:ascii="Arial" w:cs="Arial" w:eastAsia="Arial" w:hAnsi="Arial"/>
            <w:sz w:val="18"/>
            <w:szCs w:val="18"/>
            <w:u w:val="single" w:color="auto"/>
            <w:color w:val="0000EE"/>
          </w:rPr>
          <w:t>April 2,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the Guarantor’s Current Report on Form 8-K/A filed on April 3, 2024) and </w:t>
      </w:r>
      <w:hyperlink r:id="rId64">
        <w:r>
          <w:rPr>
            <w:rFonts w:ascii="Arial" w:cs="Arial" w:eastAsia="Arial" w:hAnsi="Arial"/>
            <w:sz w:val="18"/>
            <w:szCs w:val="18"/>
            <w:u w:val="single" w:color="auto"/>
            <w:color w:val="0000EE"/>
          </w:rPr>
          <w:t>April 3, 2024</w:t>
        </w:r>
      </w:hyperlink>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ind w:left="120" w:right="100" w:firstLine="440"/>
        <w:spacing w:after="0"/>
        <w:rPr>
          <w:sz w:val="20"/>
          <w:szCs w:val="20"/>
          <w:color w:val="auto"/>
        </w:rPr>
      </w:pPr>
      <w:r>
        <w:rPr>
          <w:rFonts w:ascii="Arial" w:cs="Arial" w:eastAsia="Arial" w:hAnsi="Arial"/>
          <w:sz w:val="18"/>
          <w:szCs w:val="18"/>
          <w:color w:val="auto"/>
        </w:rPr>
        <w:t>Any statement contained in this prospectus supplement and accompanying prospectus or in a document incorporated or deemed to be incorporated by reference in this prospectus supplement and accompanying prospectus will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will be deemed, except as so modified or superseded, to constitute a part of this prospectus supplement and accompanying prospectus.</w:t>
      </w:r>
    </w:p>
    <w:p>
      <w:pPr>
        <w:spacing w:after="0" w:line="185" w:lineRule="exact"/>
        <w:rPr>
          <w:rFonts w:ascii="Arial" w:cs="Arial" w:eastAsia="Arial" w:hAnsi="Arial"/>
          <w:sz w:val="18"/>
          <w:szCs w:val="18"/>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69" w:lineRule="exact"/>
        <w:rPr>
          <w:rFonts w:ascii="Arial" w:cs="Arial" w:eastAsia="Arial" w:hAnsi="Arial"/>
          <w:sz w:val="18"/>
          <w:szCs w:val="18"/>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6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Schlumberger Limited</w:t>
      </w:r>
    </w:p>
    <w:p>
      <w:pPr>
        <w:spacing w:after="0" w:line="9"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5599 San Felipe</w:t>
      </w:r>
    </w:p>
    <w:p>
      <w:pPr>
        <w:jc w:val="center"/>
        <w:ind w:right="-159"/>
        <w:spacing w:after="0" w:line="234" w:lineRule="auto"/>
        <w:rPr>
          <w:sz w:val="20"/>
          <w:szCs w:val="20"/>
          <w:color w:val="auto"/>
        </w:rPr>
      </w:pPr>
      <w:r>
        <w:rPr>
          <w:rFonts w:ascii="Arial" w:cs="Arial" w:eastAsia="Arial" w:hAnsi="Arial"/>
          <w:sz w:val="18"/>
          <w:szCs w:val="18"/>
          <w:color w:val="auto"/>
        </w:rPr>
        <w:t>Houston, Texas 77056</w:t>
      </w:r>
    </w:p>
    <w:p>
      <w:pPr>
        <w:ind w:left="5480" w:hanging="471"/>
        <w:spacing w:after="0" w:line="235" w:lineRule="auto"/>
        <w:tabs>
          <w:tab w:leader="none" w:pos="5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375-3535</w:t>
      </w:r>
    </w:p>
    <w:p>
      <w:pPr>
        <w:ind w:left="45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94" w:lineRule="exact"/>
        <w:rPr>
          <w:rFonts w:ascii="Arial" w:cs="Arial" w:eastAsia="Arial" w:hAnsi="Arial"/>
          <w:sz w:val="18"/>
          <w:szCs w:val="18"/>
          <w:color w:val="auto"/>
        </w:rPr>
      </w:pPr>
    </w:p>
    <w:p>
      <w:pPr>
        <w:ind w:left="120" w:right="780" w:firstLine="440"/>
        <w:spacing w:after="0" w:line="271"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 supplement and accompanying prospectus.</w:t>
      </w:r>
    </w:p>
    <w:p>
      <w:pPr>
        <w:spacing w:after="0" w:line="86" w:lineRule="exact"/>
        <w:rPr>
          <w:rFonts w:ascii="Arial" w:cs="Arial" w:eastAsia="Arial" w:hAnsi="Arial"/>
          <w:sz w:val="18"/>
          <w:szCs w:val="18"/>
          <w:color w:val="auto"/>
        </w:rPr>
      </w:pPr>
    </w:p>
    <w:p>
      <w:pPr>
        <w:jc w:val="center"/>
        <w:ind w:right="-15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163195</wp:posOffset>
            </wp:positionV>
            <wp:extent cx="1225550" cy="737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2255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Schlumberger Investment S.A.,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and existing under the laws of the Grand Duchy of Luxembourg, having its registered office located at 5, Place de la Gare, L-1616 Luxembourg, Grand Duchy of Luxembourg, and registered with the Luxembourg Trade and Companies Register (</w:t>
      </w:r>
      <w:r>
        <w:rPr>
          <w:rFonts w:ascii="Arial" w:cs="Arial" w:eastAsia="Arial" w:hAnsi="Arial"/>
          <w:sz w:val="18"/>
          <w:szCs w:val="18"/>
          <w:i w:val="1"/>
          <w:iCs w:val="1"/>
          <w:color w:val="auto"/>
        </w:rPr>
        <w:t>Registre de Commerce et des Sociétés</w:t>
      </w:r>
      <w:r>
        <w:rPr>
          <w:rFonts w:ascii="Arial" w:cs="Arial" w:eastAsia="Arial" w:hAnsi="Arial"/>
          <w:sz w:val="18"/>
          <w:szCs w:val="18"/>
          <w:color w:val="auto"/>
        </w:rPr>
        <w:t>) under number B 163.122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71"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22"/>
          <w:szCs w:val="22"/>
          <w:b w:val="1"/>
          <w:bCs w:val="1"/>
          <w:color w:val="auto"/>
        </w:rPr>
        <w:t>Investing in the securities involves risks. You should carefully consider the information in the “</w:t>
      </w:r>
      <w:r>
        <w:rPr>
          <w:rFonts w:ascii="Arial" w:cs="Arial" w:eastAsia="Arial" w:hAnsi="Arial"/>
          <w:sz w:val="22"/>
          <w:szCs w:val="22"/>
          <w:b w:val="1"/>
          <w:bCs w:val="1"/>
          <w:u w:val="single" w:color="auto"/>
          <w:color w:val="0000EE"/>
        </w:rPr>
        <w:t>Risk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0000EE"/>
        </w:rPr>
        <w:t>Factors</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 section beginning on page 5 of this prospectus, including those risks incorporated by reference</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in this prospectus and in any prospectus supplement, before deciding whether to invest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6" w:lineRule="exact"/>
        <w:rPr>
          <w:sz w:val="20"/>
          <w:szCs w:val="20"/>
          <w:color w:val="auto"/>
        </w:rPr>
      </w:pPr>
    </w:p>
    <w:p>
      <w:pPr>
        <w:ind w:left="120" w:firstLine="440"/>
        <w:spacing w:after="0" w:line="309"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153670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May 8, 2023</w:t>
      </w:r>
    </w:p>
    <w:p>
      <w:pPr>
        <w:sectPr>
          <w:pgSz w:w="11900" w:h="16838" w:orient="portrait"/>
          <w:cols w:equalWidth="0" w:num="1">
            <w:col w:w="11100"/>
          </w:cols>
          <w:pgMar w:left="320" w:top="455" w:right="4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6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2"/>
          </w:tcPr>
          <w:p>
            <w:pPr>
              <w:ind w:left="14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8500" w:type="dxa"/>
            <w:vAlign w:val="bottom"/>
            <w:gridSpan w:val="14"/>
          </w:tcPr>
          <w:p>
            <w:pPr>
              <w:spacing w:after="0"/>
              <w:rPr>
                <w:sz w:val="20"/>
                <w:szCs w:val="20"/>
                <w:color w:val="auto"/>
              </w:rPr>
            </w:pPr>
            <w:r>
              <w:rPr>
                <w:rFonts w:ascii="Arial" w:cs="Arial" w:eastAsia="Arial" w:hAnsi="Arial"/>
                <w:sz w:val="18"/>
                <w:szCs w:val="18"/>
                <w:color w:val="0000EE"/>
              </w:rPr>
              <w:t>About this Prospectus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4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About the Guarantor</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62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About the Company</w:t>
            </w:r>
          </w:p>
        </w:tc>
        <w:tc>
          <w:tcPr>
            <w:tcW w:w="2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58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89"/>
              </w:rPr>
              <w:t>Cautionary Statement</w:t>
            </w:r>
          </w:p>
        </w:tc>
        <w:tc>
          <w:tcPr>
            <w:tcW w:w="6920" w:type="dxa"/>
            <w:vAlign w:val="bottom"/>
            <w:gridSpan w:val="8"/>
          </w:tcPr>
          <w:p>
            <w:pPr>
              <w:ind w:left="200"/>
              <w:spacing w:after="0" w:line="182" w:lineRule="exact"/>
              <w:rPr>
                <w:sz w:val="20"/>
                <w:szCs w:val="20"/>
                <w:color w:val="auto"/>
              </w:rPr>
            </w:pPr>
            <w:r>
              <w:rPr>
                <w:rFonts w:ascii="Arial" w:cs="Arial" w:eastAsia="Arial" w:hAnsi="Arial"/>
                <w:sz w:val="18"/>
                <w:szCs w:val="18"/>
                <w:color w:val="0000EE"/>
              </w:rPr>
              <w:t>Regarding Forward-Looking Statements</w:t>
            </w: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98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Risk Factors</w:t>
            </w:r>
          </w:p>
        </w:tc>
        <w:tc>
          <w:tcPr>
            <w:tcW w:w="3520" w:type="dxa"/>
            <w:vAlign w:val="bottom"/>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Where You</w:t>
            </w:r>
          </w:p>
        </w:tc>
        <w:tc>
          <w:tcPr>
            <w:tcW w:w="7500" w:type="dxa"/>
            <w:vAlign w:val="bottom"/>
            <w:gridSpan w:val="12"/>
          </w:tcPr>
          <w:p>
            <w:pPr>
              <w:spacing w:after="0" w:line="182" w:lineRule="exact"/>
              <w:rPr>
                <w:sz w:val="20"/>
                <w:szCs w:val="20"/>
                <w:color w:val="auto"/>
              </w:rPr>
            </w:pPr>
            <w:r>
              <w:rPr>
                <w:rFonts w:ascii="Arial" w:cs="Arial" w:eastAsia="Arial" w:hAnsi="Arial"/>
                <w:sz w:val="18"/>
                <w:szCs w:val="18"/>
                <w:color w:val="0000EE"/>
              </w:rPr>
              <w:t>Can Find More Information</w:t>
            </w: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Incorporation of Documents by Reference</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3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Use of Proceeds</w:t>
            </w:r>
          </w:p>
        </w:tc>
        <w:tc>
          <w:tcPr>
            <w:tcW w:w="5180" w:type="dxa"/>
            <w:vAlign w:val="bottom"/>
            <w:gridSpan w:val="2"/>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Description of Debt Securities</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Plan of Distribution</w:t>
            </w:r>
          </w:p>
        </w:tc>
        <w:tc>
          <w:tcPr>
            <w:tcW w:w="6140" w:type="dxa"/>
            <w:vAlign w:val="bottom"/>
            <w:gridSpan w:val="4"/>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600" w:type="dxa"/>
            <w:vAlign w:val="bottom"/>
            <w:gridSpan w:val="5"/>
          </w:tcPr>
          <w:p>
            <w:pPr>
              <w:spacing w:after="0" w:line="20" w:lineRule="exact"/>
              <w:rPr>
                <w:sz w:val="1"/>
                <w:szCs w:val="1"/>
                <w:color w:val="auto"/>
              </w:rPr>
            </w:pPr>
          </w:p>
        </w:tc>
        <w:tc>
          <w:tcPr>
            <w:tcW w:w="2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500" w:type="dxa"/>
            <w:vAlign w:val="bottom"/>
            <w:gridSpan w:val="14"/>
          </w:tcPr>
          <w:p>
            <w:pPr>
              <w:spacing w:after="0" w:line="182" w:lineRule="exact"/>
              <w:rPr>
                <w:sz w:val="20"/>
                <w:szCs w:val="20"/>
                <w:color w:val="auto"/>
              </w:rPr>
            </w:pPr>
            <w:r>
              <w:rPr>
                <w:rFonts w:ascii="Arial" w:cs="Arial" w:eastAsia="Arial" w:hAnsi="Arial"/>
                <w:sz w:val="18"/>
                <w:szCs w:val="18"/>
                <w:color w:val="0000EE"/>
              </w:rPr>
              <w:t>Validity of the Securities</w:t>
            </w: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90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Experts</w:t>
            </w:r>
          </w:p>
        </w:tc>
        <w:tc>
          <w:tcPr>
            <w:tcW w:w="6600" w:type="dxa"/>
            <w:vAlign w:val="bottom"/>
            <w:gridSpan w:val="5"/>
          </w:tcPr>
          <w:p>
            <w:pPr>
              <w:spacing w:after="0"/>
              <w:rPr>
                <w:sz w:val="15"/>
                <w:szCs w:val="15"/>
                <w:color w:val="auto"/>
              </w:rPr>
            </w:pPr>
          </w:p>
        </w:tc>
        <w:tc>
          <w:tcPr>
            <w:tcW w:w="2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17"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refers to Schlumberger Investment S.A., as defined on the first page of this prospectus;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“Guarantor” refers to Schlumberger Limited, the ultimate parent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“SLB Group” refers to Schlumberger Limited and its consolidated subsidiaries, including the Company; and</w:t>
      </w:r>
    </w:p>
    <w:p>
      <w:pPr>
        <w:spacing w:after="0" w:line="117"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“us” and “our” and similar expressions refer to the SLB Group, including the Company, except when used in connection with “securities,” in which case these terms refer only to the Company.</w:t>
      </w:r>
    </w:p>
    <w:p>
      <w:pPr>
        <w:sectPr>
          <w:pgSz w:w="11900" w:h="16838" w:orient="portrait"/>
          <w:cols w:equalWidth="0" w:num="1">
            <w:col w:w="11080"/>
          </w:cols>
          <w:pgMar w:left="320" w:top="446"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12" w:lineRule="exact"/>
        <w:rPr>
          <w:sz w:val="20"/>
          <w:szCs w:val="20"/>
          <w:color w:val="auto"/>
        </w:rPr>
      </w:pPr>
    </w:p>
    <w:p>
      <w:pPr>
        <w:ind w:left="120" w:right="480" w:firstLine="440"/>
        <w:spacing w:after="0" w:line="271"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 (the “Securities Act”).</w:t>
      </w:r>
    </w:p>
    <w:p>
      <w:pPr>
        <w:spacing w:after="0" w:line="154"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85"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SLB Group and Schlumberger Limited’s financial statements. You can read the registration statement and exhibits on the SEC’s website or at the SEC as described under “Where You Can Find More Information.”</w:t>
      </w: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Guarantor</w:t>
      </w:r>
    </w:p>
    <w:p>
      <w:pPr>
        <w:spacing w:after="0" w:line="212"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Schlumberger Limited, together with its subsidiaries, form a global technology company focused on driving energy innovation for a balanced planet. With a global presence in more than 100 countries and employees representing almost twice as many nationalities, the SLB Group works each day on innovating oil and gas, delivering digital at scale, decarbonizing industries, and developing and scaling new energy systems that accelerate the energy transition.</w:t>
      </w:r>
    </w:p>
    <w:p>
      <w:pPr>
        <w:spacing w:after="0" w:line="174" w:lineRule="exact"/>
        <w:rPr>
          <w:sz w:val="20"/>
          <w:szCs w:val="20"/>
          <w:color w:val="auto"/>
        </w:rPr>
      </w:pPr>
    </w:p>
    <w:p>
      <w:pPr>
        <w:ind w:left="120" w:right="440" w:firstLine="440"/>
        <w:spacing w:after="0" w:line="271" w:lineRule="auto"/>
        <w:rPr>
          <w:sz w:val="20"/>
          <w:szCs w:val="20"/>
          <w:color w:val="auto"/>
        </w:rPr>
      </w:pPr>
      <w:r>
        <w:rPr>
          <w:rFonts w:ascii="Arial" w:cs="Arial" w:eastAsia="Arial" w:hAnsi="Arial"/>
          <w:sz w:val="18"/>
          <w:szCs w:val="18"/>
          <w:color w:val="auto"/>
        </w:rPr>
        <w:t>The Guarantor was founded in 1926 and is incorporated under the laws of Curaçao. The Guarantor is the ultimate parent of the Company.</w:t>
      </w:r>
    </w:p>
    <w:p>
      <w:pPr>
        <w:spacing w:after="0" w:line="154" w:lineRule="exact"/>
        <w:rPr>
          <w:sz w:val="20"/>
          <w:szCs w:val="20"/>
          <w:color w:val="auto"/>
        </w:rPr>
      </w:pPr>
    </w:p>
    <w:p>
      <w:pPr>
        <w:ind w:left="120" w:right="840" w:firstLine="440"/>
        <w:spacing w:after="0" w:line="271"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U.S. market for the Guarantor’s common stock is the New York Stock Exchange, where it is traded under the symbol “SLB.”</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the Company</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Schlumberger Investment S.A. is a public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in 2011 under the laws of the Grand Duchy of Luxembourg (“Luxembourg”) and registered with the Luxembourg Trade and Companies Register (</w:t>
      </w:r>
      <w:r>
        <w:rPr>
          <w:rFonts w:ascii="Arial" w:cs="Arial" w:eastAsia="Arial" w:hAnsi="Arial"/>
          <w:sz w:val="18"/>
          <w:szCs w:val="18"/>
          <w:i w:val="1"/>
          <w:iCs w:val="1"/>
          <w:color w:val="auto"/>
        </w:rPr>
        <w:t>Registre de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Commerce et des Sociétés</w:t>
      </w:r>
      <w:r>
        <w:rPr>
          <w:rFonts w:ascii="Arial" w:cs="Arial" w:eastAsia="Arial" w:hAnsi="Arial"/>
          <w:sz w:val="18"/>
          <w:szCs w:val="18"/>
          <w:color w:val="auto"/>
        </w:rPr>
        <w:t>) under number B 163.122. The Company has no subsidiaries, and its principal activities are debt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group financing. The Company is part of the SLB Group and all shares of the Company are owned indirectly by the Guarantor.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79"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82" w:lineRule="exact"/>
        <w:rPr>
          <w:sz w:val="20"/>
          <w:szCs w:val="20"/>
          <w:color w:val="auto"/>
        </w:rPr>
      </w:pPr>
    </w:p>
    <w:p>
      <w:pPr>
        <w:ind w:left="1080" w:right="58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SLB Group’s financial and performance targets and other forecasts or expectations regarding, or dependent on, its business outlook;</w:t>
      </w:r>
    </w:p>
    <w:p>
      <w:pPr>
        <w:spacing w:after="0" w:line="59"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growth for the SLB Group as a whole and for each of its Divisions (and for specified business lines, geographic areas or technologies within each Division);</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forecasts or expectations regarding energy transition and global climate change;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expenditures by the SLB Group and the oil and gas industry;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business strategies of the SLB Group, including digital and “fit for basin,” as well as the strategies of its customers;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SLB Group’s effective tax rate;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SLB Group’s Asset Performance Solutions projects, joint ventures, and other alliances;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SLB Group’s response to the COVID-19 pandemic and its preparedness for other widespread health emergencies;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the ongoing conflict in Ukraine on global energy supply;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access to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global economic and geopolitical conditions;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liquidity, including free cash flow;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results of operations, such as margin levels.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17"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changing global economic and geopolitical conditions;</w:t>
      </w:r>
    </w:p>
    <w:p>
      <w:pPr>
        <w:spacing w:after="0" w:line="117"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SLB Group’s customers, and changes in the level of oil and natural gas exploration and development;</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operations and financial condition of the SLB Group’s customers and suppliers;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SLB Group’s inability to achieve its financial and performance targets and other forecasts and expectations;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SLB Group’s inability to achieve its net-zero carbon emissions goals or interim emissions reduction goals;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geopolitical and business conditions in key regions of the world;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ongoing conflict in Ukraine;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monetary policy by governments;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effects of health pandemics;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and cost of raw materials;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challenges in the SLB Group’s supply chain;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of future charges;</w:t>
      </w:r>
    </w:p>
    <w:p>
      <w:pPr>
        <w:spacing w:after="0" w:line="117"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SLB Group’s inability to recognize efficiencies and other intended benefits from its business strategies and initiatives, such as digital or new energy, as well as its cost reduction strategies;</w:t>
      </w:r>
    </w:p>
    <w:p>
      <w:pPr>
        <w:spacing w:after="0" w:line="59"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and climate-related initiatives;</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competitiveness of alternative energy sources or product substitutes;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12"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2022 and the Guarantor’s Quarterly Report on Form 10-Q for the fiscal quarter ended March 31, 2023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9" w:lineRule="exact"/>
        <w:rPr>
          <w:sz w:val="20"/>
          <w:szCs w:val="20"/>
          <w:color w:val="auto"/>
        </w:rPr>
      </w:pPr>
    </w:p>
    <w:p>
      <w:pPr>
        <w:ind w:left="120" w:right="260" w:firstLine="440"/>
        <w:spacing w:after="0" w:line="253" w:lineRule="auto"/>
        <w:rPr>
          <w:sz w:val="20"/>
          <w:szCs w:val="20"/>
          <w:color w:val="auto"/>
        </w:rPr>
      </w:pPr>
      <w:r>
        <w:rPr>
          <w:rFonts w:ascii="Arial" w:cs="Arial" w:eastAsia="Arial" w:hAnsi="Arial"/>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SLB Investor Relations, 5599 San Felipe, Houston, Texas 77056.</w:t>
      </w:r>
    </w:p>
    <w:p>
      <w:pPr>
        <w:spacing w:after="0" w:line="169" w:lineRule="exact"/>
        <w:rPr>
          <w:sz w:val="20"/>
          <w:szCs w:val="20"/>
          <w:color w:val="auto"/>
        </w:rPr>
      </w:pPr>
    </w:p>
    <w:p>
      <w:pPr>
        <w:jc w:val="both"/>
        <w:ind w:left="120" w:right="240" w:firstLine="440"/>
        <w:spacing w:after="0" w:line="253" w:lineRule="auto"/>
        <w:rPr>
          <w:sz w:val="20"/>
          <w:szCs w:val="20"/>
          <w:color w:val="auto"/>
        </w:rPr>
      </w:pPr>
      <w:r>
        <w:rPr>
          <w:rFonts w:ascii="Arial" w:cs="Arial" w:eastAsia="Arial" w:hAnsi="Arial"/>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12"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SLB Group and its financial condition, business and results.</w:t>
      </w:r>
    </w:p>
    <w:p>
      <w:pPr>
        <w:spacing w:after="0" w:line="159"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82" w:lineRule="exact"/>
        <w:rPr>
          <w:sz w:val="20"/>
          <w:szCs w:val="20"/>
          <w:color w:val="auto"/>
        </w:rPr>
      </w:pPr>
    </w:p>
    <w:p>
      <w:pPr>
        <w:ind w:left="1080" w:hanging="424"/>
        <w:spacing w:after="0" w:line="25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Guarantor’s </w:t>
      </w:r>
      <w:hyperlink r:id="rId77">
        <w:r>
          <w:rPr>
            <w:rFonts w:ascii="Arial" w:cs="Arial" w:eastAsia="Arial" w:hAnsi="Arial"/>
            <w:sz w:val="18"/>
            <w:szCs w:val="18"/>
            <w:u w:val="single" w:color="auto"/>
            <w:color w:val="0000EE"/>
          </w:rPr>
          <w:t>Annual Report on Form 10-K for the fiscal year ended December 31, 2022</w:t>
        </w:r>
      </w:hyperlink>
      <w:r>
        <w:rPr>
          <w:rFonts w:ascii="Arial" w:cs="Arial" w:eastAsia="Arial" w:hAnsi="Arial"/>
          <w:sz w:val="18"/>
          <w:szCs w:val="18"/>
          <w:color w:val="auto"/>
        </w:rPr>
        <w:t xml:space="preserve">, as filed with the SEC on January 25, 2023 (including the </w:t>
      </w:r>
      <w:hyperlink r:id="rId78">
        <w:r>
          <w:rPr>
            <w:rFonts w:ascii="Arial" w:cs="Arial" w:eastAsia="Arial" w:hAnsi="Arial"/>
            <w:sz w:val="18"/>
            <w:szCs w:val="18"/>
            <w:u w:val="single" w:color="auto"/>
            <w:color w:val="0000EE"/>
          </w:rPr>
          <w:t>portions of our proxy statement for our 2023 annual meeting of shareholders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incorporated by reference therein);</w:t>
      </w:r>
    </w:p>
    <w:p>
      <w:pPr>
        <w:spacing w:after="0" w:line="74"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Guarantor’s Quarterly Report on Form 10-Q for the fiscal quarter ended </w:t>
      </w:r>
      <w:hyperlink r:id="rId79">
        <w:r>
          <w:rPr>
            <w:rFonts w:ascii="Arial" w:cs="Arial" w:eastAsia="Arial" w:hAnsi="Arial"/>
            <w:sz w:val="18"/>
            <w:szCs w:val="18"/>
            <w:u w:val="single" w:color="auto"/>
            <w:color w:val="0000EE"/>
          </w:rPr>
          <w:t>March 31, 2023</w:t>
        </w:r>
      </w:hyperlink>
      <w:r>
        <w:rPr>
          <w:rFonts w:ascii="Arial" w:cs="Arial" w:eastAsia="Arial" w:hAnsi="Arial"/>
          <w:sz w:val="18"/>
          <w:szCs w:val="18"/>
          <w:color w:val="auto"/>
        </w:rPr>
        <w:t>, as filed with the SEC on April 26, 2023; and</w:t>
      </w:r>
    </w:p>
    <w:p>
      <w:pPr>
        <w:spacing w:after="0" w:line="8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520" w:hanging="424"/>
        <w:spacing w:after="0" w:line="27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Guarantor’s Current Reports on Form 8-K as filed with the SEC on </w:t>
      </w:r>
      <w:hyperlink r:id="rId81">
        <w:r>
          <w:rPr>
            <w:rFonts w:ascii="Arial" w:cs="Arial" w:eastAsia="Arial" w:hAnsi="Arial"/>
            <w:sz w:val="18"/>
            <w:szCs w:val="18"/>
            <w:u w:val="single" w:color="auto"/>
            <w:color w:val="0000EE"/>
          </w:rPr>
          <w:t>April 6, 2023</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xml:space="preserve">, and </w:t>
      </w:r>
      <w:hyperlink r:id="rId83">
        <w:r>
          <w:rPr>
            <w:rFonts w:ascii="Arial" w:cs="Arial" w:eastAsia="Arial" w:hAnsi="Arial"/>
            <w:sz w:val="18"/>
            <w:szCs w:val="18"/>
            <w:u w:val="single" w:color="auto"/>
            <w:color w:val="0000EE"/>
          </w:rPr>
          <w:t>April 21, 2023</w:t>
        </w:r>
      </w:hyperlink>
      <w:r>
        <w:rPr>
          <w:rFonts w:ascii="Arial" w:cs="Arial" w:eastAsia="Arial" w:hAnsi="Arial"/>
          <w:sz w:val="18"/>
          <w:szCs w:val="18"/>
          <w:color w:val="auto"/>
        </w:rPr>
        <w:t xml:space="preserve"> (Items 5.03 and 5.05 only).</w:t>
      </w:r>
    </w:p>
    <w:p>
      <w:pPr>
        <w:spacing w:after="0" w:line="154" w:lineRule="exact"/>
        <w:rPr>
          <w:rFonts w:ascii="Arial" w:cs="Arial" w:eastAsia="Arial" w:hAnsi="Arial"/>
          <w:sz w:val="18"/>
          <w:szCs w:val="18"/>
          <w:color w:val="auto"/>
        </w:rPr>
      </w:pPr>
    </w:p>
    <w:p>
      <w:pPr>
        <w:ind w:left="120" w:firstLine="440"/>
        <w:spacing w:after="0" w:line="242"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79" w:lineRule="exact"/>
        <w:rPr>
          <w:rFonts w:ascii="Arial" w:cs="Arial" w:eastAsia="Arial" w:hAnsi="Arial"/>
          <w:sz w:val="18"/>
          <w:szCs w:val="18"/>
          <w:color w:val="auto"/>
        </w:rPr>
      </w:pPr>
    </w:p>
    <w:p>
      <w:pPr>
        <w:jc w:val="both"/>
        <w:ind w:left="120" w:right="40" w:firstLine="440"/>
        <w:spacing w:after="0" w:line="25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69" w:lineRule="exact"/>
        <w:rPr>
          <w:rFonts w:ascii="Arial" w:cs="Arial" w:eastAsia="Arial" w:hAnsi="Arial"/>
          <w:sz w:val="18"/>
          <w:szCs w:val="18"/>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6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5599 San Felipe</w:t>
      </w:r>
    </w:p>
    <w:p>
      <w:pPr>
        <w:jc w:val="center"/>
        <w:ind w:right="-119"/>
        <w:spacing w:after="0" w:line="234" w:lineRule="auto"/>
        <w:rPr>
          <w:sz w:val="20"/>
          <w:szCs w:val="20"/>
          <w:color w:val="auto"/>
        </w:rPr>
      </w:pPr>
      <w:r>
        <w:rPr>
          <w:rFonts w:ascii="Arial" w:cs="Arial" w:eastAsia="Arial" w:hAnsi="Arial"/>
          <w:sz w:val="18"/>
          <w:szCs w:val="18"/>
          <w:color w:val="auto"/>
        </w:rPr>
        <w:t>Houston, Texas 77056</w:t>
      </w:r>
    </w:p>
    <w:p>
      <w:pPr>
        <w:ind w:left="5480" w:hanging="471"/>
        <w:spacing w:after="0" w:line="235" w:lineRule="auto"/>
        <w:tabs>
          <w:tab w:leader="none" w:pos="5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375-3535</w:t>
      </w:r>
    </w:p>
    <w:p>
      <w:pPr>
        <w:ind w:left="45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94" w:lineRule="exact"/>
        <w:rPr>
          <w:rFonts w:ascii="Arial" w:cs="Arial" w:eastAsia="Arial" w:hAnsi="Arial"/>
          <w:sz w:val="18"/>
          <w:szCs w:val="18"/>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w:t>
      </w:r>
    </w:p>
    <w:p>
      <w:pPr>
        <w:spacing w:after="0" w:line="37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rFonts w:ascii="Arial" w:cs="Arial" w:eastAsia="Arial" w:hAnsi="Arial"/>
          <w:sz w:val="18"/>
          <w:szCs w:val="18"/>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Unless we otherwise state in a prospectus supplement or pricing supplement, we will use the net proceeds from the sale of the offered securities for general corporate purposes of the SLB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10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5" w:lineRule="exact"/>
        <w:rPr>
          <w:sz w:val="20"/>
          <w:szCs w:val="20"/>
          <w:color w:val="auto"/>
        </w:rPr>
      </w:pPr>
    </w:p>
    <w:p>
      <w:pPr>
        <w:jc w:val="both"/>
        <w:ind w:left="120" w:right="60" w:firstLine="440"/>
        <w:spacing w:after="0" w:line="25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 “Guarantor” refers to our parent company, Schlumberger Limited, and not to any of its subsidiaries, in each case unless otherwise stated or the context otherwise requires.</w:t>
      </w:r>
    </w:p>
    <w:p>
      <w:pPr>
        <w:spacing w:after="0" w:line="169" w:lineRule="exact"/>
        <w:rPr>
          <w:sz w:val="20"/>
          <w:szCs w:val="20"/>
          <w:color w:val="auto"/>
        </w:rPr>
      </w:pPr>
    </w:p>
    <w:p>
      <w:pPr>
        <w:ind w:left="120" w:right="620" w:firstLine="440"/>
        <w:spacing w:after="0" w:line="271" w:lineRule="auto"/>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 (as defined below).</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debt securities that we may issue will be senior debt securities that will be issued under an indenture, dated December 3, 2013, among us, Schlumberger Limited, as guarantor, and The Bank of New York Mellon, as trustee, as amended by the second supplemental indenture dated June 26, 2020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 (the “Trust Indenture Act”).</w:t>
      </w:r>
    </w:p>
    <w:p>
      <w:pPr>
        <w:spacing w:after="0" w:line="180"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5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w:t>
      </w:r>
    </w:p>
    <w:p>
      <w:pPr>
        <w:spacing w:after="0" w:line="2" w:lineRule="exact"/>
        <w:rPr>
          <w:sz w:val="20"/>
          <w:szCs w:val="20"/>
          <w:color w:val="auto"/>
        </w:rPr>
      </w:pPr>
    </w:p>
    <w:p>
      <w:pPr>
        <w:jc w:val="both"/>
        <w:ind w:left="120" w:right="140"/>
        <w:spacing w:after="0" w:line="264" w:lineRule="auto"/>
        <w:rPr>
          <w:sz w:val="20"/>
          <w:szCs w:val="20"/>
          <w:color w:val="auto"/>
        </w:rPr>
      </w:pPr>
      <w:r>
        <w:rPr>
          <w:rFonts w:ascii="Arial" w:cs="Arial" w:eastAsia="Arial" w:hAnsi="Arial"/>
          <w:sz w:val="17"/>
          <w:szCs w:val="17"/>
          <w:color w:val="auto"/>
        </w:rPr>
        <w:t>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6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5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5580" w:right="3740" w:hanging="4924"/>
        <w:spacing w:after="0" w:line="443" w:lineRule="auto"/>
        <w:tabs>
          <w:tab w:leader="none" w:pos="10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 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17"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74" w:lineRule="exact"/>
        <w:rPr>
          <w:rFonts w:ascii="Arial" w:cs="Arial" w:eastAsia="Arial" w:hAnsi="Arial"/>
          <w:sz w:val="18"/>
          <w:szCs w:val="18"/>
          <w:color w:val="auto"/>
        </w:rPr>
      </w:pPr>
    </w:p>
    <w:p>
      <w:pPr>
        <w:ind w:left="1080" w:right="60" w:hanging="424"/>
        <w:spacing w:after="0" w:line="24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79" w:lineRule="exact"/>
        <w:rPr>
          <w:rFonts w:ascii="Arial" w:cs="Arial" w:eastAsia="Arial" w:hAnsi="Arial"/>
          <w:sz w:val="18"/>
          <w:szCs w:val="18"/>
          <w:color w:val="auto"/>
        </w:rPr>
      </w:pPr>
    </w:p>
    <w:p>
      <w:pPr>
        <w:ind w:left="1080" w:right="320" w:hanging="424"/>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74" w:lineRule="exact"/>
        <w:rPr>
          <w:rFonts w:ascii="Arial" w:cs="Arial" w:eastAsia="Arial" w:hAnsi="Arial"/>
          <w:sz w:val="18"/>
          <w:szCs w:val="18"/>
          <w:color w:val="auto"/>
        </w:rPr>
      </w:pPr>
    </w:p>
    <w:p>
      <w:pPr>
        <w:ind w:left="1080" w:right="68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trustees, authenticating agents or paying agents with respect to such series, if different from those set forth in the indenture;</w:t>
      </w:r>
    </w:p>
    <w:p>
      <w:pPr>
        <w:spacing w:after="0" w:line="59" w:lineRule="exact"/>
        <w:rPr>
          <w:rFonts w:ascii="Arial" w:cs="Arial" w:eastAsia="Arial" w:hAnsi="Arial"/>
          <w:sz w:val="18"/>
          <w:szCs w:val="18"/>
          <w:color w:val="auto"/>
        </w:rPr>
      </w:pPr>
    </w:p>
    <w:p>
      <w:pPr>
        <w:ind w:left="1080" w:right="10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defer the payment of interest and the duration of such extension or deferral;</w:t>
      </w:r>
    </w:p>
    <w:p>
      <w:pPr>
        <w:spacing w:after="0" w:line="5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us, in whole or in part, at our option;</w:t>
      </w:r>
    </w:p>
    <w:p>
      <w:pPr>
        <w:spacing w:after="0" w:line="59" w:lineRule="exact"/>
        <w:rPr>
          <w:rFonts w:ascii="Arial" w:cs="Arial" w:eastAsia="Arial" w:hAnsi="Arial"/>
          <w:sz w:val="18"/>
          <w:szCs w:val="18"/>
          <w:color w:val="auto"/>
        </w:rPr>
      </w:pPr>
    </w:p>
    <w:p>
      <w:pPr>
        <w:ind w:left="1080" w:right="300" w:hanging="424"/>
        <w:spacing w:after="0" w:line="24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17" w:lineRule="exact"/>
        <w:rPr>
          <w:rFonts w:ascii="Arial" w:cs="Arial" w:eastAsia="Arial" w:hAnsi="Arial"/>
          <w:sz w:val="18"/>
          <w:szCs w:val="18"/>
          <w:color w:val="auto"/>
        </w:rPr>
      </w:pPr>
    </w:p>
    <w:p>
      <w:pPr>
        <w:ind w:left="1080" w:right="22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will be issuable;</w:t>
      </w:r>
    </w:p>
    <w:p>
      <w:pPr>
        <w:spacing w:after="0" w:line="59" w:lineRule="exact"/>
        <w:rPr>
          <w:rFonts w:ascii="Arial" w:cs="Arial" w:eastAsia="Arial" w:hAnsi="Arial"/>
          <w:sz w:val="18"/>
          <w:szCs w:val="18"/>
          <w:color w:val="auto"/>
        </w:rPr>
      </w:pPr>
    </w:p>
    <w:p>
      <w:pPr>
        <w:ind w:left="1080" w:right="16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will be payable;</w:t>
      </w:r>
    </w:p>
    <w:p>
      <w:pPr>
        <w:spacing w:after="0" w:line="59"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17" w:lineRule="exact"/>
        <w:rPr>
          <w:rFonts w:ascii="Arial" w:cs="Arial" w:eastAsia="Arial" w:hAnsi="Arial"/>
          <w:sz w:val="18"/>
          <w:szCs w:val="18"/>
          <w:color w:val="auto"/>
        </w:rPr>
      </w:pPr>
    </w:p>
    <w:p>
      <w:pPr>
        <w:jc w:val="both"/>
        <w:ind w:left="1080" w:right="360" w:hanging="424"/>
        <w:spacing w:after="0" w:line="25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3" w:lineRule="auto"/>
        <w:rPr>
          <w:sz w:val="20"/>
          <w:szCs w:val="20"/>
          <w:color w:val="auto"/>
        </w:rPr>
      </w:pPr>
      <w:r>
        <w:rPr>
          <w:rFonts w:ascii="Arial" w:cs="Arial" w:eastAsia="Arial" w:hAnsi="Arial"/>
          <w:sz w:val="18"/>
          <w:szCs w:val="18"/>
          <w:color w:val="auto"/>
        </w:rPr>
        <w:t>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74" w:lineRule="exact"/>
        <w:rPr>
          <w:sz w:val="20"/>
          <w:szCs w:val="20"/>
          <w:color w:val="auto"/>
        </w:rPr>
      </w:pPr>
    </w:p>
    <w:p>
      <w:pPr>
        <w:ind w:left="1080" w:hanging="424"/>
        <w:spacing w:after="0" w:line="24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7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17" w:lineRule="exact"/>
        <w:rPr>
          <w:rFonts w:ascii="Arial" w:cs="Arial" w:eastAsia="Arial" w:hAnsi="Arial"/>
          <w:sz w:val="18"/>
          <w:szCs w:val="18"/>
          <w:color w:val="auto"/>
        </w:rPr>
      </w:pPr>
    </w:p>
    <w:p>
      <w:pPr>
        <w:ind w:left="1080" w:right="340" w:hanging="424"/>
        <w:spacing w:after="0" w:line="271"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17" w:lineRule="exact"/>
        <w:rPr>
          <w:rFonts w:ascii="Arial" w:cs="Arial" w:eastAsia="Arial" w:hAnsi="Arial"/>
          <w:sz w:val="18"/>
          <w:szCs w:val="18"/>
          <w:color w:val="auto"/>
        </w:rPr>
      </w:pPr>
    </w:p>
    <w:p>
      <w:pPr>
        <w:ind w:left="1080" w:right="520" w:hanging="424"/>
        <w:spacing w:after="0" w:line="271"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upon what terms debt securities of a series may be defeased if different from the provisions set forth in the indenture;</w:t>
      </w:r>
    </w:p>
    <w:p>
      <w:pPr>
        <w:spacing w:after="0" w:line="59"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17" w:lineRule="exact"/>
        <w:rPr>
          <w:rFonts w:ascii="Arial" w:cs="Arial" w:eastAsia="Arial" w:hAnsi="Arial"/>
          <w:sz w:val="18"/>
          <w:szCs w:val="18"/>
          <w:color w:val="auto"/>
        </w:rPr>
      </w:pPr>
    </w:p>
    <w:p>
      <w:pPr>
        <w:ind w:left="1080" w:right="560" w:hanging="424"/>
        <w:spacing w:after="0" w:line="271"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59" w:lineRule="exact"/>
        <w:rPr>
          <w:rFonts w:ascii="Arial" w:cs="Arial" w:eastAsia="Arial" w:hAnsi="Arial"/>
          <w:sz w:val="18"/>
          <w:szCs w:val="18"/>
          <w:color w:val="auto"/>
        </w:rPr>
      </w:pPr>
    </w:p>
    <w:p>
      <w:pPr>
        <w:ind w:left="1080" w:right="80" w:hanging="424"/>
        <w:spacing w:after="0" w:line="242"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84"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12"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53" w:lineRule="auto"/>
        <w:rPr>
          <w:sz w:val="20"/>
          <w:szCs w:val="20"/>
          <w:color w:val="auto"/>
        </w:rPr>
      </w:pPr>
      <w:r>
        <w:rPr>
          <w:rFonts w:ascii="Arial" w:cs="Arial" w:eastAsia="Arial" w:hAnsi="Arial"/>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69" w:lineRule="exact"/>
        <w:rPr>
          <w:sz w:val="20"/>
          <w:szCs w:val="20"/>
          <w:color w:val="auto"/>
        </w:rPr>
      </w:pPr>
    </w:p>
    <w:p>
      <w:pPr>
        <w:ind w:left="120" w:right="560" w:firstLine="440"/>
        <w:spacing w:after="0" w:line="25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0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Schlumberger Limited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Guarantor will:</w:t>
      </w:r>
    </w:p>
    <w:p>
      <w:pPr>
        <w:spacing w:after="0" w:line="117" w:lineRule="exact"/>
        <w:rPr>
          <w:sz w:val="20"/>
          <w:szCs w:val="20"/>
          <w:color w:val="auto"/>
        </w:rPr>
      </w:pPr>
    </w:p>
    <w:p>
      <w:pPr>
        <w:jc w:val="both"/>
        <w:ind w:left="1080" w:right="80" w:hanging="424"/>
        <w:spacing w:after="0" w:line="25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74" w:lineRule="exact"/>
        <w:rPr>
          <w:rFonts w:ascii="Arial" w:cs="Arial" w:eastAsia="Arial" w:hAnsi="Arial"/>
          <w:sz w:val="18"/>
          <w:szCs w:val="18"/>
          <w:color w:val="auto"/>
        </w:rPr>
      </w:pPr>
    </w:p>
    <w:p>
      <w:pPr>
        <w:ind w:left="1080" w:right="280" w:hanging="424"/>
        <w:spacing w:after="0" w:line="271"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17" w:lineRule="exact"/>
        <w:rPr>
          <w:sz w:val="20"/>
          <w:szCs w:val="20"/>
          <w:color w:val="auto"/>
        </w:rPr>
      </w:pPr>
    </w:p>
    <w:p>
      <w:pPr>
        <w:ind w:left="1080" w:right="32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59" w:lineRule="exact"/>
        <w:rPr>
          <w:rFonts w:ascii="Arial" w:cs="Arial" w:eastAsia="Arial" w:hAnsi="Arial"/>
          <w:sz w:val="18"/>
          <w:szCs w:val="18"/>
          <w:color w:val="auto"/>
        </w:rPr>
      </w:pPr>
    </w:p>
    <w:p>
      <w:pPr>
        <w:ind w:left="1080" w:right="600" w:hanging="424"/>
        <w:spacing w:after="0" w:line="27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0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82" w:lineRule="exact"/>
        <w:rPr>
          <w:sz w:val="20"/>
          <w:szCs w:val="20"/>
          <w:color w:val="auto"/>
        </w:rPr>
      </w:pPr>
    </w:p>
    <w:p>
      <w:pPr>
        <w:ind w:left="1080" w:right="180" w:hanging="532"/>
        <w:spacing w:after="0" w:line="242"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84" w:lineRule="exact"/>
        <w:rPr>
          <w:rFonts w:ascii="Arial" w:cs="Arial" w:eastAsia="Arial" w:hAnsi="Arial"/>
          <w:sz w:val="18"/>
          <w:szCs w:val="18"/>
          <w:color w:val="auto"/>
        </w:rPr>
      </w:pPr>
    </w:p>
    <w:p>
      <w:pPr>
        <w:ind w:left="1080" w:right="160" w:hanging="532"/>
        <w:spacing w:after="0" w:line="24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7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17"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57" w:lineRule="exact"/>
        <w:rPr>
          <w:rFonts w:ascii="Arial" w:cs="Arial" w:eastAsia="Arial" w:hAnsi="Arial"/>
          <w:sz w:val="17"/>
          <w:szCs w:val="17"/>
          <w:color w:val="auto"/>
        </w:rPr>
      </w:pPr>
    </w:p>
    <w:p>
      <w:pPr>
        <w:ind w:left="1080" w:right="240" w:hanging="532"/>
        <w:spacing w:after="0" w:line="24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79" w:lineRule="exact"/>
        <w:rPr>
          <w:rFonts w:ascii="Arial" w:cs="Arial" w:eastAsia="Arial" w:hAnsi="Arial"/>
          <w:sz w:val="18"/>
          <w:szCs w:val="18"/>
          <w:color w:val="auto"/>
        </w:rPr>
      </w:pPr>
    </w:p>
    <w:p>
      <w:pPr>
        <w:ind w:left="1080" w:right="160" w:hanging="532"/>
        <w:spacing w:after="0" w:line="301"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36" w:lineRule="exact"/>
        <w:rPr>
          <w:rFonts w:ascii="Arial" w:cs="Arial" w:eastAsia="Arial" w:hAnsi="Arial"/>
          <w:sz w:val="17"/>
          <w:szCs w:val="17"/>
          <w:color w:val="auto"/>
        </w:rPr>
      </w:pPr>
    </w:p>
    <w:p>
      <w:pPr>
        <w:ind w:left="1080" w:right="40" w:hanging="532"/>
        <w:spacing w:after="0" w:line="271"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payable other than by deduction or withholding from payments under, or with respect to, such debt securities or the Guarantee;</w:t>
      </w:r>
    </w:p>
    <w:p>
      <w:pPr>
        <w:spacing w:after="0" w:line="59" w:lineRule="exact"/>
        <w:rPr>
          <w:rFonts w:ascii="Arial" w:cs="Arial" w:eastAsia="Arial" w:hAnsi="Arial"/>
          <w:sz w:val="18"/>
          <w:szCs w:val="18"/>
          <w:color w:val="auto"/>
        </w:rPr>
      </w:pPr>
    </w:p>
    <w:p>
      <w:pPr>
        <w:ind w:left="1080" w:right="16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12"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In addition to the foregoing, the Company and the Guarantor, as the case may be, will also pay and indemnify the holder for any present or future stamp, issue, registration, court or documentary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69"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80"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74"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74"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74"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7"/>
          <w:szCs w:val="17"/>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04"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0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5" w:lineRule="exact"/>
        <w:rPr>
          <w:sz w:val="20"/>
          <w:szCs w:val="20"/>
          <w:color w:val="auto"/>
        </w:rPr>
      </w:pPr>
    </w:p>
    <w:p>
      <w:pPr>
        <w:ind w:left="1080" w:right="40" w:hanging="532"/>
        <w:spacing w:after="0" w:line="24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79" w:lineRule="exact"/>
        <w:rPr>
          <w:rFonts w:ascii="Arial" w:cs="Arial" w:eastAsia="Arial" w:hAnsi="Arial"/>
          <w:sz w:val="18"/>
          <w:szCs w:val="18"/>
          <w:color w:val="auto"/>
        </w:rPr>
      </w:pPr>
    </w:p>
    <w:p>
      <w:pPr>
        <w:ind w:left="1080" w:right="20" w:hanging="532"/>
        <w:spacing w:after="0" w:line="24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Issue Date, such later date).</w:t>
      </w:r>
    </w:p>
    <w:p>
      <w:pPr>
        <w:spacing w:after="0" w:line="17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83"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69"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0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in definitive, non-global form for redemption on a pro rata basis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69"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No debt securities in principal amount of less than the minimum authorized denomination can be redeemed in part. Unless otherwise described in a prospectus supplement relating to any debt securities, notices of redemption will be delivered at least 30 but not more than 60 days before the redemption date to each holder of debt securities of such series to be redeemed, except that redemption notices may be delivered more than 60 days prior to a redemption date if the notice is issued in connection with a defeasance of the debt securities of such series or a satisfaction and discharge of the indenture.</w:t>
      </w:r>
    </w:p>
    <w:p>
      <w:pPr>
        <w:spacing w:after="0" w:line="176"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79"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04"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04"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0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85"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17" w:lineRule="exact"/>
        <w:rPr>
          <w:rFonts w:ascii="Arial" w:cs="Arial" w:eastAsia="Arial" w:hAnsi="Arial"/>
          <w:sz w:val="18"/>
          <w:szCs w:val="18"/>
          <w:color w:val="auto"/>
        </w:rPr>
      </w:pPr>
    </w:p>
    <w:p>
      <w:pPr>
        <w:ind w:left="1080" w:right="12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9" w:lineRule="exact"/>
        <w:rPr>
          <w:rFonts w:ascii="Arial" w:cs="Arial" w:eastAsia="Arial" w:hAnsi="Arial"/>
          <w:sz w:val="18"/>
          <w:szCs w:val="18"/>
          <w:color w:val="auto"/>
        </w:rPr>
      </w:pPr>
    </w:p>
    <w:p>
      <w:pPr>
        <w:ind w:left="1080" w:right="280" w:hanging="532"/>
        <w:spacing w:after="0" w:line="242"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4"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17" w:lineRule="exact"/>
        <w:rPr>
          <w:rFonts w:ascii="Arial" w:cs="Arial" w:eastAsia="Arial" w:hAnsi="Arial"/>
          <w:sz w:val="18"/>
          <w:szCs w:val="18"/>
          <w:color w:val="auto"/>
        </w:rPr>
      </w:pPr>
    </w:p>
    <w:p>
      <w:pPr>
        <w:ind w:left="1080" w:hanging="532"/>
        <w:spacing w:after="0" w:line="24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9" w:lineRule="exact"/>
        <w:rPr>
          <w:rFonts w:ascii="Arial" w:cs="Arial" w:eastAsia="Arial" w:hAnsi="Arial"/>
          <w:sz w:val="18"/>
          <w:szCs w:val="18"/>
          <w:color w:val="auto"/>
        </w:rPr>
      </w:pPr>
    </w:p>
    <w:p>
      <w:pPr>
        <w:ind w:left="1080" w:right="32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mortgage of any property or assets to secure indebtedness of the pollution control, industrial revenue or other revenue bond type;</w:t>
      </w:r>
    </w:p>
    <w:p>
      <w:pPr>
        <w:spacing w:after="0" w:line="59"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9" w:lineRule="exact"/>
        <w:rPr>
          <w:rFonts w:ascii="Arial" w:cs="Arial" w:eastAsia="Arial" w:hAnsi="Arial"/>
          <w:sz w:val="18"/>
          <w:szCs w:val="18"/>
          <w:color w:val="auto"/>
        </w:rPr>
      </w:pPr>
    </w:p>
    <w:p>
      <w:pPr>
        <w:ind w:left="1080" w:right="260" w:hanging="532"/>
        <w:spacing w:after="0" w:line="271"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17" w:lineRule="exact"/>
        <w:rPr>
          <w:rFonts w:ascii="Arial" w:cs="Arial" w:eastAsia="Arial" w:hAnsi="Arial"/>
          <w:sz w:val="18"/>
          <w:szCs w:val="18"/>
          <w:color w:val="auto"/>
        </w:rPr>
      </w:pPr>
    </w:p>
    <w:p>
      <w:pPr>
        <w:ind w:left="1080" w:right="120" w:hanging="532"/>
        <w:spacing w:after="0" w:line="24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5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52" w:lineRule="exact"/>
        <w:rPr>
          <w:sz w:val="20"/>
          <w:szCs w:val="20"/>
          <w:color w:val="auto"/>
        </w:rPr>
      </w:pPr>
    </w:p>
    <w:p>
      <w:pPr>
        <w:ind w:left="120" w:right="620" w:firstLine="440"/>
        <w:spacing w:after="0" w:line="301" w:lineRule="auto"/>
        <w:rPr>
          <w:sz w:val="20"/>
          <w:szCs w:val="20"/>
          <w:color w:val="auto"/>
        </w:rPr>
      </w:pPr>
      <w:r>
        <w:rPr>
          <w:rFonts w:ascii="Arial" w:cs="Arial" w:eastAsia="Arial" w:hAnsi="Arial"/>
          <w:sz w:val="17"/>
          <w:szCs w:val="17"/>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3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212"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04"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04" w:lineRule="exact"/>
        <w:rPr>
          <w:sz w:val="20"/>
          <w:szCs w:val="20"/>
          <w:color w:val="auto"/>
        </w:rPr>
      </w:pPr>
    </w:p>
    <w:p>
      <w:pPr>
        <w:ind w:left="120" w:right="720" w:firstLine="440"/>
        <w:spacing w:after="0" w:line="271" w:lineRule="auto"/>
        <w:rPr>
          <w:sz w:val="20"/>
          <w:szCs w:val="20"/>
          <w:color w:val="auto"/>
        </w:rPr>
      </w:pPr>
      <w:r>
        <w:rPr>
          <w:rFonts w:ascii="Arial" w:cs="Arial" w:eastAsia="Arial" w:hAnsi="Arial"/>
          <w:sz w:val="18"/>
          <w:szCs w:val="18"/>
          <w:color w:val="auto"/>
        </w:rPr>
        <w:t>Any subsidiary of the Guarantor may, at its option, assume the obligations of the Company under the indenture and the debt securities, provided that:</w:t>
      </w:r>
    </w:p>
    <w:p>
      <w:pPr>
        <w:spacing w:after="0" w:line="59" w:lineRule="exact"/>
        <w:rPr>
          <w:sz w:val="20"/>
          <w:szCs w:val="20"/>
          <w:color w:val="auto"/>
        </w:rPr>
      </w:pPr>
    </w:p>
    <w:p>
      <w:pPr>
        <w:ind w:left="540" w:right="460" w:hanging="424"/>
        <w:spacing w:after="0" w:line="271"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subsidiary expressly assumes such obligations in an assumption agreement or supplemental indenture duly executed and delivered to the trustee, and</w:t>
      </w:r>
    </w:p>
    <w:p>
      <w:pPr>
        <w:spacing w:after="0" w:line="59" w:lineRule="exact"/>
        <w:rPr>
          <w:rFonts w:ascii="Arial" w:cs="Arial" w:eastAsia="Arial" w:hAnsi="Arial"/>
          <w:sz w:val="18"/>
          <w:szCs w:val="18"/>
          <w:color w:val="auto"/>
        </w:rPr>
      </w:pPr>
    </w:p>
    <w:p>
      <w:pPr>
        <w:ind w:left="540" w:right="480" w:hanging="424"/>
        <w:spacing w:after="0" w:line="271"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54" w:lineRule="exact"/>
        <w:rPr>
          <w:sz w:val="20"/>
          <w:szCs w:val="20"/>
          <w:color w:val="auto"/>
        </w:rPr>
      </w:pPr>
    </w:p>
    <w:p>
      <w:pPr>
        <w:ind w:left="120" w:right="200" w:firstLine="440"/>
        <w:spacing w:after="0" w:line="244" w:lineRule="auto"/>
        <w:rPr>
          <w:sz w:val="20"/>
          <w:szCs w:val="20"/>
          <w:color w:val="auto"/>
        </w:rPr>
      </w:pPr>
      <w:r>
        <w:rPr>
          <w:rFonts w:ascii="Arial" w:cs="Arial" w:eastAsia="Arial" w:hAnsi="Arial"/>
          <w:sz w:val="18"/>
          <w:szCs w:val="18"/>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28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0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59" w:lineRule="exact"/>
        <w:rPr>
          <w:sz w:val="20"/>
          <w:szCs w:val="20"/>
          <w:color w:val="auto"/>
        </w:rPr>
      </w:pPr>
    </w:p>
    <w:p>
      <w:pPr>
        <w:ind w:left="1080" w:right="640" w:hanging="424"/>
        <w:spacing w:after="0" w:line="271"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7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59" w:lineRule="exact"/>
        <w:rPr>
          <w:rFonts w:ascii="Arial" w:cs="Arial" w:eastAsia="Arial" w:hAnsi="Arial"/>
          <w:sz w:val="18"/>
          <w:szCs w:val="18"/>
          <w:color w:val="auto"/>
        </w:rPr>
      </w:pPr>
    </w:p>
    <w:p>
      <w:pPr>
        <w:ind w:left="1080" w:right="240" w:hanging="424"/>
        <w:spacing w:after="0" w:line="27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becomes due and payable by the terms of the debt securities of such series, and continuance of such default for a period of 30 days;</w:t>
      </w:r>
    </w:p>
    <w:p>
      <w:pPr>
        <w:spacing w:after="0" w:line="59" w:lineRule="exact"/>
        <w:rPr>
          <w:rFonts w:ascii="Arial" w:cs="Arial" w:eastAsia="Arial" w:hAnsi="Arial"/>
          <w:sz w:val="18"/>
          <w:szCs w:val="18"/>
          <w:color w:val="auto"/>
        </w:rPr>
      </w:pPr>
    </w:p>
    <w:p>
      <w:pPr>
        <w:ind w:left="1080" w:right="340" w:hanging="424"/>
        <w:spacing w:after="0" w:line="24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81"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57" w:lineRule="exact"/>
        <w:rPr>
          <w:rFonts w:ascii="Arial" w:cs="Arial" w:eastAsia="Arial" w:hAnsi="Arial"/>
          <w:sz w:val="17"/>
          <w:szCs w:val="17"/>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7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5"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A holder of debt securities of any series may pursue any remedy under the indenture applicable to the debt securities of that series only if:</w:t>
      </w:r>
    </w:p>
    <w:p>
      <w:pPr>
        <w:spacing w:after="0" w:line="5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17" w:lineRule="exact"/>
        <w:rPr>
          <w:rFonts w:ascii="Arial" w:cs="Arial" w:eastAsia="Arial" w:hAnsi="Arial"/>
          <w:sz w:val="18"/>
          <w:szCs w:val="18"/>
          <w:color w:val="auto"/>
        </w:rPr>
      </w:pPr>
    </w:p>
    <w:p>
      <w:pPr>
        <w:ind w:left="1080" w:right="140" w:hanging="424"/>
        <w:spacing w:after="0" w:line="27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5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59"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17" w:lineRule="exact"/>
        <w:rPr>
          <w:rFonts w:ascii="Arial" w:cs="Arial" w:eastAsia="Arial" w:hAnsi="Arial"/>
          <w:sz w:val="18"/>
          <w:szCs w:val="18"/>
          <w:color w:val="auto"/>
        </w:rPr>
      </w:pPr>
    </w:p>
    <w:p>
      <w:pPr>
        <w:ind w:left="1080" w:right="300" w:hanging="424"/>
        <w:spacing w:after="0" w:line="271"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5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04" w:lineRule="exact"/>
        <w:rPr>
          <w:sz w:val="20"/>
          <w:szCs w:val="20"/>
          <w:color w:val="auto"/>
        </w:rPr>
      </w:pPr>
    </w:p>
    <w:p>
      <w:pPr>
        <w:ind w:left="120" w:firstLine="440"/>
        <w:spacing w:after="0" w:line="254"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7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59"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17" w:lineRule="exact"/>
        <w:rPr>
          <w:rFonts w:ascii="Arial" w:cs="Arial" w:eastAsia="Arial" w:hAnsi="Arial"/>
          <w:sz w:val="18"/>
          <w:szCs w:val="18"/>
          <w:color w:val="auto"/>
        </w:rPr>
      </w:pPr>
    </w:p>
    <w:p>
      <w:pPr>
        <w:ind w:left="1080" w:right="460" w:hanging="424"/>
        <w:spacing w:after="0" w:line="27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17" w:lineRule="exact"/>
        <w:rPr>
          <w:rFonts w:ascii="Arial" w:cs="Arial" w:eastAsia="Arial" w:hAnsi="Arial"/>
          <w:sz w:val="18"/>
          <w:szCs w:val="18"/>
          <w:color w:val="auto"/>
        </w:rPr>
      </w:pPr>
    </w:p>
    <w:p>
      <w:pPr>
        <w:ind w:left="1080" w:right="200" w:hanging="424"/>
        <w:spacing w:after="0" w:line="25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74"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17" w:lineRule="exact"/>
        <w:rPr>
          <w:rFonts w:ascii="Arial" w:cs="Arial" w:eastAsia="Arial" w:hAnsi="Arial"/>
          <w:sz w:val="18"/>
          <w:szCs w:val="18"/>
          <w:color w:val="auto"/>
        </w:rPr>
      </w:pPr>
    </w:p>
    <w:p>
      <w:pPr>
        <w:ind w:left="1080" w:hanging="424"/>
        <w:spacing w:after="0" w:line="24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“—Consolidation, Merger and Sale of Assets” or to provide for the assumption of the Company’s obligations under the indenture by a subsidiary of the Guarantor in accordance with the requirements under “—Assumption by a Subsidiary” above;</w:t>
      </w:r>
    </w:p>
    <w:p>
      <w:pPr>
        <w:spacing w:after="0" w:line="81"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17" w:lineRule="exact"/>
        <w:rPr>
          <w:rFonts w:ascii="Arial" w:cs="Arial" w:eastAsia="Arial" w:hAnsi="Arial"/>
          <w:sz w:val="18"/>
          <w:szCs w:val="18"/>
          <w:color w:val="auto"/>
        </w:rPr>
      </w:pPr>
    </w:p>
    <w:p>
      <w:pPr>
        <w:ind w:left="1080" w:right="80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59" w:lineRule="exact"/>
        <w:rPr>
          <w:rFonts w:ascii="Arial" w:cs="Arial" w:eastAsia="Arial" w:hAnsi="Arial"/>
          <w:sz w:val="18"/>
          <w:szCs w:val="18"/>
          <w:color w:val="auto"/>
        </w:rPr>
      </w:pPr>
    </w:p>
    <w:p>
      <w:pPr>
        <w:ind w:left="1080" w:right="70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if applicable;</w:t>
      </w:r>
    </w:p>
    <w:p>
      <w:pPr>
        <w:spacing w:after="0" w:line="59" w:lineRule="exact"/>
        <w:rPr>
          <w:rFonts w:ascii="Arial" w:cs="Arial" w:eastAsia="Arial" w:hAnsi="Arial"/>
          <w:sz w:val="18"/>
          <w:szCs w:val="18"/>
          <w:color w:val="auto"/>
        </w:rPr>
      </w:pPr>
    </w:p>
    <w:p>
      <w:pPr>
        <w:ind w:left="1080" w:right="40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59" w:lineRule="exact"/>
        <w:rPr>
          <w:rFonts w:ascii="Arial" w:cs="Arial" w:eastAsia="Arial" w:hAnsi="Arial"/>
          <w:sz w:val="18"/>
          <w:szCs w:val="18"/>
          <w:color w:val="auto"/>
        </w:rPr>
      </w:pPr>
    </w:p>
    <w:p>
      <w:pPr>
        <w:ind w:left="1080" w:right="260" w:hanging="424"/>
        <w:spacing w:after="0" w:line="25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17" w:lineRule="exact"/>
        <w:rPr>
          <w:rFonts w:ascii="Arial" w:cs="Arial" w:eastAsia="Arial" w:hAnsi="Arial"/>
          <w:sz w:val="18"/>
          <w:szCs w:val="18"/>
          <w:color w:val="auto"/>
        </w:rPr>
      </w:pPr>
    </w:p>
    <w:p>
      <w:pPr>
        <w:ind w:left="1080" w:right="6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59"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74"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17" w:lineRule="exact"/>
        <w:rPr>
          <w:rFonts w:ascii="Arial" w:cs="Arial" w:eastAsia="Arial" w:hAnsi="Arial"/>
          <w:sz w:val="18"/>
          <w:szCs w:val="18"/>
          <w:color w:val="auto"/>
        </w:rPr>
      </w:pPr>
    </w:p>
    <w:p>
      <w:pPr>
        <w:ind w:left="1080" w:right="640" w:hanging="424"/>
        <w:spacing w:after="0" w:line="271"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0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5"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04"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79" w:lineRule="exact"/>
        <w:rPr>
          <w:sz w:val="20"/>
          <w:szCs w:val="20"/>
          <w:color w:val="auto"/>
        </w:rPr>
      </w:pPr>
    </w:p>
    <w:p>
      <w:pPr>
        <w:ind w:left="1080" w:right="840" w:hanging="424"/>
        <w:spacing w:after="0" w:line="271"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59" w:lineRule="exact"/>
        <w:rPr>
          <w:rFonts w:ascii="Arial" w:cs="Arial" w:eastAsia="Arial" w:hAnsi="Arial"/>
          <w:sz w:val="18"/>
          <w:szCs w:val="18"/>
          <w:color w:val="auto"/>
        </w:rPr>
      </w:pPr>
    </w:p>
    <w:p>
      <w:pPr>
        <w:ind w:left="1080" w:right="440" w:hanging="424"/>
        <w:spacing w:after="0" w:line="271"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5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pay Additional Amounts, maintain paying agencies and hold moneys for payment in trust and to compensate and indemnify the trustee. In the case of covenant defeasance, the Company’s obligation to pay principal, premium and interest on the debt securities of such series will also survive.</w:t>
      </w:r>
    </w:p>
    <w:p>
      <w:pPr>
        <w:spacing w:after="0" w:line="179"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U.S. Internal Revenue Service addressed to the Company or trustee or a change in law to that effect.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0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74"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04"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We will maintain one or more paying agents (each, a “Paying Agent”) for any debt securities we issue in the Borough of Manhattan, City of New York. We will also maintain a Paying Agent in a member state of the European Union that is not obligated to withhold or deduct tax pursuant to the European Union Directive 2003/48/EC or any other directive implementing the conclusions of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ECOFIN Council meeting of 26 and 27 November 2000 on the taxation of savings income, or any law implementing, or complying with or introduced in order to conform to, such directive. Upon written notice to the trustee accompanied by an officer’s 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76"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74"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76"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change any Paying Agents, Registrars or transfer agents without prior notice to the holders of debt securities.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04" w:lineRule="exact"/>
        <w:rPr>
          <w:sz w:val="20"/>
          <w:szCs w:val="20"/>
          <w:color w:val="auto"/>
        </w:rPr>
      </w:pPr>
    </w:p>
    <w:p>
      <w:pPr>
        <w:ind w:left="120" w:right="300" w:firstLine="440"/>
        <w:spacing w:after="0" w:line="24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54"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Investors may elect to hold their interests in the global securities in DTC (in the United States) through its direct and indirect participants, including Euroclear Bank SA/NV, or “Euroclear”, and Clearstream Banking S.A., or “Clearstream.” Investors may hold their interests in the global securities directly if they are participants of such systems, or indirectly through organizations that are participants in these systems. Clearstream and Euroclear will hold interests on behalf of their participants through</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17" w:lineRule="exact"/>
        <w:rPr>
          <w:sz w:val="20"/>
          <w:szCs w:val="20"/>
          <w:color w:val="auto"/>
        </w:rPr>
      </w:pPr>
    </w:p>
    <w:p>
      <w:pPr>
        <w:ind w:left="1080" w:right="300" w:hanging="424"/>
        <w:spacing w:after="0" w:line="27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59"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74" w:lineRule="exact"/>
        <w:rPr>
          <w:rFonts w:ascii="Arial" w:cs="Arial" w:eastAsia="Arial" w:hAnsi="Arial"/>
          <w:sz w:val="18"/>
          <w:szCs w:val="18"/>
          <w:color w:val="auto"/>
        </w:rPr>
      </w:pPr>
    </w:p>
    <w:p>
      <w:pPr>
        <w:ind w:left="1080" w:right="120" w:hanging="424"/>
        <w:spacing w:after="0" w:line="271"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54"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69"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79" w:lineRule="exact"/>
        <w:rPr>
          <w:sz w:val="20"/>
          <w:szCs w:val="20"/>
          <w:color w:val="auto"/>
        </w:rPr>
      </w:pPr>
    </w:p>
    <w:p>
      <w:pPr>
        <w:ind w:left="1080" w:right="340" w:hanging="424"/>
        <w:spacing w:after="0" w:line="271"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59" w:lineRule="exact"/>
        <w:rPr>
          <w:rFonts w:ascii="Arial" w:cs="Arial" w:eastAsia="Arial" w:hAnsi="Arial"/>
          <w:sz w:val="18"/>
          <w:szCs w:val="18"/>
          <w:color w:val="auto"/>
        </w:rPr>
      </w:pPr>
    </w:p>
    <w:p>
      <w:pPr>
        <w:ind w:left="1080" w:right="40" w:hanging="424"/>
        <w:spacing w:after="0" w:line="25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69"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02" w:lineRule="exact"/>
        <w:rPr>
          <w:sz w:val="20"/>
          <w:szCs w:val="20"/>
          <w:color w:val="auto"/>
        </w:rPr>
      </w:pPr>
    </w:p>
    <w:p>
      <w:pPr>
        <w:ind w:left="120" w:right="800" w:firstLine="440"/>
        <w:spacing w:after="0" w:line="271" w:lineRule="auto"/>
        <w:rPr>
          <w:sz w:val="20"/>
          <w:szCs w:val="20"/>
          <w:color w:val="auto"/>
        </w:rPr>
      </w:pPr>
      <w:r>
        <w:rPr>
          <w:rFonts w:ascii="Arial" w:cs="Arial" w:eastAsia="Arial" w:hAnsi="Arial"/>
          <w:sz w:val="18"/>
          <w:szCs w:val="18"/>
          <w:color w:val="auto"/>
        </w:rPr>
        <w:t>So long as DTC or its nominee is the registered owner of a global security, DTC or its nominee, as the case may be, will be considered the sole owner and holder of the debt securities represented by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83" w:lineRule="exact"/>
        <w:rPr>
          <w:sz w:val="20"/>
          <w:szCs w:val="20"/>
          <w:color w:val="auto"/>
        </w:rPr>
      </w:pPr>
    </w:p>
    <w:p>
      <w:pPr>
        <w:ind w:left="120" w:right="100" w:firstLine="440"/>
        <w:spacing w:after="0" w:line="244" w:lineRule="auto"/>
        <w:rPr>
          <w:sz w:val="20"/>
          <w:szCs w:val="20"/>
          <w:color w:val="auto"/>
        </w:rPr>
      </w:pPr>
      <w:r>
        <w:rPr>
          <w:rFonts w:ascii="Arial" w:cs="Arial" w:eastAsia="Arial" w:hAnsi="Arial"/>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6"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74"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52"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83"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02"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color w:val="auto"/>
        </w:rPr>
        <w:t>Clearstream has advised us that it is incorporated under the laws of Luxembourg as a professional depositary. Clearstream holds securities for its participating organizations, or “Clearstream</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0"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0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6"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5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65"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04" w:lineRule="exact"/>
        <w:rPr>
          <w:sz w:val="20"/>
          <w:szCs w:val="20"/>
          <w:color w:val="auto"/>
        </w:rPr>
      </w:pPr>
    </w:p>
    <w:p>
      <w:pPr>
        <w:ind w:left="120" w:right="380" w:firstLine="440"/>
        <w:spacing w:after="0" w:line="244"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76"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5"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320" w:top="455" w:right="6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17"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underwriters, brokers or dealers;</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1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154"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320" w:top="455"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Validity of the Securities</w:t>
      </w:r>
    </w:p>
    <w:p>
      <w:pPr>
        <w:spacing w:after="0" w:line="212"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validity of the debt securities and guarantees offered hereby will be passed upon for us by Gibson, Dunn &amp; Crutcher LLP, New York, New York. Certain matters of Luxembourg law will be passed upon by Loyens &amp; Loeff Luxembourg SARL, Luxembourg, Grand Duchy of Luxembourg; and certain matters of Curaçao will be passed upon by STvB Advocaten (Europe) N.V., Amsterdam, The Netherlands.</w:t>
      </w:r>
    </w:p>
    <w:p>
      <w:pPr>
        <w:spacing w:after="0" w:line="3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320" w:top="455" w:right="6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Schlumberger Investment S.A.</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                % Senior Notes due 2034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2071370</wp:posOffset>
            </wp:positionV>
            <wp:extent cx="1474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948055</wp:posOffset>
            </wp:positionV>
            <wp:extent cx="1225550" cy="737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12255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May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397510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Joint Book-Running Managers</w:t>
      </w:r>
    </w:p>
    <w:p>
      <w:pPr>
        <w:spacing w:after="0" w:line="231" w:lineRule="exact"/>
        <w:rPr>
          <w:sz w:val="20"/>
          <w:szCs w:val="20"/>
          <w:color w:val="auto"/>
        </w:rPr>
      </w:pPr>
    </w:p>
    <w:p>
      <w:pPr>
        <w:ind w:left="120"/>
        <w:spacing w:after="0"/>
        <w:tabs>
          <w:tab w:leader="none" w:pos="5420" w:val="left"/>
          <w:tab w:leader="none" w:pos="992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HSBC</w:t>
      </w:r>
      <w:r>
        <w:rPr>
          <w:sz w:val="20"/>
          <w:szCs w:val="20"/>
          <w:color w:val="auto"/>
        </w:rPr>
        <w:tab/>
      </w:r>
      <w:r>
        <w:rPr>
          <w:rFonts w:ascii="Arial" w:cs="Arial" w:eastAsia="Arial" w:hAnsi="Arial"/>
          <w:sz w:val="21"/>
          <w:szCs w:val="21"/>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492125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560705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decimal"/>
      <w:start w:val="9"/>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lowerRoman"/>
      <w:start w:val="1"/>
    </w:lvl>
  </w:abstractNum>
  <w:abstractNum w:abstractNumId="24">
    <w:nsid w:val="70A64E2A"/>
    <w:multiLevelType w:val="hybridMultilevel"/>
    <w:lvl w:ilvl="0">
      <w:lvlJc w:val="left"/>
      <w:lvlText w:val="(%1)"/>
      <w:numFmt w:val="lowerRoman"/>
      <w:start w:val="1"/>
    </w:lvl>
  </w:abstractNum>
  <w:abstractNum w:abstractNumId="25">
    <w:nsid w:val="6A2342EC"/>
    <w:multiLevelType w:val="hybridMultilevel"/>
    <w:lvl w:ilvl="0">
      <w:lvlJc w:val="left"/>
      <w:lvlText w:val="(%1)"/>
      <w:numFmt w:val="lowerRoman"/>
      <w:start w:val="2"/>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Roman"/>
      <w:start w:val="2"/>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1)"/>
      <w:numFmt w:val="decimal"/>
      <w:start w:val="713"/>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decimal"/>
      <w:start w:val="713"/>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9"/>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1"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jpe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80"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jpe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60" Type="http://schemas.openxmlformats.org/officeDocument/2006/relationships/hyperlink" Target="http://www.sec.gov/ix?doc=/Archives/edgar/data/87347/000095017024006884/slb-20231231.htm" TargetMode="External"/><Relationship Id="rId62" Type="http://schemas.openxmlformats.org/officeDocument/2006/relationships/hyperlink" Target="http://www.sec.gov/ix?doc=/Archives/edgar/data/87347/000095017024047250/slb-20240331.htm" TargetMode="External"/><Relationship Id="rId63" Type="http://schemas.openxmlformats.org/officeDocument/2006/relationships/hyperlink" Target="http://www.sec.gov/ix?doc=/Archives/edgar/data/87347/000119312524084191/d501949d8k.htm" TargetMode="External"/><Relationship Id="rId64" Type="http://schemas.openxmlformats.org/officeDocument/2006/relationships/hyperlink" Target="http://www.sec.gov/ix?doc=/Archives/edgar/data/87347/000119312524085160/d735749d8ka.htm" TargetMode="External"/><Relationship Id="rId77" Type="http://schemas.openxmlformats.org/officeDocument/2006/relationships/hyperlink" Target="http://www.sec.gov/ix?doc=/Archives/edgar/data/0000087347/000156459023000762/slb-10k_20221231.htm" TargetMode="External"/><Relationship Id="rId78" Type="http://schemas.openxmlformats.org/officeDocument/2006/relationships/hyperlink" Target="http://www.sec.gov/ix?doc=/Archives/edgar/data/0000087347/000130817923000057/slb-20221231.htm" TargetMode="External"/><Relationship Id="rId79" Type="http://schemas.openxmlformats.org/officeDocument/2006/relationships/hyperlink" Target="http://www.sec.gov/ix?doc=/Archives/edgar/data/87347/000095017023014656/slb-20230331.htm" TargetMode="External"/><Relationship Id="rId81" Type="http://schemas.openxmlformats.org/officeDocument/2006/relationships/hyperlink" Target="http://www.sec.gov/ix?doc=/Archives/edgar/data/0000087347/000119312523092724/d452417d8k.htm" TargetMode="External"/><Relationship Id="rId82" Type="http://schemas.openxmlformats.org/officeDocument/2006/relationships/hyperlink" Target="http://www.sec.gov/ix?doc=/Archives/edgar/data/0000087347/000119312523103678/d489792d8k.htm" TargetMode="External"/><Relationship Id="rId83" Type="http://schemas.openxmlformats.org/officeDocument/2006/relationships/hyperlink" Target="http://www.sec.gov/ix?doc=/Archives/edgar/data/87347/000119312523110532/d47076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2024-05-21T07:54:48Z</dcterms:created>
  <dcterms:modified xsi:type="dcterms:W3CDTF">2024-05-21T07:54:48Z</dcterms:modified>
</cp:coreProperties>
</file>