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auto"/>
        </w:rPr>
        <w:t>Prospectus Supplement</w:t>
      </w:r>
    </w:p>
    <w:p>
      <w:pPr>
        <w:spacing w:after="0" w:line="1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November 4, 2003)</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Arial" w:cs="Arial" w:eastAsia="Arial" w:hAnsi="Arial"/>
          <w:sz w:val="19"/>
          <w:szCs w:val="19"/>
          <w:b w:val="1"/>
          <w:bCs w:val="1"/>
          <w:color w:val="auto"/>
        </w:rPr>
        <w:t>Filed Pursuant to Rule 424(b)(3)</w:t>
      </w:r>
    </w:p>
    <w:p>
      <w:pPr>
        <w:spacing w:after="0" w:line="49"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Registration No. 333-108730</w:t>
      </w:r>
    </w:p>
    <w:p>
      <w:pPr>
        <w:spacing w:after="0" w:line="101" w:lineRule="exact"/>
        <w:rPr>
          <w:sz w:val="24"/>
          <w:szCs w:val="24"/>
          <w:color w:val="auto"/>
        </w:rPr>
      </w:pPr>
    </w:p>
    <w:p>
      <w:pPr>
        <w:sectPr>
          <w:pgSz w:w="11900" w:h="16838" w:orient="portrait"/>
          <w:cols w:equalWidth="0" w:num="2">
            <w:col w:w="7720" w:space="720"/>
            <w:col w:w="2980"/>
          </w:cols>
          <w:pgMar w:left="240" w:top="220" w:right="239" w:bottom="1440" w:gutter="0" w:footer="0" w:header="0"/>
        </w:sectPr>
      </w:pPr>
    </w:p>
    <w:p>
      <w:pPr>
        <w:jc w:val="center"/>
        <w:spacing w:after="0"/>
        <w:rPr>
          <w:sz w:val="20"/>
          <w:szCs w:val="20"/>
          <w:color w:val="auto"/>
        </w:rPr>
      </w:pPr>
      <w:r>
        <w:rPr>
          <w:rFonts w:ascii="Arial" w:cs="Arial" w:eastAsia="Arial" w:hAnsi="Arial"/>
          <w:sz w:val="32"/>
          <w:szCs w:val="32"/>
          <w:b w:val="1"/>
          <w:bCs w:val="1"/>
          <w:color w:val="auto"/>
        </w:rPr>
        <w:t>$1,425,000,000</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1.500% Series A Convertible Debentures due June 1, 2023</w:t>
      </w:r>
    </w:p>
    <w:p>
      <w:pPr>
        <w:jc w:val="center"/>
        <w:spacing w:after="0" w:line="230" w:lineRule="auto"/>
        <w:rPr>
          <w:sz w:val="20"/>
          <w:szCs w:val="20"/>
          <w:color w:val="auto"/>
        </w:rPr>
      </w:pPr>
      <w:r>
        <w:rPr>
          <w:rFonts w:ascii="Arial" w:cs="Arial" w:eastAsia="Arial" w:hAnsi="Arial"/>
          <w:sz w:val="22"/>
          <w:szCs w:val="22"/>
          <w:b w:val="1"/>
          <w:bCs w:val="1"/>
          <w:color w:val="auto"/>
        </w:rPr>
        <w:t>2.125% Series B Convertible Debentures due June 1, 2023</w:t>
      </w:r>
    </w:p>
    <w:p>
      <w:pPr>
        <w:jc w:val="center"/>
        <w:spacing w:after="0" w:line="231" w:lineRule="auto"/>
        <w:rPr>
          <w:sz w:val="20"/>
          <w:szCs w:val="20"/>
          <w:color w:val="auto"/>
        </w:rPr>
      </w:pPr>
      <w:r>
        <w:rPr>
          <w:rFonts w:ascii="Arial" w:cs="Arial" w:eastAsia="Arial" w:hAnsi="Arial"/>
          <w:sz w:val="22"/>
          <w:szCs w:val="22"/>
          <w:b w:val="1"/>
          <w:bCs w:val="1"/>
          <w:color w:val="auto"/>
        </w:rPr>
        <w:t>and</w:t>
      </w:r>
    </w:p>
    <w:p>
      <w:pPr>
        <w:jc w:val="center"/>
        <w:spacing w:after="0"/>
        <w:rPr>
          <w:sz w:val="20"/>
          <w:szCs w:val="20"/>
          <w:color w:val="auto"/>
        </w:rPr>
      </w:pPr>
      <w:r>
        <w:rPr>
          <w:rFonts w:ascii="Arial" w:cs="Arial" w:eastAsia="Arial" w:hAnsi="Arial"/>
          <w:sz w:val="22"/>
          <w:szCs w:val="22"/>
          <w:b w:val="1"/>
          <w:bCs w:val="1"/>
          <w:color w:val="auto"/>
        </w:rPr>
        <w:t>Common Stock Issuable Upon Conversion of the Debentures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2997835</wp:posOffset>
            </wp:positionH>
            <wp:positionV relativeFrom="paragraph">
              <wp:posOffset>90170</wp:posOffset>
            </wp:positionV>
            <wp:extent cx="126047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ind w:right="80" w:firstLine="456"/>
        <w:spacing w:after="0" w:line="298" w:lineRule="auto"/>
        <w:rPr>
          <w:sz w:val="20"/>
          <w:szCs w:val="20"/>
          <w:color w:val="auto"/>
        </w:rPr>
      </w:pPr>
      <w:r>
        <w:rPr>
          <w:rFonts w:ascii="Arial" w:cs="Arial" w:eastAsia="Arial" w:hAnsi="Arial"/>
          <w:sz w:val="16"/>
          <w:szCs w:val="16"/>
          <w:color w:val="auto"/>
        </w:rPr>
        <w:t>This document supplements the prospectus of Schlumberger Limited dated November 4, 2003 relating to the 1.500% Series A Convertible Debentures due June 1, 2023, the 2.125% Series B Convertible Debentures due June 1, 2023 and the shares of common stock issuable upon conversion of the debentures. The information in this prospectus supplement replaces and supersedes the information set forth under the heading “Selling Securityholders” in the prospectus dated November 4, 2003 and in all prior prospectus supplements to that prospectus.</w:t>
      </w:r>
    </w:p>
    <w:p>
      <w:pPr>
        <w:spacing w:after="0" w:line="99" w:lineRule="exact"/>
        <w:rPr>
          <w:sz w:val="24"/>
          <w:szCs w:val="24"/>
          <w:color w:val="auto"/>
        </w:rPr>
      </w:pPr>
    </w:p>
    <w:p>
      <w:pPr>
        <w:ind w:right="8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December 4, 2003, the closing sale price of our common stock as reported on the New York Stock Exchange was $48.17 per share.</w:t>
      </w:r>
    </w:p>
    <w:p>
      <w:pPr>
        <w:spacing w:after="0" w:line="112"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Investing in the debentures and our common stock involves risks. See “Risk Factors” beginning on page 6 of the prospectus.</w:t>
      </w:r>
    </w:p>
    <w:p>
      <w:pPr>
        <w:spacing w:after="0" w:line="158" w:lineRule="exact"/>
        <w:rPr>
          <w:sz w:val="24"/>
          <w:szCs w:val="24"/>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supplement is December 5, 2003.</w:t>
      </w:r>
    </w:p>
    <w:p>
      <w:pPr>
        <w:sectPr>
          <w:pgSz w:w="11900" w:h="16838" w:orient="portrait"/>
          <w:cols w:equalWidth="0" w:num="1">
            <w:col w:w="11420"/>
          </w:cols>
          <w:pgMar w:left="240" w:top="220"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SELLING SECURITYHOLDERS</w:t>
      </w:r>
    </w:p>
    <w:p>
      <w:pPr>
        <w:spacing w:after="0" w:line="16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originally issued the debentures in a private placement to Citigroup Global Markets Inc. and Goldman, Sachs &amp; Co. The debentures were resold by the initial purchasers to qualified institutional buyers within the meaning of Rule 144A under the Securities Act and outside the United States in accordance with Regulation S under the Securities Act. The selling securityholders may from time to time offer and sell, pursuant to this prospectus supplement and the accompanying prospectus, any or all of the debentures listed below and our common stock issued upon conversion of the debentures. When we refer to “selling securityholders” in this prospectus supplement and the accompanying prospectus, we mean those persons listed in the table below, as well as pledges, donees, assignees, transferees, successors and others who later hold any of the selling securityholders’ interests.</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table sets forth certain information concerning the principal amount of debentures beneficially owned by each selling securityholder and the number of shares of common stock issuable upon conversion of the debentures that may be offered from time to time pursuant to this prospectus supplement and the accompanying prospectus. Unless set forth below, none of the selling securityholders has, or within the past three years has had, any material relationship with us or any of our predecessors or affiliates.</w:t>
      </w:r>
    </w:p>
    <w:p>
      <w:pPr>
        <w:spacing w:after="0" w:line="13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prepared the table below based on information furnished to us by the selling securityholders. However, a selling securityholder may already have or may in the future offer and sell, transfer or otherwise dispose of some or all of its debentures in transactions exempt from the registration requirements of the Securities Act without notifying us. As a result, the same debentures may be included in the table below as being held by more than one holder and, therefore, the principal amount of debentures listed below may exceed the amounts that we originally issued. In no event, however, will the total principal amount of Series A debentures and Series B debentures to be sold hereunder exceed $975,000,000 and $450,000,000, respectively. Further, we cannot give an estimate as to the amount of the debentures or common stock issuable upon conversion of the debentures that will be held by the selling securityholders upon the termination of this offering because the selling securityholders may offer some or all of their debentures or the underlying common stock pursuant to the offering contemplated by this prospectus supplement and the accompanying prospectus or otherwise in transactions exempt from the registration requirements of the Securities Act. Please read “Plan of Distribution” in the accompanying prospectus.</w:t>
      </w:r>
    </w:p>
    <w:p>
      <w:pPr>
        <w:spacing w:after="0" w:line="10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Information about the selling securityholders may change over time. Any changed information will be set forth in prospectus supplements from time to time, if required.</w:t>
      </w:r>
    </w:p>
    <w:p>
      <w:pPr>
        <w:spacing w:after="0" w:line="11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number of shares of common stock shown in the table below assumes conversion of the full amount of debentures held by such holder at the initial conversion rate of 13.8255 shares per $1,000 principal amount of Series A debentures and 12.5000 shares per $1,000 principal amount of Series B debentures. These conversion rates are subject to certain adjustments. Accordingly, the number of shares of common stock issuable upon conversion of the debentures may increase or decrease from time to time. Under the terms of the indenture, fractional shares will not be issued upon conversion of the debentures. Cash will be paid instead of fractional shares, if any.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27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10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36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ABC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Acuity Master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ADI Alternative Investments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35,400,000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7.9</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442,500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AIG DKR Soundshore Strategic Holding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Alembic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1,520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Allstate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31,250(2)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Allstate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118,750(3)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 Investment D Fund (QP) LP</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7,604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 Investment 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3,150,000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43,550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American Century Equity Income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37,013,000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8.2</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462,662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American Investors Life Insurance Company</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2,765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AmerUS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45,738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Arbitex Master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38,500,000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532,281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w w:val="98"/>
              </w:rPr>
              <w:t>Argent Classic Convertible Arbitrage (Bermuda) Fund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10,200,000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256,020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Classic Convertible Arbitrage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5,200,000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128,142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Argent LowLev Convertible Arbitrage Fund LLC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107,025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Argent LowLev Convertible Arbitrage Fund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29,900,000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3.2</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594,632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Arlington County Employees’ Retirement System</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6,221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Arpeggio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150,625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Asset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6,497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Associated Electric &amp; Gas Insurance Services Limited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Atticus Global Advisors,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69,127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Attorney’s Title Insurance Fund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Aviva Life Insurance Company</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18,750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Banc of America Securities LLC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11,500,000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158,993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Banca Del Gottardo Lugano</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3,456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Bankers Life Insurance Company of New York</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Banque Generale du Luxembourg S.A.</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Barclays Global Investors Diversified Alpha Plus Funds</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3,725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Bay State Insurance Company Ltd.</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2,350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BBT Fund, L.P.</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8,000,000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110,604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Bear Stearns International Limited (BSIL)</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Bear, Stearns &amp; Co. Inc.</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Black Diamond Convertible Offshore LDC</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2,830,000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39,126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Black Diamond Offshore Ltd.</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21,844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Boilermakers Blacksmith Pension Trust</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1,110,000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15,346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California State Auto Association ASNF</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tcPr>
          <w:p>
            <w:pPr>
              <w:spacing w:after="0" w:line="149" w:lineRule="exact"/>
              <w:rPr>
                <w:sz w:val="20"/>
                <w:szCs w:val="20"/>
                <w:color w:val="auto"/>
              </w:rPr>
            </w:pPr>
            <w:r>
              <w:rPr>
                <w:rFonts w:ascii="Arial" w:cs="Arial" w:eastAsia="Arial" w:hAnsi="Arial"/>
                <w:sz w:val="14"/>
                <w:szCs w:val="14"/>
                <w:color w:val="auto"/>
              </w:rPr>
              <w:t>California State Auto Association Inter-Insurance</w:t>
            </w:r>
          </w:p>
        </w:tc>
        <w:tc>
          <w:tcPr>
            <w:tcW w:w="158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7"/>
              </w:rPr>
              <w:t>California State Auto Association Retirement Pension Plan</w:t>
            </w:r>
          </w:p>
        </w:tc>
        <w:tc>
          <w:tcPr>
            <w:tcW w:w="158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76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110,000</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420"/>
          </w:cols>
          <w:pgMar w:left="240" w:top="26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2"/>
              </w:rPr>
              <w:t>Series B</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Percentage</w:t>
            </w:r>
          </w:p>
        </w:tc>
        <w:tc>
          <w:tcPr>
            <w:tcW w:w="13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Owned</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1"/>
              </w:rPr>
              <w:t>of Series B</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6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Debentures</w:t>
            </w:r>
          </w:p>
        </w:tc>
        <w:tc>
          <w:tcPr>
            <w:tcW w:w="22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That May</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68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6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22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Be Sold</w:t>
            </w: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Captive Investors Fund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Car Reinsurance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CCI Investment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553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CDC Financial Products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Charitable Convertible Securities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960,000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Charitable Income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270,000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3,375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Chicago Standard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414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Citigroup Global Markets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97,063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Commonwealth Professional Assurance Co.</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7,250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Concentrated Alpha Partners,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27,651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CQS Convertible &amp; Quantatitive Strategies Master Fund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187,500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Credit Industriel D’Alsace et de Lorraine</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41,476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CSV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2,400,000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Institutional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7,788,000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107,672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Davidson Kempner International Limited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9,633,000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133,181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Davidson Kempner Partners</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4,223,500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58,391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DBAG London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14,900,000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330,999</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Deephaven Domestic Convertible Trading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8,874,000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7,772,000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219,837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Defined Benefit Plan of Zeneca AG Product Holdings,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3,871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Defined Benefit Plans of ICI American Holdings,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2,903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Delta Air Lines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Delta Air Lines Master Trust—International</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1,244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Deutsche Asset Management Investmentgesellschaft Funds TRT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Deutsche Bank Securities Inc.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20,738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DL&amp;C Insurance Company Ltd.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967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Dodeca Fund I, L.P.</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460,000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6,359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Double Black Diamond Offshore LDC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8,287,000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114,571</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Duke Endowment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215,000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2,972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DWS Investment GmbH</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EB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1,480,000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Excellus Health Plan, Inc.</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3,750,000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51,845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Fidelity Financial Trust: Fidelity Convertible Securities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Field Foundation of Illinois</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Fulcrum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765,000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9,562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Forest Global Convertible Fund, Ltd. Class A-5</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2,738,000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34,225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Forest Multi-Strategy Master Fund SPC</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1,005,000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Forrestal Funding Master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12,500,000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172,818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Gaia Offshore Master Fund Ltd.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5,600,000</w:t>
            </w:r>
          </w:p>
        </w:tc>
        <w:tc>
          <w:tcPr>
            <w:tcW w:w="144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7,400,000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169,922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General Motors Employees Global Group Pension Trust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1,541,000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19,262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GenCorp Foundation</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65,000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Georgia Municipal Retirement Trust Foundation</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705,000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GLG Global Convertible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6,400,000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480" w:type="dxa"/>
            <w:vAlign w:val="bottom"/>
          </w:tcPr>
          <w:p>
            <w:pPr>
              <w:spacing w:after="0"/>
              <w:rPr>
                <w:sz w:val="12"/>
                <w:szCs w:val="12"/>
                <w:color w:val="auto"/>
              </w:rPr>
            </w:pP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80,000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GLG Global Convertible UCITS Fund</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28,750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tcPr>
          <w:p>
            <w:pPr>
              <w:spacing w:after="0" w:line="149" w:lineRule="exact"/>
              <w:rPr>
                <w:sz w:val="20"/>
                <w:szCs w:val="20"/>
                <w:color w:val="auto"/>
              </w:rPr>
            </w:pPr>
            <w:r>
              <w:rPr>
                <w:rFonts w:ascii="Arial" w:cs="Arial" w:eastAsia="Arial" w:hAnsi="Arial"/>
                <w:sz w:val="14"/>
                <w:szCs w:val="14"/>
                <w:color w:val="auto"/>
              </w:rPr>
              <w:t>GLG Market Neutral Fund</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51,000,000</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11.3</w:t>
            </w:r>
          </w:p>
        </w:tc>
        <w:tc>
          <w:tcPr>
            <w:tcW w:w="13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637,500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Global Bermuda Limited Partnership</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12,000,000</w:t>
            </w:r>
          </w:p>
        </w:tc>
        <w:tc>
          <w:tcPr>
            <w:tcW w:w="1440" w:type="dxa"/>
            <w:vAlign w:val="bottom"/>
            <w:gridSpan w:val="3"/>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1.2</w:t>
            </w:r>
          </w:p>
        </w:tc>
        <w:tc>
          <w:tcPr>
            <w:tcW w:w="138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0</w:t>
            </w: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20" w:type="dxa"/>
            <w:vAlign w:val="bottom"/>
            <w:gridSpan w:val="3"/>
          </w:tcPr>
          <w:p>
            <w:pPr>
              <w:spacing w:after="0"/>
              <w:rPr>
                <w:sz w:val="20"/>
                <w:szCs w:val="20"/>
                <w:color w:val="auto"/>
              </w:rPr>
            </w:pPr>
            <w:r>
              <w:rPr>
                <w:rFonts w:ascii="Arial" w:cs="Arial" w:eastAsia="Arial" w:hAnsi="Arial"/>
                <w:sz w:val="14"/>
                <w:szCs w:val="14"/>
                <w:color w:val="auto"/>
              </w:rPr>
              <w:t>Hamburger Pensionskasse von 1905 VvaG</w:t>
            </w:r>
          </w:p>
        </w:tc>
        <w:tc>
          <w:tcPr>
            <w:tcW w:w="680" w:type="dxa"/>
            <w:vAlign w:val="bottom"/>
          </w:tcPr>
          <w:p>
            <w:pPr>
              <w:jc w:val="right"/>
              <w:spacing w:after="0"/>
              <w:rPr>
                <w:sz w:val="20"/>
                <w:szCs w:val="20"/>
                <w:color w:val="auto"/>
              </w:rPr>
            </w:pPr>
            <w:r>
              <w:rPr>
                <w:rFonts w:ascii="Arial" w:cs="Arial" w:eastAsia="Arial" w:hAnsi="Arial"/>
                <w:sz w:val="14"/>
                <w:szCs w:val="14"/>
                <w:color w:val="auto"/>
              </w:rPr>
              <w:t>465,000</w:t>
            </w:r>
          </w:p>
        </w:tc>
        <w:tc>
          <w:tcPr>
            <w:tcW w:w="144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480"/>
              <w:spacing w:after="0"/>
              <w:rPr>
                <w:sz w:val="20"/>
                <w:szCs w:val="20"/>
                <w:color w:val="auto"/>
              </w:rPr>
            </w:pPr>
            <w:r>
              <w:rPr>
                <w:rFonts w:ascii="Arial" w:cs="Arial" w:eastAsia="Arial" w:hAnsi="Arial"/>
                <w:sz w:val="14"/>
                <w:szCs w:val="14"/>
                <w:color w:val="auto"/>
              </w:rPr>
              <w:t>0</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460"/>
              <w:spacing w:after="0"/>
              <w:rPr>
                <w:sz w:val="20"/>
                <w:szCs w:val="20"/>
                <w:color w:val="auto"/>
              </w:rPr>
            </w:pPr>
            <w:r>
              <w:rPr>
                <w:rFonts w:ascii="Arial" w:cs="Arial" w:eastAsia="Arial" w:hAnsi="Arial"/>
                <w:sz w:val="14"/>
                <w:szCs w:val="14"/>
                <w:color w:val="auto"/>
              </w:rPr>
              <w:t>6,428</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26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A</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B</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00" w:type="dxa"/>
            <w:vAlign w:val="bottom"/>
            <w:gridSpan w:val="2"/>
          </w:tcPr>
          <w:p>
            <w:pPr>
              <w:jc w:val="center"/>
              <w:ind w:left="672"/>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0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Percentage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of Series A</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B</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4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Debentures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4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Debentures and</w:t>
            </w:r>
          </w:p>
        </w:tc>
        <w:tc>
          <w:tcPr>
            <w:tcW w:w="4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9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74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0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7"/>
              </w:rPr>
              <w:t>Outstanding</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48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4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48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HBK Master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138,255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Health Foundation of Greater Cincinnati</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HFR CA Global Select Master Trust Account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HFR CA Select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Highbridge 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3.6</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796,392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HSH Nordbank International S.A. Luxembourg</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2.6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ICI Canada, Inc. Pension Trust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1,797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IL Annuity and Insurance Company</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1.1</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8,000,000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245,167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IMF Convertible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16,250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Inflective Convertible Opportunity Fund I,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553</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Invesco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15,600,000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195,000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JMG Capital Partners,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41,250,000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4.2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16,500,000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776,551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JMG Triton Offshore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5.8</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32,750,000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1,190,515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J.W. McConnell Family Foundation</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10,092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KBC Financial Products USA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3,125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KD Convertible Arbitrage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Kenwood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4,838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 Trust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3,750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Key Trust Fixed Income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Key-Royal Reinsurance Company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829</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Lakeshore International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663,624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Lehman Brothers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LLT Limited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3,187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Lyxor/Forest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1,399,000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17,487</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 Master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2,600,000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98,862</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 Zola Fund Limited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Lyxor/AM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11,751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Lyxor/Gaia II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43,958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M.H. Davidson &amp; Co.</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355,500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4,914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Man Convertible Bond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5,850,000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73,125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Marathon Global Convertible Master Fund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187,500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McMahan Securities Co.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13,162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MedAmerica Insurance Company</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1,750,000</w:t>
            </w:r>
          </w:p>
        </w:tc>
        <w:tc>
          <w:tcPr>
            <w:tcW w:w="5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24,194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Mellon HBV Master Multi-Strategy Fund LP</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6,912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Mellon HBV Master Convertible Arbitrage Fund LP</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14,516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Merrill Lynch, Pierce, Fenner &amp; Smith,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166,191</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Microsoft Corporation—International</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1,005,000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13,894</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Mint Master Fund Ltd.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2,765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MLQA Convertible Securities Arbitrage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MRM Performa International Convertible Bond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8,848</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MVI Investment Fund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7,327</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Nabisco Inc. Defined Benefit Master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4,095,000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56,615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NGSC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276</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NMS Services (Cayman) Inc.</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9,500,000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10,000,000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256,342</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Nomura Securities International Inc.</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3.1</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414,765</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OCM International Convertible Trust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655,000</w:t>
            </w:r>
          </w:p>
        </w:tc>
        <w:tc>
          <w:tcPr>
            <w:tcW w:w="1700" w:type="dxa"/>
            <w:vAlign w:val="bottom"/>
            <w:gridSpan w:val="3"/>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9,055</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Oconnor Global Convertible Arbitrage Master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3.9</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594,781</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tcPr>
          <w:p>
            <w:pPr>
              <w:spacing w:after="0" w:line="149" w:lineRule="exact"/>
              <w:rPr>
                <w:sz w:val="20"/>
                <w:szCs w:val="20"/>
                <w:color w:val="auto"/>
              </w:rPr>
            </w:pPr>
            <w:r>
              <w:rPr>
                <w:rFonts w:ascii="Arial" w:cs="Arial" w:eastAsia="Arial" w:hAnsi="Arial"/>
                <w:sz w:val="14"/>
                <w:szCs w:val="14"/>
                <w:color w:val="auto"/>
              </w:rPr>
              <w:t>Oppenheimer Convertible Securities Fund</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00" w:type="dxa"/>
            <w:vAlign w:val="bottom"/>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5,000,000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14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62,500</w:t>
            </w:r>
          </w:p>
        </w:tc>
        <w:tc>
          <w:tcPr>
            <w:tcW w:w="1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Palo Verde Insurance Company Ltd.</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240,000</w:t>
            </w:r>
          </w:p>
        </w:tc>
        <w:tc>
          <w:tcPr>
            <w:tcW w:w="1700" w:type="dxa"/>
            <w:vAlign w:val="bottom"/>
            <w:gridSpan w:val="3"/>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3,318</w:t>
            </w:r>
          </w:p>
        </w:tc>
        <w:tc>
          <w:tcPr>
            <w:tcW w:w="13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20" w:type="dxa"/>
            <w:vAlign w:val="bottom"/>
            <w:gridSpan w:val="3"/>
          </w:tcPr>
          <w:p>
            <w:pPr>
              <w:spacing w:after="0"/>
              <w:rPr>
                <w:sz w:val="20"/>
                <w:szCs w:val="20"/>
                <w:color w:val="auto"/>
              </w:rPr>
            </w:pPr>
            <w:r>
              <w:rPr>
                <w:rFonts w:ascii="Arial" w:cs="Arial" w:eastAsia="Arial" w:hAnsi="Arial"/>
                <w:sz w:val="14"/>
                <w:szCs w:val="14"/>
                <w:color w:val="auto"/>
              </w:rPr>
              <w:t>Partner Reinsurance Company, Ltd.—International</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125,000</w:t>
            </w:r>
          </w:p>
        </w:tc>
        <w:tc>
          <w:tcPr>
            <w:tcW w:w="1700" w:type="dxa"/>
            <w:vAlign w:val="bottom"/>
            <w:gridSpan w:val="3"/>
          </w:tcPr>
          <w:p>
            <w:pPr>
              <w:jc w:val="right"/>
              <w:ind w:right="48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0</w:t>
            </w: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spacing w:after="0"/>
              <w:rPr>
                <w:sz w:val="20"/>
                <w:szCs w:val="20"/>
                <w:color w:val="auto"/>
              </w:rPr>
            </w:pPr>
            <w:r>
              <w:rPr>
                <w:rFonts w:ascii="Arial" w:cs="Arial" w:eastAsia="Arial" w:hAnsi="Arial"/>
                <w:sz w:val="14"/>
                <w:szCs w:val="14"/>
                <w:color w:val="auto"/>
              </w:rPr>
              <w:t>1,728</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26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1"/>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Principal</w:t>
            </w: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Amount of</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A</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Series B</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5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4"/>
              </w:rPr>
              <w:t>Percentage</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Owned</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Owned</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of Series B</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That May</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12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That May</w:t>
            </w:r>
          </w:p>
        </w:tc>
        <w:tc>
          <w:tcPr>
            <w:tcW w:w="12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Debentures</w:t>
            </w:r>
          </w:p>
        </w:tc>
        <w:tc>
          <w:tcPr>
            <w:tcW w:w="16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0" w:type="dxa"/>
            <w:vAlign w:val="bottom"/>
            <w:gridSpan w:val="2"/>
          </w:tcPr>
          <w:p>
            <w:pPr>
              <w:ind w:left="80"/>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Be Sold</w:t>
            </w:r>
          </w:p>
        </w:tc>
        <w:tc>
          <w:tcPr>
            <w:tcW w:w="12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Outstanding</w:t>
            </w:r>
          </w:p>
        </w:tc>
        <w:tc>
          <w:tcPr>
            <w:tcW w:w="16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8"/>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Pioneer U.S. High Yield Corp. Bond Sub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50,000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Potlach</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890,000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11,125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Quattro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60,000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RBC Alternative Assets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Relay 11 Holdings Co.</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192,000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2,400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Rhapsody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4.4</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250,000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 Diego County Employee Retirement Association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22,500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Satellite Asset Management,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414,765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Satellite Convertible Arbitrage Master Fund,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193,557</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Silver Convertible Arbitrage Fund, LDC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75,302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South Dakota Retirement System</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5,000,000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69,127(4)</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Southern Farm Bureau Life Insurance</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1,225,000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16,936</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Sphinx Convertible Arbitrage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126,000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3,342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Sphinx Convertible Arbitrage SPC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spacing w:after="0"/>
              <w:rPr>
                <w:sz w:val="12"/>
                <w:szCs w:val="12"/>
                <w:color w:val="auto"/>
              </w:rPr>
            </w:pPr>
          </w:p>
        </w:tc>
        <w:tc>
          <w:tcPr>
            <w:tcW w:w="176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116,000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1,450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3"/>
              </w:rPr>
              <w:t>State Employees’ Retirement Fund of the State of Delaware—</w:t>
            </w: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640" w:type="dxa"/>
            <w:vAlign w:val="bottom"/>
            <w:gridSpan w:val="3"/>
            <w:shd w:val="clear" w:color="auto" w:fill="CCEEFF"/>
          </w:tcPr>
          <w:p>
            <w:pPr>
              <w:ind w:left="200"/>
              <w:spacing w:after="0" w:line="159" w:lineRule="exact"/>
              <w:rPr>
                <w:sz w:val="20"/>
                <w:szCs w:val="20"/>
                <w:color w:val="auto"/>
              </w:rPr>
            </w:pPr>
            <w:r>
              <w:rPr>
                <w:rFonts w:ascii="Arial" w:cs="Arial" w:eastAsia="Arial" w:hAnsi="Arial"/>
                <w:sz w:val="14"/>
                <w:szCs w:val="14"/>
                <w:color w:val="auto"/>
              </w:rPr>
              <w:t>International</w:t>
            </w:r>
          </w:p>
        </w:tc>
        <w:tc>
          <w:tcPr>
            <w:tcW w:w="1500" w:type="dxa"/>
            <w:vAlign w:val="bottom"/>
            <w:gridSpan w:val="3"/>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2,965,000</w:t>
            </w: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59" w:lineRule="exact"/>
              <w:rPr>
                <w:sz w:val="20"/>
                <w:szCs w:val="20"/>
                <w:color w:val="auto"/>
              </w:rPr>
            </w:pPr>
            <w:r>
              <w:rPr>
                <w:rFonts w:ascii="Arial" w:cs="Arial" w:eastAsia="Arial" w:hAnsi="Arial"/>
                <w:sz w:val="14"/>
                <w:szCs w:val="14"/>
                <w:color w:val="auto"/>
              </w:rPr>
              <w:t>40,992</w:t>
            </w: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State of Florida Division of Treasury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4,555,000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103,287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St. Thomas Trading,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9,150,000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2.0</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114,375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Stamford Police Pension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812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SunAmerica Value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2,846,000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35,575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Sunrise Partners Limited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15,000,000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207,382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Swiss ReFinancial Products Corporation</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12,000,000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165,906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Teachers Insurance and Annuity Association of America</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27,500,000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380,201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The Captive Fixed Income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14,240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The Northwestern Mutual Life Insurance Company</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138,255(5)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Thrivent Financial for Lutherans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750,000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10,369(6)</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Topanga XI</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55,548</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Tricor Re Investment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210,000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2,903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Tufts Associated Health Plans</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2,525,000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31,562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UBS AG London Branch</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10,000,000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138,255</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UBS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3,959,000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49,487</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UMASS Memorial HealthCare</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UMASS Memorial Investment Partnership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505,000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6,312</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University of Massachusetts</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4,812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Univest Convertible Arbitrage Fund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2,050</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Victory Convertible Securities Fund Investment Company</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825,000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10,312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Wachovia Capital Markets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16,250,000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224,664</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Wachovia Securities LLC</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3,089,000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38,612</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Waterstone Market Neutral Fund, LP</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942,000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13,023</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Waterstone Market Neutral Offshore Fund, Ltd.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4,463,000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61,703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White River Securities L.L.C.</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21,250,000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5,000,000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1.1</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356,291</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Windmill Master Fund, LP</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235,033</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Worldwide Transactions Ltd.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303,000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4,189</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2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13,750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tcPr>
          <w:p>
            <w:pPr>
              <w:spacing w:after="0" w:line="149" w:lineRule="exact"/>
              <w:rPr>
                <w:sz w:val="20"/>
                <w:szCs w:val="20"/>
                <w:color w:val="auto"/>
              </w:rPr>
            </w:pPr>
            <w:r>
              <w:rPr>
                <w:rFonts w:ascii="Arial" w:cs="Arial" w:eastAsia="Arial" w:hAnsi="Arial"/>
                <w:sz w:val="14"/>
                <w:szCs w:val="14"/>
                <w:color w:val="auto"/>
              </w:rPr>
              <w:t>Xavex Convertible Arbitrage 4 Fund</w:t>
            </w:r>
          </w:p>
        </w:tc>
        <w:tc>
          <w:tcPr>
            <w:tcW w:w="1500" w:type="dxa"/>
            <w:vAlign w:val="bottom"/>
            <w:gridSpan w:val="3"/>
          </w:tcPr>
          <w:p>
            <w:pPr>
              <w:jc w:val="right"/>
              <w:ind w:right="540"/>
              <w:spacing w:after="0" w:line="149" w:lineRule="exact"/>
              <w:rPr>
                <w:sz w:val="20"/>
                <w:szCs w:val="20"/>
                <w:color w:val="auto"/>
              </w:rPr>
            </w:pPr>
            <w:r>
              <w:rPr>
                <w:rFonts w:ascii="Arial" w:cs="Arial" w:eastAsia="Arial" w:hAnsi="Arial"/>
                <w:sz w:val="14"/>
                <w:szCs w:val="14"/>
                <w:color w:val="auto"/>
              </w:rPr>
              <w:t>0</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134,000</w:t>
            </w:r>
          </w:p>
        </w:tc>
        <w:tc>
          <w:tcPr>
            <w:tcW w:w="54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rPr>
              <w:t>1,675</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Xavex Convertible Arbitrage 10 Fund</w:t>
            </w:r>
          </w:p>
        </w:tc>
        <w:tc>
          <w:tcPr>
            <w:tcW w:w="150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2,300,000</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54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2"/>
            <w:shd w:val="clear" w:color="auto" w:fill="CCEEFF"/>
          </w:tcPr>
          <w:p>
            <w:pPr>
              <w:jc w:val="right"/>
              <w:ind w:right="700"/>
              <w:spacing w:after="0" w:line="149" w:lineRule="exact"/>
              <w:rPr>
                <w:sz w:val="20"/>
                <w:szCs w:val="20"/>
                <w:color w:val="auto"/>
              </w:rPr>
            </w:pPr>
            <w:r>
              <w:rPr>
                <w:rFonts w:ascii="Arial" w:cs="Arial" w:eastAsia="Arial" w:hAnsi="Arial"/>
                <w:sz w:val="14"/>
                <w:szCs w:val="14"/>
                <w:color w:val="auto"/>
              </w:rPr>
              <w:t>46,798</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640" w:type="dxa"/>
            <w:vAlign w:val="bottom"/>
            <w:gridSpan w:val="3"/>
          </w:tcPr>
          <w:p>
            <w:pPr>
              <w:spacing w:after="0"/>
              <w:rPr>
                <w:sz w:val="20"/>
                <w:szCs w:val="20"/>
                <w:color w:val="auto"/>
              </w:rPr>
            </w:pPr>
            <w:r>
              <w:rPr>
                <w:rFonts w:ascii="Arial" w:cs="Arial" w:eastAsia="Arial" w:hAnsi="Arial"/>
                <w:sz w:val="14"/>
                <w:szCs w:val="14"/>
                <w:color w:val="auto"/>
              </w:rPr>
              <w:t>Zazove Convertible Arbitrage Fund L.P.</w:t>
            </w:r>
          </w:p>
        </w:tc>
        <w:tc>
          <w:tcPr>
            <w:tcW w:w="1500" w:type="dxa"/>
            <w:vAlign w:val="bottom"/>
            <w:gridSpan w:val="3"/>
          </w:tcPr>
          <w:p>
            <w:pPr>
              <w:jc w:val="right"/>
              <w:ind w:right="540"/>
              <w:spacing w:after="0"/>
              <w:rPr>
                <w:sz w:val="20"/>
                <w:szCs w:val="20"/>
                <w:color w:val="auto"/>
              </w:rPr>
            </w:pPr>
            <w:r>
              <w:rPr>
                <w:rFonts w:ascii="Arial" w:cs="Arial" w:eastAsia="Arial" w:hAnsi="Arial"/>
                <w:sz w:val="14"/>
                <w:szCs w:val="14"/>
                <w:color w:val="auto"/>
              </w:rPr>
              <w:t>0</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6,500,000</w:t>
            </w:r>
          </w:p>
        </w:tc>
        <w:tc>
          <w:tcPr>
            <w:tcW w:w="540" w:type="dxa"/>
            <w:vAlign w:val="bottom"/>
          </w:tcPr>
          <w:p>
            <w:pPr>
              <w:spacing w:after="0"/>
              <w:rPr>
                <w:sz w:val="14"/>
                <w:szCs w:val="14"/>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4"/>
                <w:szCs w:val="14"/>
                <w:color w:val="auto"/>
              </w:rPr>
              <w:t>1.4</w:t>
            </w:r>
          </w:p>
        </w:tc>
        <w:tc>
          <w:tcPr>
            <w:tcW w:w="1620" w:type="dxa"/>
            <w:vAlign w:val="bottom"/>
            <w:gridSpan w:val="2"/>
          </w:tcPr>
          <w:p>
            <w:pPr>
              <w:jc w:val="right"/>
              <w:ind w:right="700"/>
              <w:spacing w:after="0"/>
              <w:rPr>
                <w:sz w:val="20"/>
                <w:szCs w:val="20"/>
                <w:color w:val="auto"/>
              </w:rPr>
            </w:pPr>
            <w:r>
              <w:rPr>
                <w:rFonts w:ascii="Arial" w:cs="Arial" w:eastAsia="Arial" w:hAnsi="Arial"/>
                <w:sz w:val="14"/>
                <w:szCs w:val="14"/>
                <w:color w:val="auto"/>
              </w:rPr>
              <w:t>81,250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26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Series A</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Series B</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560" w:type="dxa"/>
            <w:vAlign w:val="bottom"/>
          </w:tcPr>
          <w:p>
            <w:pPr>
              <w:spacing w:after="0"/>
              <w:rPr>
                <w:sz w:val="12"/>
                <w:szCs w:val="12"/>
                <w:color w:val="auto"/>
              </w:rPr>
            </w:pPr>
          </w:p>
        </w:tc>
        <w:tc>
          <w:tcPr>
            <w:tcW w:w="14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Series A</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Owned</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of Series B</w:t>
            </w:r>
          </w:p>
        </w:tc>
        <w:tc>
          <w:tcPr>
            <w:tcW w:w="560" w:type="dxa"/>
            <w:vAlign w:val="bottom"/>
          </w:tcPr>
          <w:p>
            <w:pPr>
              <w:spacing w:after="0"/>
              <w:rPr>
                <w:sz w:val="12"/>
                <w:szCs w:val="12"/>
                <w:color w:val="auto"/>
              </w:rPr>
            </w:pPr>
          </w:p>
        </w:tc>
        <w:tc>
          <w:tcPr>
            <w:tcW w:w="14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Underlying the</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That May</w:t>
            </w:r>
          </w:p>
        </w:tc>
        <w:tc>
          <w:tcPr>
            <w:tcW w:w="5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That May</w:t>
            </w:r>
          </w:p>
        </w:tc>
        <w:tc>
          <w:tcPr>
            <w:tcW w:w="5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Debentures</w:t>
            </w:r>
          </w:p>
        </w:tc>
        <w:tc>
          <w:tcPr>
            <w:tcW w:w="560" w:type="dxa"/>
            <w:vAlign w:val="bottom"/>
          </w:tcPr>
          <w:p>
            <w:pPr>
              <w:spacing w:after="0"/>
              <w:rPr>
                <w:sz w:val="12"/>
                <w:szCs w:val="12"/>
                <w:color w:val="auto"/>
              </w:rPr>
            </w:pPr>
          </w:p>
        </w:tc>
        <w:tc>
          <w:tcPr>
            <w:tcW w:w="14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5"/>
              </w:rPr>
              <w:t>Debentures and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520" w:type="dxa"/>
            <w:vAlign w:val="bottom"/>
            <w:gridSpan w:val="2"/>
          </w:tcPr>
          <w:p>
            <w:pPr>
              <w:ind w:left="60"/>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0"/>
              </w:rPr>
              <w:t>Be Sold</w:t>
            </w:r>
          </w:p>
        </w:tc>
        <w:tc>
          <w:tcPr>
            <w:tcW w:w="56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Be Sold</w:t>
            </w:r>
          </w:p>
        </w:tc>
        <w:tc>
          <w:tcPr>
            <w:tcW w:w="5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560" w:type="dxa"/>
            <w:vAlign w:val="bottom"/>
          </w:tcPr>
          <w:p>
            <w:pPr>
              <w:spacing w:after="0"/>
              <w:rPr>
                <w:sz w:val="15"/>
                <w:szCs w:val="15"/>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6"/>
              </w:rPr>
              <w:t>Offered Hereby</w:t>
            </w: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Outstanding(1)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Zazove Hedged Convertible Fund L.P.</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52,500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Zazove Income Fund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2,500,000</w:t>
            </w:r>
          </w:p>
        </w:tc>
        <w:tc>
          <w:tcPr>
            <w:tcW w:w="12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31,250</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Zeneca Holdings Pension Trust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800,000</w:t>
            </w:r>
          </w:p>
        </w:tc>
        <w:tc>
          <w:tcPr>
            <w:tcW w:w="1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20" w:type="dxa"/>
            <w:vAlign w:val="bottom"/>
            <w:gridSpan w:val="3"/>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11,060</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tcPr>
          <w:p>
            <w:pPr>
              <w:spacing w:after="0" w:line="149" w:lineRule="exact"/>
              <w:rPr>
                <w:sz w:val="20"/>
                <w:szCs w:val="20"/>
                <w:color w:val="auto"/>
              </w:rPr>
            </w:pPr>
            <w:r>
              <w:rPr>
                <w:rFonts w:ascii="Arial" w:cs="Arial" w:eastAsia="Arial" w:hAnsi="Arial"/>
                <w:sz w:val="14"/>
                <w:szCs w:val="14"/>
                <w:color w:val="auto"/>
              </w:rPr>
              <w:t>Zola Partners, L.P.</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13,825</w:t>
            </w:r>
          </w:p>
        </w:tc>
        <w:tc>
          <w:tcPr>
            <w:tcW w:w="5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Zurich Institutional Benchmark Management c/o Quattro Fund</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5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1,200,000</w:t>
            </w:r>
          </w:p>
        </w:tc>
        <w:tc>
          <w:tcPr>
            <w:tcW w:w="1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gridSpan w:val="3"/>
          </w:tcPr>
          <w:p>
            <w:pPr>
              <w:spacing w:after="0"/>
              <w:rPr>
                <w:sz w:val="20"/>
                <w:szCs w:val="20"/>
                <w:color w:val="auto"/>
              </w:rPr>
            </w:pPr>
            <w:r>
              <w:rPr>
                <w:rFonts w:ascii="Arial" w:cs="Arial" w:eastAsia="Arial" w:hAnsi="Arial"/>
                <w:sz w:val="14"/>
                <w:szCs w:val="14"/>
                <w:color w:val="auto"/>
              </w:rPr>
              <w:t>Zurich Institutional Benchmarks Master Fund Ltd.</w:t>
            </w: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2,300,000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28,750</w:t>
            </w:r>
          </w:p>
        </w:tc>
        <w:tc>
          <w:tcPr>
            <w:tcW w:w="5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wp:posOffset>
            </wp:positionV>
            <wp:extent cx="6000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77" w:lineRule="exact"/>
        <w:rPr>
          <w:sz w:val="20"/>
          <w:szCs w:val="20"/>
          <w:color w:val="auto"/>
        </w:rPr>
      </w:pPr>
    </w:p>
    <w:p>
      <w:pPr>
        <w:ind w:left="460" w:hanging="364"/>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right="460" w:hanging="452"/>
        <w:spacing w:after="0" w:line="281"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color w:val="auto"/>
        </w:rPr>
        <w:t>Calculated pursuant to Rule 13d-3(d)(i) of the Exchange Act using 585,444,115 shares of common stock outstanding as of September 30, 2003. In calculating this amount, we treated as outstanding the number of shares of common stock issuable upon conversion of all of a selling securityholder’s debentures. However, we did not assume the conversion of any other selling securityholder’s debentures.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Allstate Life Insurance Company also beneficially owns 249,200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South Dakota Retirement System also beneficially owns 99,100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Northwestern Mutual Life Insurance Company also beneficially owns 184,300 shares of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Thrivent Financial for Lutherans also beneficially owns 5,350 shares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sectPr>
      <w:pgSz w:w="11900" w:h="16838" w:orient="portrait"/>
      <w:cols w:equalWidth="0" w:num="1">
        <w:col w:w="11420"/>
      </w:cols>
      <w:pgMar w:left="240" w:top="26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2019-12-13T06:50:53Z</dcterms:created>
  <dcterms:modified xsi:type="dcterms:W3CDTF">2019-12-13T06:50:53Z</dcterms:modified>
</cp:coreProperties>
</file>