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248285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243205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844" w:type="dxa"/>
        <w:tblCellMar>
          <w:top w:w="0" w:type="dxa"/>
          <w:left w:w="0" w:type="dxa"/>
          <w:bottom w:w="0" w:type="dxa"/>
          <w:right w:w="0" w:type="dxa"/>
        </w:tblCellMar>
      </w:tblPr>
      <w:tr>
        <w:trPr>
          <w:trHeight w:val="212"/>
        </w:trPr>
        <w:tc>
          <w:tcPr>
            <w:tcW w:w="3840" w:type="dxa"/>
            <w:vAlign w:val="bottom"/>
          </w:tcPr>
          <w:p>
            <w:pPr>
              <w:jc w:val="center"/>
              <w:ind w:right="1715"/>
              <w:spacing w:after="0"/>
              <w:rPr>
                <w:sz w:val="20"/>
                <w:szCs w:val="20"/>
                <w:color w:val="auto"/>
              </w:rPr>
            </w:pPr>
            <w:r>
              <w:rPr>
                <w:rFonts w:ascii="Arial" w:cs="Arial" w:eastAsia="Arial" w:hAnsi="Arial"/>
                <w:sz w:val="18"/>
                <w:szCs w:val="18"/>
                <w:b w:val="1"/>
                <w:bCs w:val="1"/>
                <w:color w:val="auto"/>
                <w:w w:val="99"/>
              </w:rPr>
              <w:t>Curaçao</w:t>
            </w:r>
          </w:p>
        </w:tc>
        <w:tc>
          <w:tcPr>
            <w:tcW w:w="2300" w:type="dxa"/>
            <w:vAlign w:val="bottom"/>
          </w:tcPr>
          <w:p>
            <w:pPr>
              <w:jc w:val="center"/>
              <w:ind w:right="342"/>
              <w:spacing w:after="0"/>
              <w:rPr>
                <w:sz w:val="20"/>
                <w:szCs w:val="20"/>
                <w:color w:val="auto"/>
              </w:rPr>
            </w:pPr>
            <w:r>
              <w:rPr>
                <w:rFonts w:ascii="Arial" w:cs="Arial" w:eastAsia="Arial" w:hAnsi="Arial"/>
                <w:sz w:val="18"/>
                <w:szCs w:val="18"/>
                <w:b w:val="1"/>
                <w:bCs w:val="1"/>
                <w:color w:val="auto"/>
                <w:w w:val="99"/>
              </w:rPr>
              <w:t>1-4601</w:t>
            </w:r>
          </w:p>
        </w:tc>
        <w:tc>
          <w:tcPr>
            <w:tcW w:w="2880" w:type="dxa"/>
            <w:vAlign w:val="bottom"/>
          </w:tcPr>
          <w:p>
            <w:pPr>
              <w:jc w:val="center"/>
              <w:ind w:left="1597"/>
              <w:spacing w:after="0"/>
              <w:rPr>
                <w:sz w:val="20"/>
                <w:szCs w:val="20"/>
                <w:color w:val="auto"/>
              </w:rPr>
            </w:pPr>
            <w:r>
              <w:rPr>
                <w:rFonts w:ascii="Arial" w:cs="Arial" w:eastAsia="Arial" w:hAnsi="Arial"/>
                <w:sz w:val="18"/>
                <w:szCs w:val="18"/>
                <w:b w:val="1"/>
                <w:bCs w:val="1"/>
                <w:color w:val="auto"/>
                <w:w w:val="99"/>
              </w:rPr>
              <w:t>52-0684746</w:t>
            </w:r>
          </w:p>
        </w:tc>
      </w:tr>
      <w:tr>
        <w:trPr>
          <w:trHeight w:val="162"/>
        </w:trPr>
        <w:tc>
          <w:tcPr>
            <w:tcW w:w="3840" w:type="dxa"/>
            <w:vAlign w:val="bottom"/>
          </w:tcPr>
          <w:p>
            <w:pPr>
              <w:jc w:val="center"/>
              <w:ind w:right="1695"/>
              <w:spacing w:after="0"/>
              <w:rPr>
                <w:sz w:val="20"/>
                <w:szCs w:val="20"/>
                <w:color w:val="auto"/>
              </w:rPr>
            </w:pPr>
            <w:r>
              <w:rPr>
                <w:rFonts w:ascii="Arial" w:cs="Arial" w:eastAsia="Arial" w:hAnsi="Arial"/>
                <w:sz w:val="14"/>
                <w:szCs w:val="14"/>
                <w:b w:val="1"/>
                <w:bCs w:val="1"/>
                <w:color w:val="auto"/>
              </w:rPr>
              <w:t>(State or other jurisdiction of</w:t>
            </w:r>
          </w:p>
        </w:tc>
        <w:tc>
          <w:tcPr>
            <w:tcW w:w="2300" w:type="dxa"/>
            <w:vAlign w:val="bottom"/>
          </w:tcPr>
          <w:p>
            <w:pPr>
              <w:jc w:val="center"/>
              <w:ind w:right="342"/>
              <w:spacing w:after="0"/>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577"/>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840" w:type="dxa"/>
            <w:vAlign w:val="bottom"/>
          </w:tcPr>
          <w:p>
            <w:pPr>
              <w:jc w:val="center"/>
              <w:ind w:right="1695"/>
              <w:spacing w:after="0"/>
              <w:rPr>
                <w:sz w:val="20"/>
                <w:szCs w:val="20"/>
                <w:color w:val="auto"/>
              </w:rPr>
            </w:pPr>
            <w:r>
              <w:rPr>
                <w:rFonts w:ascii="Arial" w:cs="Arial" w:eastAsia="Arial" w:hAnsi="Arial"/>
                <w:sz w:val="14"/>
                <w:szCs w:val="14"/>
                <w:b w:val="1"/>
                <w:bCs w:val="1"/>
                <w:color w:val="auto"/>
              </w:rPr>
              <w:t>incorporation or organization)</w:t>
            </w:r>
          </w:p>
        </w:tc>
        <w:tc>
          <w:tcPr>
            <w:tcW w:w="2300" w:type="dxa"/>
            <w:vAlign w:val="bottom"/>
          </w:tcPr>
          <w:p>
            <w:pPr>
              <w:jc w:val="center"/>
              <w:ind w:right="342"/>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577"/>
              <w:spacing w:after="0"/>
              <w:rPr>
                <w:sz w:val="20"/>
                <w:szCs w:val="20"/>
                <w:color w:val="auto"/>
              </w:rPr>
            </w:pPr>
            <w:r>
              <w:rPr>
                <w:rFonts w:ascii="Arial" w:cs="Arial" w:eastAsia="Arial" w:hAnsi="Arial"/>
                <w:sz w:val="14"/>
                <w:szCs w:val="14"/>
                <w:b w:val="1"/>
                <w:bCs w:val="1"/>
                <w:color w:val="auto"/>
              </w:rPr>
              <w:t>Identification No.)</w:t>
            </w:r>
          </w:p>
        </w:tc>
      </w:tr>
      <w:tr>
        <w:trPr>
          <w:trHeight w:val="415"/>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42 rue Saint-Dominique</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6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Paris, France</w:t>
            </w:r>
          </w:p>
        </w:tc>
        <w:tc>
          <w:tcPr>
            <w:tcW w:w="2300" w:type="dxa"/>
            <w:vAlign w:val="bottom"/>
          </w:tcPr>
          <w:p>
            <w:pPr>
              <w:spacing w:after="0"/>
              <w:rPr>
                <w:sz w:val="22"/>
                <w:szCs w:val="22"/>
                <w:color w:val="auto"/>
              </w:rPr>
            </w:pPr>
          </w:p>
        </w:tc>
        <w:tc>
          <w:tcPr>
            <w:tcW w:w="2880" w:type="dxa"/>
            <w:vAlign w:val="bottom"/>
          </w:tcPr>
          <w:p>
            <w:pPr>
              <w:jc w:val="center"/>
              <w:ind w:right="97"/>
              <w:spacing w:after="0"/>
              <w:rPr>
                <w:sz w:val="20"/>
                <w:szCs w:val="20"/>
                <w:color w:val="auto"/>
              </w:rPr>
            </w:pPr>
            <w:r>
              <w:rPr>
                <w:rFonts w:ascii="Arial" w:cs="Arial" w:eastAsia="Arial" w:hAnsi="Arial"/>
                <w:sz w:val="18"/>
                <w:szCs w:val="18"/>
                <w:b w:val="1"/>
                <w:bCs w:val="1"/>
                <w:color w:val="auto"/>
                <w:w w:val="99"/>
              </w:rPr>
              <w:t>75007</w:t>
            </w:r>
          </w:p>
        </w:tc>
      </w:tr>
      <w:tr>
        <w:trPr>
          <w:trHeight w:val="37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5599 San Felipe</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6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Houston, Texas, U.S.A.</w:t>
            </w:r>
          </w:p>
        </w:tc>
        <w:tc>
          <w:tcPr>
            <w:tcW w:w="2300" w:type="dxa"/>
            <w:vAlign w:val="bottom"/>
          </w:tcPr>
          <w:p>
            <w:pPr>
              <w:spacing w:after="0"/>
              <w:rPr>
                <w:sz w:val="22"/>
                <w:szCs w:val="22"/>
                <w:color w:val="auto"/>
              </w:rPr>
            </w:pPr>
          </w:p>
        </w:tc>
        <w:tc>
          <w:tcPr>
            <w:tcW w:w="2880" w:type="dxa"/>
            <w:vAlign w:val="bottom"/>
          </w:tcPr>
          <w:p>
            <w:pPr>
              <w:jc w:val="center"/>
              <w:ind w:right="97"/>
              <w:spacing w:after="0"/>
              <w:rPr>
                <w:sz w:val="20"/>
                <w:szCs w:val="20"/>
                <w:color w:val="auto"/>
              </w:rPr>
            </w:pPr>
            <w:r>
              <w:rPr>
                <w:rFonts w:ascii="Arial" w:cs="Arial" w:eastAsia="Arial" w:hAnsi="Arial"/>
                <w:sz w:val="18"/>
                <w:szCs w:val="18"/>
                <w:b w:val="1"/>
                <w:bCs w:val="1"/>
                <w:color w:val="auto"/>
                <w:w w:val="99"/>
              </w:rPr>
              <w:t>77056</w:t>
            </w:r>
          </w:p>
        </w:tc>
      </w:tr>
      <w:tr>
        <w:trPr>
          <w:trHeight w:val="37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62 Buckingham Gate</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6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London, United Kingdom</w:t>
            </w:r>
          </w:p>
        </w:tc>
        <w:tc>
          <w:tcPr>
            <w:tcW w:w="2300" w:type="dxa"/>
            <w:vAlign w:val="bottom"/>
          </w:tcPr>
          <w:p>
            <w:pPr>
              <w:spacing w:after="0"/>
              <w:rPr>
                <w:sz w:val="22"/>
                <w:szCs w:val="22"/>
                <w:color w:val="auto"/>
              </w:rPr>
            </w:pPr>
          </w:p>
        </w:tc>
        <w:tc>
          <w:tcPr>
            <w:tcW w:w="2880" w:type="dxa"/>
            <w:vAlign w:val="bottom"/>
          </w:tcPr>
          <w:p>
            <w:pPr>
              <w:jc w:val="center"/>
              <w:ind w:right="77"/>
              <w:spacing w:after="0"/>
              <w:rPr>
                <w:sz w:val="20"/>
                <w:szCs w:val="20"/>
                <w:color w:val="auto"/>
              </w:rPr>
            </w:pPr>
            <w:r>
              <w:rPr>
                <w:rFonts w:ascii="Arial" w:cs="Arial" w:eastAsia="Arial" w:hAnsi="Arial"/>
                <w:sz w:val="18"/>
                <w:szCs w:val="18"/>
                <w:b w:val="1"/>
                <w:bCs w:val="1"/>
                <w:color w:val="auto"/>
                <w:w w:val="98"/>
              </w:rPr>
              <w:t>SW1E 6AJ</w:t>
            </w:r>
          </w:p>
        </w:tc>
      </w:tr>
      <w:tr>
        <w:trPr>
          <w:trHeight w:val="37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Parkstraat 83</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6"/>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The Hague, The Netherlands</w:t>
            </w:r>
          </w:p>
        </w:tc>
        <w:tc>
          <w:tcPr>
            <w:tcW w:w="2300" w:type="dxa"/>
            <w:vAlign w:val="bottom"/>
          </w:tcPr>
          <w:p>
            <w:pPr>
              <w:spacing w:after="0"/>
              <w:rPr>
                <w:sz w:val="19"/>
                <w:szCs w:val="19"/>
                <w:color w:val="auto"/>
              </w:rPr>
            </w:pPr>
          </w:p>
        </w:tc>
        <w:tc>
          <w:tcPr>
            <w:tcW w:w="2880" w:type="dxa"/>
            <w:vAlign w:val="bottom"/>
          </w:tcPr>
          <w:p>
            <w:pPr>
              <w:jc w:val="center"/>
              <w:ind w:right="77"/>
              <w:spacing w:after="0"/>
              <w:rPr>
                <w:sz w:val="20"/>
                <w:szCs w:val="20"/>
                <w:color w:val="auto"/>
              </w:rPr>
            </w:pPr>
            <w:r>
              <w:rPr>
                <w:rFonts w:ascii="Arial" w:cs="Arial" w:eastAsia="Arial" w:hAnsi="Arial"/>
                <w:sz w:val="18"/>
                <w:szCs w:val="18"/>
                <w:b w:val="1"/>
                <w:bCs w:val="1"/>
                <w:color w:val="auto"/>
                <w:w w:val="98"/>
              </w:rPr>
              <w:t>2514 JG</w:t>
            </w:r>
          </w:p>
        </w:tc>
      </w:tr>
      <w:tr>
        <w:trPr>
          <w:trHeight w:val="196"/>
        </w:trPr>
        <w:tc>
          <w:tcPr>
            <w:tcW w:w="3840" w:type="dxa"/>
            <w:vAlign w:val="bottom"/>
          </w:tcPr>
          <w:p>
            <w:pPr>
              <w:jc w:val="center"/>
              <w:spacing w:after="0"/>
              <w:rPr>
                <w:sz w:val="20"/>
                <w:szCs w:val="20"/>
                <w:color w:val="auto"/>
              </w:rPr>
            </w:pPr>
            <w:r>
              <w:rPr>
                <w:rFonts w:ascii="Arial" w:cs="Arial" w:eastAsia="Arial" w:hAnsi="Arial"/>
                <w:sz w:val="14"/>
                <w:szCs w:val="14"/>
                <w:b w:val="1"/>
                <w:bCs w:val="1"/>
                <w:color w:val="auto"/>
              </w:rPr>
              <w:t>(Addresses of principal executive offices)</w:t>
            </w:r>
          </w:p>
        </w:tc>
        <w:tc>
          <w:tcPr>
            <w:tcW w:w="2300" w:type="dxa"/>
            <w:vAlign w:val="bottom"/>
          </w:tcPr>
          <w:p>
            <w:pPr>
              <w:spacing w:after="0"/>
              <w:rPr>
                <w:sz w:val="17"/>
                <w:szCs w:val="17"/>
                <w:color w:val="auto"/>
              </w:rPr>
            </w:pPr>
          </w:p>
        </w:tc>
        <w:tc>
          <w:tcPr>
            <w:tcW w:w="2880" w:type="dxa"/>
            <w:vAlign w:val="bottom"/>
          </w:tcPr>
          <w:p>
            <w:pPr>
              <w:jc w:val="center"/>
              <w:ind w:right="77"/>
              <w:spacing w:after="0"/>
              <w:rPr>
                <w:sz w:val="20"/>
                <w:szCs w:val="20"/>
                <w:color w:val="auto"/>
              </w:rPr>
            </w:pPr>
            <w:r>
              <w:rPr>
                <w:rFonts w:ascii="Arial" w:cs="Arial" w:eastAsia="Arial" w:hAnsi="Arial"/>
                <w:sz w:val="14"/>
                <w:szCs w:val="14"/>
                <w:b w:val="1"/>
                <w:bCs w:val="1"/>
                <w:color w:val="auto"/>
              </w:rPr>
              <w:t>(Zip Codes)</w:t>
            </w:r>
          </w:p>
        </w:tc>
      </w:tr>
    </w:tbl>
    <w:p>
      <w:pPr>
        <w:spacing w:after="0" w:line="172"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Dianne B. Ralston</w:t>
      </w:r>
    </w:p>
    <w:p>
      <w:pPr>
        <w:spacing w:after="0" w:line="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Chief Legal Officer and Secretary</w:t>
      </w:r>
    </w:p>
    <w:p>
      <w:pPr>
        <w:jc w:val="center"/>
        <w:ind w:right="-103"/>
        <w:spacing w:after="0"/>
        <w:rPr>
          <w:sz w:val="20"/>
          <w:szCs w:val="20"/>
          <w:color w:val="auto"/>
        </w:rPr>
      </w:pPr>
      <w:r>
        <w:rPr>
          <w:rFonts w:ascii="Arial" w:cs="Arial" w:eastAsia="Arial" w:hAnsi="Arial"/>
          <w:sz w:val="18"/>
          <w:szCs w:val="18"/>
          <w:b w:val="1"/>
          <w:bCs w:val="1"/>
          <w:color w:val="auto"/>
        </w:rPr>
        <w:t>(713) 513-2000</w:t>
      </w:r>
    </w:p>
    <w:p>
      <w:pPr>
        <w:spacing w:after="0" w:line="1"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ind w:left="4"/>
        <w:spacing w:after="0" w:line="271"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59" w:lineRule="exact"/>
        <w:rPr>
          <w:sz w:val="24"/>
          <w:szCs w:val="24"/>
          <w:color w:val="auto"/>
        </w:rPr>
      </w:pPr>
    </w:p>
    <w:p>
      <w:pPr>
        <w:ind w:left="424" w:right="140" w:hanging="424"/>
        <w:spacing w:after="0" w:line="271" w:lineRule="auto"/>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2024 to December 31, 2024.</w:t>
      </w:r>
    </w:p>
    <w:p>
      <w:pPr>
        <w:spacing w:after="0" w:line="59"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393" w:right="5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0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02" w:lineRule="exact"/>
        <w:rPr>
          <w:sz w:val="20"/>
          <w:szCs w:val="20"/>
          <w:color w:val="auto"/>
        </w:rPr>
      </w:pPr>
    </w:p>
    <w:p>
      <w:pPr>
        <w:jc w:val="both"/>
        <w:ind w:left="4" w:right="40" w:firstLine="440"/>
        <w:spacing w:after="0" w:line="241" w:lineRule="auto"/>
        <w:rPr>
          <w:sz w:val="20"/>
          <w:szCs w:val="20"/>
          <w:color w:val="auto"/>
        </w:rPr>
      </w:pPr>
      <w:r>
        <w:rPr>
          <w:rFonts w:ascii="Arial" w:cs="Arial" w:eastAsia="Arial" w:hAnsi="Arial"/>
          <w:sz w:val="18"/>
          <w:szCs w:val="18"/>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2024. Both of these documents are publicly available on the Company’s website at:</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https://www.slb.com/about/who-we-are/conflict-minerals.*</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 – 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3.01 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 as required by Item 1.01 and 1.02 of this Form.</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5" w:lineRule="exact"/>
        <w:rPr>
          <w:sz w:val="20"/>
          <w:szCs w:val="20"/>
          <w:color w:val="auto"/>
        </w:rPr>
      </w:pPr>
    </w:p>
    <w:p>
      <w:pPr>
        <w:ind w:left="424" w:hanging="424"/>
        <w:spacing w:after="0" w:line="271"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reference to the Company’s website is provided for convenience only, and its contents are not incorporated by reference into this Form SD and the Conflict Minerals Report, nor deemed filed with the Securities and Exchange Commission.</w:t>
      </w:r>
    </w:p>
    <w:p>
      <w:pPr>
        <w:sectPr>
          <w:pgSz w:w="11900" w:h="16838" w:orient="portrait"/>
          <w:cols w:equalWidth="0" w:num="1">
            <w:col w:w="11004"/>
          </w:cols>
          <w:pgMar w:left="436" w:top="269" w:right="4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1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Abdellah Merad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Abdellah Merad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Core Services &amp;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May 30, 2025</w:t>
      </w:r>
    </w:p>
    <w:p>
      <w:pPr>
        <w:sectPr>
          <w:pgSz w:w="11900" w:h="16838" w:orient="portrait"/>
          <w:cols w:equalWidth="0" w:num="1">
            <w:col w:w="10860"/>
          </w:cols>
          <w:pgMar w:left="440" w:top="269"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SLB - For Year Ending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This report has been prepared by the management of Schlumberger Limited (herein referred to as “SLB,” the “Company,” “we,” “us,” or “our”) pursuant to Rule 13p-1 and Form SD promulgated under the Securities Exchange Act of 1934, as amended, for the reporting period from January 1, 2024, to December 31, 2024.</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SLB is a global technology company focused on driving energy innovation for a balanced planet. With a global presence in more than 100 countries and employees representing almost twice as many nationalities, SLB works each day on innovating oil and gas, delivering digital at scale, decarbonizing industries, and developing and scaling new energy systems that accelerate the energy transition.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2024 calendar year, SLB determined that tin, tungsten, tantalum, and/or gold (3TGs) were necessary to the functionality or production of some products that were manufactured or contracted to be manufactured. Therefore, SLB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Based on the country of origin data, SLB believes some of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SLB is committed to complying with the requirements of the Rule and upholding responsible sourcing practices. As such, the Company has put into place a robust due diligence program to ensure its contributions to upholding human rights and responsible practices across the supply chain.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Conflict Minerals Program &amp; Policy</w:t>
      </w:r>
    </w:p>
    <w:p>
      <w:pPr>
        <w:spacing w:after="0" w:line="225"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 Company has actively engaged with its customers and suppliers for several years with respect to the use of conflict minerals. SLB adopted a conflict minerals policy (the “Conflict Minerals Policy”) articulating the conflict minerals supply chain due diligence process and the Company’s commitments to reporting obligations regarding conflict minerals. The Conflict Minerals Policy is available online and can be found here: https://www.slb.com/about/who-we-are/conflict-minerals.</w:t>
      </w:r>
    </w:p>
    <w:p>
      <w:pPr>
        <w:sectPr>
          <w:pgSz w:w="11900" w:h="16838" w:orient="portrait"/>
          <w:cols w:equalWidth="0" w:num="1">
            <w:col w:w="11020"/>
          </w:cols>
          <w:pgMar w:left="440" w:top="117" w:right="4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Description of Products</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Only some of SLB’s products fall in scope of the Rule, as they contain (or may contain) one or more of the 3TGs. The following list is an example of products that contain, or may contain, 3TGs: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Permanent multiphase meters; subsea safety valves; oil, gas and core analysis laboratory equipment; perforating hardware and accessories; downhole drilling tools; solids and pressure control equipment</w:t>
      </w:r>
    </w:p>
    <w:p>
      <w:pPr>
        <w:spacing w:after="0" w:line="162"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for drilling fluids systems; equipment for chemical packages;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Umbilical and cable systems and aftermarket parts; valves; actuators; chokes and aftermarket parts; heaters; dehydration and desalting units; gas conditioning units; membrane separation systems; water processing systems; and electronic controls.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Reasonable Country of Origin Inquiry</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To determine whether necessary 3TGs in products originated in Conflict-Affected and High-Risk Areas, SLB retained a third-party service provider to assist us in reviewing the supply chain and identifying risks. The Company provided a list composed of suppliers and parts associated with the in-scope products to its third-party service provider for upload to its third-party service provider’s platform.</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trace materials, and demonstrate transparency procured by the supply chain, SLB utilized the Conflict Minerals Reporting Template (CMRT) Version 6.4 or higher to conduct a survey of all in-scope suppliers. The CMRT was developed to facilitate disclosure and communication of information regarding smelters and refiners that provide material to a manufacturer’s supply chain. It includes questions about a direct supplier’s conflict minerals policy, its due diligence process, and information about its supply chain such as the names and locations of smelters/refiners as well as the origin of 3TGs used by those facilities.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supplier survey, the Company contacted suppliers via its third-party service provider’s platform, a software-as-a-service (SaaS) platform provided by the third-party service provider that enables its users to complete and track supplier communications and allows suppliers to upload completed CMRTs directly to the platform for validation, assessment and management. The third-party service provider’s platform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Via the third-party service provider’s platform and team, the Company then requested that all identified suppliers complete a CMRT. Training and education to guide suppliers on best practices and the use of this template was included. The third-party service provider monitored and tracked all communications in the third-party service provider’s platform for future reporting and transparency. SLB directly contacted many suppliers that were unresponsive to the third-party service provider’s communications during the diligence process and requested these suppliers complete the CMRT and submit it to the third-party service provider.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program continues to include automated data validation on all submitted CMRTs. Data validation aims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suppliers. The results of this data validation contribute to the program’s health assessment and are shared with the suppliers to ensure they understand areas that require clarification or improvement.</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All submitted forms are accepted so that data is retained, but they are classified as valid or invalid based on a set criteria of validation errors. Suppliers are contacted by the third-party service provider regarding invalid forms and are encouraged to correct validated errors to resubmit a valid form. Suppliers are also provided with guidance on how to correct these validation errors in the form of feedback to their CMRT submission, training courses, and direct engagement help through the third-party service provider’s multilingual supplier experience team.</w:t>
      </w:r>
    </w:p>
    <w:p>
      <w:pPr>
        <w:sectPr>
          <w:pgSz w:w="11900" w:h="16838" w:orient="portrait"/>
          <w:cols w:equalWidth="0" w:num="1">
            <w:col w:w="10980"/>
          </w:cols>
          <w:pgMar w:left="440" w:top="270" w:right="479" w:bottom="1440" w:gutter="0" w:footer="0" w:header="0"/>
        </w:sectPr>
      </w:pPr>
    </w:p>
    <w:bookmarkStart w:id="5" w:name="page6"/>
    <w:bookmarkEnd w:id="5"/>
    <w:p>
      <w:pPr>
        <w:ind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reporting year 2024, there were 4,187 suppliers in scope of the conflict minerals program and 2,883 provided a completed CMRT. SLB’s total response rate for this reporting year was 68.86%.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Due Diligence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SLB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31"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 Strong Company Management Systems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Compliance Team</w:t>
      </w:r>
    </w:p>
    <w:p>
      <w:pPr>
        <w:spacing w:after="0" w:line="117"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SLB established a cross-functional core team consisting of representatives of the business lines, planning and supply chain, legal, compliance, sustainability, and information technology functions. The core team is responsible for implementing the conflict minerals compliance strategy and briefing their respective Division Presidents or, in certain cases, Basin Presidents, about the results of these due diligence efforts on a regular basis.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uses a third-party service provider to assist with evaluating supply chain information regarding 3TGs, identifying potential risks, and in the development and implementation of additional due diligence steps that the Company will undertake with suppliers and/or respective stakeholders regarding conflict minerals.</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leverages the third-party service provider ‘s platform in order to work with dedicated program specialists who support SLB’s conflict minerals program. The Company communicates regularly with the third-party service provider’s team in order to receive updates on program status. Each member of the third-party service provider’s customer success team is trained in conflict minerals compliance and understands the intricacies of reporting templates such as CMRT and conflict minerals reports, as well as Section 1502 of the Dodd-Frank Act.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Systems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expects all suppliers to have policies and procedures in place to ensure that 3TGs used in the production of the products sold to SLB are “conflict free or responsibly sourced.” This means that the products should not contain minerals (3TGs) sourced from areas that have been identified to be in the presence of widespread human rights abuses and violations of law either directly or indirectly. The Company expects direct suppliers to provide information on the origin of the 3TGs contained in components and materials supplied, including sources of 3TGs that are supplied to them from lower-tier suppliers.</w:t>
      </w:r>
    </w:p>
    <w:p>
      <w:pPr>
        <w:sectPr>
          <w:pgSz w:w="11900" w:h="16838" w:orient="portrait"/>
          <w:cols w:equalWidth="0" w:num="1">
            <w:col w:w="10960"/>
          </w:cols>
          <w:pgMar w:left="440" w:top="270" w:right="499" w:bottom="1440" w:gutter="0" w:footer="0" w:header="0"/>
        </w:sectPr>
      </w:pPr>
    </w:p>
    <w:bookmarkStart w:id="6" w:name="page7"/>
    <w:bookmarkEnd w:id="6"/>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Additionally, we have (a) adopted various processes related to our conflict minerals compliance efforts and determinations; (b) adopted standardized data templates for all Divisions to promote consistency across various information technology systems; (c) adopted a procedure in our engineering design and manufacturing systems that requires the recording of necessary conflict mineral contents of newly-developed parts included in our products;</w:t>
      </w:r>
    </w:p>
    <w:p>
      <w:pPr>
        <w:spacing w:after="0" w:line="2" w:lineRule="exact"/>
        <w:rPr>
          <w:sz w:val="20"/>
          <w:szCs w:val="20"/>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 electronic repository to retain relevant documentation concerning our conflict minerals compliance efforts and determinations; and</w:t>
      </w:r>
    </w:p>
    <w:p>
      <w:pPr>
        <w:spacing w:after="0" w:line="9" w:lineRule="exact"/>
        <w:rPr>
          <w:rFonts w:ascii="Times New Roman" w:cs="Times New Roman" w:eastAsia="Times New Roman" w:hAnsi="Times New Roman"/>
          <w:sz w:val="18"/>
          <w:szCs w:val="18"/>
          <w:color w:val="auto"/>
        </w:rPr>
      </w:pPr>
    </w:p>
    <w:p>
      <w:pPr>
        <w:ind w:left="4" w:right="160" w:hanging="4"/>
        <w:spacing w:after="0" w:line="255"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written summaries, reviewed by the President of each relevant Division, summarizing how each such Division complied with the Rule and which of its products were subject to the Rule. In addition, certain employees from our planning and supply chain, legal, engineering, manufacturing, sustaining, sales, finance, and compliance functions are targeted for annual training.</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Supplier Engagement</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SLB has a strong relationship with Tier 1 direct suppliers. As an important part of the supply chain, SLB has leveraged processes and educational opportunities in order to ensure all suppliers have access to a free platform to upload their CMRTs, help desk support, and other multilingual resources. SLB’s suppliers are able to leverage the third-party service provider ‘s team of supplier support specialists to ensure they receive appropriate support and understand how to properly fill a CMRT. Suppliers are provided guidance in their native language by the third-party service provider, if needed.</w:t>
      </w:r>
    </w:p>
    <w:p>
      <w:pPr>
        <w:spacing w:after="0" w:line="180"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As a downstream company, we are several tiers removed from conflict mineral smelters/refiners. We, therefore, must rely on information from industry sources to compare and assess due diligence responses, identify smelters/refiners in our supply chains and improve our ongoing due diligence efforts. We implemented a supply chain transparency system through the use of due diligence tools developed by the Responsible Minerals Initiative (“RMI”), including the RMI Conflict Minerals Reporting Template (“RMI Template”), which is designed to identify the smelters/refiners that process the conflict minerals in a company’s supply chain. We also support our suppliers’ use of validation, certification and audit programs on smelters/refiners upstream in our supply chain, such as:</w:t>
      </w:r>
    </w:p>
    <w:p>
      <w:pPr>
        <w:spacing w:after="0" w:line="93" w:lineRule="exact"/>
        <w:rPr>
          <w:sz w:val="20"/>
          <w:szCs w:val="20"/>
          <w:color w:val="auto"/>
        </w:rPr>
      </w:pPr>
    </w:p>
    <w:p>
      <w:pPr>
        <w:ind w:left="424" w:hanging="316"/>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Responsible Minerals Assurance Process (“RMAP”) developed by RMI,</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ITRI Tin Supply Chain Initiative,</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Tungsten Industry – Conflict Mineral Council Framework,</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London Bullion Market Association (“LBMA”), and</w:t>
      </w:r>
    </w:p>
    <w:p>
      <w:pPr>
        <w:spacing w:after="0" w:line="130" w:lineRule="exact"/>
        <w:rPr>
          <w:rFonts w:ascii="Times New Roman" w:cs="Times New Roman" w:eastAsia="Times New Roman" w:hAnsi="Times New Roman"/>
          <w:sz w:val="18"/>
          <w:szCs w:val="18"/>
          <w:color w:val="auto"/>
        </w:rPr>
      </w:pPr>
    </w:p>
    <w:p>
      <w:pPr>
        <w:ind w:left="424" w:hanging="316"/>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Responsible Jewellery Council (“RJC”).</w:t>
      </w:r>
    </w:p>
    <w:p>
      <w:pPr>
        <w:spacing w:after="0" w:line="225" w:lineRule="exact"/>
        <w:rPr>
          <w:sz w:val="20"/>
          <w:szCs w:val="20"/>
          <w:color w:val="auto"/>
        </w:rPr>
      </w:pPr>
    </w:p>
    <w:p>
      <w:pPr>
        <w:jc w:val="both"/>
        <w:ind w:left="4" w:right="440"/>
        <w:spacing w:after="0" w:line="266" w:lineRule="auto"/>
        <w:rPr>
          <w:sz w:val="20"/>
          <w:szCs w:val="20"/>
          <w:color w:val="auto"/>
        </w:rPr>
      </w:pPr>
      <w:r>
        <w:rPr>
          <w:rFonts w:ascii="Times New Roman" w:cs="Times New Roman" w:eastAsia="Times New Roman" w:hAnsi="Times New Roman"/>
          <w:sz w:val="18"/>
          <w:szCs w:val="18"/>
          <w:color w:val="auto"/>
        </w:rPr>
        <w:t>The Company engages with suppliers directly to request a valid (free of validated errors) CMRT for the products that they supply to the Company. Feedback from this engagement process has allowed the Company to oversee improvements in supplier responses and supplier compliance for this initiative.</w:t>
      </w:r>
    </w:p>
    <w:p>
      <w:pPr>
        <w:spacing w:after="0" w:line="176"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Additionally, SLB’s Conflict Minerals Policy is included in supplier contracts, requiring new suppliers to read and accept the policy as a requirement of doing business with SLB. The Company continues to place a strong emphasis on supplier education and training. To accomplish this, the third-party service provider’s online resources are leveraged, and all in-scope suppliers have been provided with access to their library of conflict minerals training and support resources. Also, the third-party service provider’s automated feedback process that notifies suppliers of risks associated with their CMRT submission serves to educate suppliers of certain conflict minerals’ risks.</w:t>
      </w:r>
    </w:p>
    <w:p>
      <w:pPr>
        <w:spacing w:after="0" w:line="183"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The Company believes that the combination of the SLB Code of Conduct, Conflict Minerals Policy, and direct engagement with suppliers for conflict minerals training and support constitute a strong supplier engagement program.</w:t>
      </w:r>
    </w:p>
    <w:p>
      <w:pPr>
        <w:sectPr>
          <w:pgSz w:w="11900" w:h="16838" w:orient="portrait"/>
          <w:cols w:equalWidth="0" w:num="1">
            <w:col w:w="11004"/>
          </w:cols>
          <w:pgMar w:left="436"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Grievance Mechanisms</w:t>
      </w:r>
    </w:p>
    <w:p>
      <w:pPr>
        <w:spacing w:after="0" w:line="117"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The Company established multiple longstanding grievance mechanisms as described in our Code of Conduct whereby employees and others can anonymously report violations of SLB’s policies, including conflict minerals. We communicate these mechanisms to our employees at various times.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or grievances at the industry level can be reported to the RMI directly as well. This can be done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http://www.responsiblemineralsinitiative.org/responsible-minerals-assurance- process/grievance-mechanism/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 Identifying &amp; Assessing Risk in the Supply Chain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Risk Evaluation</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identify and assess the risks in our supply chain, we first identified products for sale that we manufactured or contracted to manufacture in 2024 that contained, or that may have contained, necessary conflict minerals. We have adopted a procedure in our engineering design and manufacturing system that is reasonably designed to identify each necessary conflict mineral included in our products.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2024, the engineers and metiers in charge of providing materials for such part were required to indicate any necessary conflict minerals included in the part. Where we determined that a newly developed part contained a necessary conflict mineral and that the finished product was in scope of the Rule, we included that part in our further information-gathering efforts. We then identified our Tier 1 suppliers that supplied us with the parts and products considered to be within the scope of the Rule.</w:t>
      </w:r>
    </w:p>
    <w:p>
      <w:pPr>
        <w:spacing w:after="0" w:line="1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Because we are several tiers removed from mining operations and smelters/refiners, we must rely on our suppliers to provide information regarding the source and presence of necessary conflict minerals in our products.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were assessed by their declaration responses on a CMRT, which the third-party service provider’s platform identifies automatically based on established criteria. These risks are addressed by the third-party service provider’s staff and members of the Company’s core team, who engage with suppliers to gather pertinent data and ask for corrective actions if needed, performing an overall assessment of the supplier’s conformity status, which is referred to as “conflict minerals status.”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(such as when a company declares there are no 3TGs in any of its products) is submitted, SLB is unable to determine if all the specified smelters/refiners were used for 3TGs in the products supplied to the Company.</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third-party service provider’s supplier risk assessment (flagging suppliers’ risk as high, medium, low) identifies problematic suppliers in a company’s supply chain. The risk assessment is derived from the smelter validation process, which establishes risk at the smelter level via an analysis that takes into account multiple conflict minerals factors.</w:t>
      </w:r>
    </w:p>
    <w:p>
      <w:pPr>
        <w:sectPr>
          <w:pgSz w:w="11900" w:h="16838" w:orient="portrait"/>
          <w:cols w:equalWidth="0" w:num="1">
            <w:col w:w="11000"/>
          </w:cols>
          <w:pgMar w:left="440"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Smelter/Refiners Risk Evaluation</w:t>
      </w:r>
    </w:p>
    <w:p>
      <w:pPr>
        <w:spacing w:after="0" w:line="11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The third-party service provider’s smelter validation program compared listed facilities into the list of smelters/refiners consolidated by the RMI to ensure that the facilities met the recognized definition of a 3TGs processing facility that was operational during the 2024 calendar year.</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third-party service provider determined if the smelter had been audited against a standard in conformance with the OECD Guidance, such as the RMAP. SLB does not have a direct relationship with smelters/refiners and does not perform direct audits of these entities within their pre-supply chain. Smelters that are conformant to RMAP audit standards are considered to have their sourcing validated as “conflict 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187"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 The third-party service provider uses numerous factors to determine the level of risk that each smelter poses to the supply chain by identifying red flags. These factors include:</w:t>
      </w:r>
    </w:p>
    <w:p>
      <w:pPr>
        <w:spacing w:after="0" w:line="81" w:lineRule="exact"/>
        <w:rPr>
          <w:sz w:val="20"/>
          <w:szCs w:val="20"/>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Conflict-Affected and High-Risk Areas.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risks</w:t>
      </w:r>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Risk mitigation activities are initiated whenever a supplier’s CMRT reports facilities of concern. Through the third-party service provider, suppliers with submissions that included any smelters of concern were immediately provided with feedback instructing suppliers to take their own independent risk mitigation actions. Examples include the submission of a product-specific CMRT to better identify the connection to products that they supply to SLB. Additional escalation may have been necessary to address any continued sourcing from these smelters of concern. Suppliers are given clear performance objectives within reasonable timeframes with the ultimate goal of progressive elimination of these smelters of concern from the supply chain.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306" w:lineRule="exact"/>
        <w:rPr>
          <w:sz w:val="20"/>
          <w:szCs w:val="20"/>
          <w:color w:val="auto"/>
        </w:rPr>
      </w:pPr>
    </w:p>
    <w:p>
      <w:pPr>
        <w:ind w:left="960" w:hanging="532"/>
        <w:spacing w:after="0"/>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 &amp; Implement A Strategy to Respond to Risks</w:t>
      </w:r>
    </w:p>
    <w:p>
      <w:pPr>
        <w:spacing w:after="0" w:line="12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Together with the third-party service provider, SLB developed processes to assess and respond to the risks identified in the supply chain. SLB has created a risk management plan, through which the conflict minerals program is implemented, managed, and monitored. As the program progresses, escalations are sent to non-responsive suppliers to outline the importance of a response via CMRTs and to outline the required cooperation for compliance to the conflict minerals rules and the Company’s expectations.</w:t>
      </w:r>
    </w:p>
    <w:p>
      <w:pPr>
        <w:sectPr>
          <w:pgSz w:w="11900" w:h="16838" w:orient="portrait"/>
          <w:cols w:equalWidth="0" w:num="1">
            <w:col w:w="10980"/>
          </w:cols>
          <w:pgMar w:left="440" w:top="270" w:right="479" w:bottom="1440" w:gutter="0" w:footer="0" w:header="0"/>
        </w:sectPr>
      </w:pPr>
    </w:p>
    <w:bookmarkStart w:id="9" w:name="page10"/>
    <w:bookmarkEnd w:id="9"/>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any smelters/refiners known to source conflict minerals from Covered Countries, as well as smelters/refiners located in any Covered Country with unknown sources of conflict minerals, SLB has provided feedback to its suppliers through the third-party service provider, instructing suppliers to take their own independent risk analysis and mitigation actions. Additionally, in 2024, we will continually engage with our Tier 1 suppliers, who may have sourced from such smelters/refiners, to use certified smelters or pursue an alternative source of conflict minerals and participate in the RMI to support industry efforts to achieve supply chain transparency.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the Company will utilize available actions to respond to non-compliant suppliers as part of its overall procurement strategy. The results of the program and risk assessment are shared with the core team and the respective Division or Basin Presidents to ensure transparency within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 Carry Out Independent Third-Party Audit of Supply Chain Due Diligence at Identified Points in the Supply Chain</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SLB does not have a direct relationship with any 3TG smelters/refiners and does not perform or direct audits of these entities within the supply chain. Instead, the Company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third-party service provider aids us in verifying the information provided by our suppliers with respect to the smelters/refiners that they source from, and to review and confirm the validity of the RMAP, RJC, and LBMA certifications of those smelters/refiners. The third-party service provider directly engages smelters/refiners that are not currently enrolled in an industry recognized audit/assessment program to encourage their participation and for those smelters/refiners already conformant to the corresponding program’s standards, the third-party service provider thanks them for their efforts on behalf of its compliance partners.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 Report Annually on Supply Chain Due Diligence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SLB has published the Form SD for the year ended December 31, 2024. This report is available on the Company’s website at https://www.slb.com/who-we-are/guiding-principles/corporate-accountability/conflict-minerals. Information found on or accessed through this website is not considered part of this report and is not incorporated by reference herein. SLB has also publicly filed a Form SD and this report with the U.S. Securities and Exchange Commission (SEC).</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will continue to expand efforts both for transparency through the data collection process and risk evaluation, as well as the disclosure of efforts through the form of public reports.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Supply Chain Outreach Results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SLB for the 2024 reporting year.</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Supply Chain Outreach Metrics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460" w:type="dxa"/>
            <w:vAlign w:val="bottom"/>
          </w:tcPr>
          <w:p>
            <w:pPr>
              <w:jc w:val="center"/>
              <w:ind w:right="139"/>
              <w:spacing w:after="0"/>
              <w:rPr>
                <w:sz w:val="20"/>
                <w:szCs w:val="20"/>
                <w:color w:val="auto"/>
              </w:rPr>
            </w:pPr>
            <w:r>
              <w:rPr>
                <w:rFonts w:ascii="Times New Roman" w:cs="Times New Roman" w:eastAsia="Times New Roman" w:hAnsi="Times New Roman"/>
                <w:sz w:val="14"/>
                <w:szCs w:val="14"/>
                <w:color w:val="auto"/>
              </w:rPr>
              <w:t>Number of in-scope suppliers</w:t>
            </w:r>
          </w:p>
        </w:tc>
        <w:tc>
          <w:tcPr>
            <w:tcW w:w="292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Reporting Year</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Response rate</w:t>
            </w:r>
          </w:p>
        </w:tc>
      </w:tr>
      <w:tr>
        <w:trPr>
          <w:trHeight w:val="216"/>
        </w:trPr>
        <w:tc>
          <w:tcPr>
            <w:tcW w:w="3460" w:type="dxa"/>
            <w:vAlign w:val="bottom"/>
            <w:shd w:val="clear" w:color="auto" w:fill="CCEEFF"/>
          </w:tcPr>
          <w:p>
            <w:pPr>
              <w:jc w:val="right"/>
              <w:ind w:right="1559"/>
              <w:spacing w:after="0"/>
              <w:rPr>
                <w:sz w:val="20"/>
                <w:szCs w:val="20"/>
                <w:color w:val="auto"/>
              </w:rPr>
            </w:pPr>
            <w:r>
              <w:rPr>
                <w:rFonts w:ascii="Times New Roman" w:cs="Times New Roman" w:eastAsia="Times New Roman" w:hAnsi="Times New Roman"/>
                <w:sz w:val="18"/>
                <w:szCs w:val="18"/>
                <w:color w:val="auto"/>
              </w:rPr>
              <w:t>4,187</w:t>
            </w:r>
          </w:p>
        </w:tc>
        <w:tc>
          <w:tcPr>
            <w:tcW w:w="292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8"/>
                <w:szCs w:val="18"/>
                <w:color w:val="auto"/>
              </w:rPr>
              <w:t>2024</w:t>
            </w:r>
          </w:p>
        </w:tc>
        <w:tc>
          <w:tcPr>
            <w:tcW w:w="288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68.86%</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Upstream Data Transparency</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Appendix A includes all smelters/refiners that suppliers listed in completed CMRTs that met the recognized definition of a 3TGs processing facility and were operational during the 2024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actually processed the 3TGs contained in the Company’s products.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Suppliers that identified these specific smelters of concern on their CMRT were contacted in accordance with the OECD Guidance, as stipulated in the previous sections.</w:t>
      </w:r>
    </w:p>
    <w:p>
      <w:pPr>
        <w:spacing w:after="0" w:line="18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Status</w:t>
            </w:r>
          </w:p>
        </w:tc>
        <w:tc>
          <w:tcPr>
            <w:tcW w:w="414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Number of identified smelters/refiners</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RMAP Conformant</w:t>
            </w:r>
          </w:p>
        </w:tc>
        <w:tc>
          <w:tcPr>
            <w:tcW w:w="4140" w:type="dxa"/>
            <w:vAlign w:val="bottom"/>
            <w:shd w:val="clear" w:color="auto" w:fill="CCEEFF"/>
          </w:tcPr>
          <w:p>
            <w:pPr>
              <w:jc w:val="center"/>
              <w:ind w:left="1854"/>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RMAP Active</w:t>
            </w:r>
          </w:p>
        </w:tc>
        <w:tc>
          <w:tcPr>
            <w:tcW w:w="4140" w:type="dxa"/>
            <w:vAlign w:val="bottom"/>
          </w:tcPr>
          <w:p>
            <w:pPr>
              <w:jc w:val="center"/>
              <w:ind w:left="1854"/>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Enrolled</w:t>
            </w:r>
          </w:p>
        </w:tc>
        <w:tc>
          <w:tcPr>
            <w:tcW w:w="4140" w:type="dxa"/>
            <w:vAlign w:val="bottom"/>
            <w:shd w:val="clear" w:color="auto" w:fill="CCEEFF"/>
          </w:tcPr>
          <w:p>
            <w:pPr>
              <w:jc w:val="center"/>
              <w:ind w:left="1834"/>
              <w:spacing w:after="0"/>
              <w:rPr>
                <w:sz w:val="20"/>
                <w:szCs w:val="20"/>
                <w:color w:val="auto"/>
              </w:rPr>
            </w:pPr>
            <w:r>
              <w:rPr>
                <w:rFonts w:ascii="Times New Roman" w:cs="Times New Roman" w:eastAsia="Times New Roman" w:hAnsi="Times New Roman"/>
                <w:sz w:val="18"/>
                <w:szCs w:val="18"/>
                <w:color w:val="auto"/>
                <w:w w:val="99"/>
              </w:rPr>
              <w:t>98</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4140" w:type="dxa"/>
            <w:vAlign w:val="bottom"/>
          </w:tcPr>
          <w:p>
            <w:pPr>
              <w:jc w:val="center"/>
              <w:ind w:left="1834"/>
              <w:spacing w:after="0"/>
              <w:rPr>
                <w:sz w:val="20"/>
                <w:szCs w:val="20"/>
                <w:color w:val="auto"/>
              </w:rPr>
            </w:pPr>
            <w:r>
              <w:rPr>
                <w:rFonts w:ascii="Times New Roman" w:cs="Times New Roman" w:eastAsia="Times New Roman" w:hAnsi="Times New Roman"/>
                <w:sz w:val="18"/>
                <w:szCs w:val="18"/>
                <w:color w:val="auto"/>
                <w:w w:val="99"/>
              </w:rPr>
              <w:t>32</w:t>
            </w:r>
          </w:p>
        </w:tc>
      </w:tr>
    </w:tbl>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Country of Origin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Appendix B includes an aggregated list of countries of origin from which the reported facilities collectively source 3TGs, based on reasonable identification of country-of-origin data obtained via the third-party service provider’s supply chain database (or other reasonable country of origin data, in the scenario SLB decides to use alternative data sources). As mentioned in the above section, it is understood that overreporting might occur which could result in Appendix B having more countries than those strictly relevant to the Company’s products.</w:t>
      </w:r>
    </w:p>
    <w:p>
      <w:pPr>
        <w:sectPr>
          <w:pgSz w:w="11900" w:h="16838" w:orient="portrait"/>
          <w:cols w:equalWidth="0" w:num="1">
            <w:col w:w="10940"/>
          </w:cols>
          <w:pgMar w:left="440" w:top="270" w:right="51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Steps to Be Taken to Mitigate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SLB has taken, or intends to take, the following steps to improve the due diligence conducted to further mitigate any risk that the necessary 3TGs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products could originate from CAHRAs:</w:t>
      </w:r>
    </w:p>
    <w:p>
      <w:pPr>
        <w:spacing w:after="0" w:line="112" w:lineRule="exact"/>
        <w:rPr>
          <w:sz w:val="20"/>
          <w:szCs w:val="20"/>
          <w:color w:val="auto"/>
        </w:rPr>
      </w:pPr>
    </w:p>
    <w:p>
      <w:pPr>
        <w:ind w:left="1420" w:hanging="331"/>
        <w:spacing w:after="0"/>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more closely and provide more information and training resources regarding responsible sourcing of 3TGs.</w:t>
      </w:r>
    </w:p>
    <w:p>
      <w:pPr>
        <w:spacing w:after="0" w:line="130"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have due diligence procedures in place for their supply chains to improve the content of the responses from such suppliers.</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conflict minerals risk in all products procured from third parties, including products manufactured or contracted to be manufactured by recently acquired companies.</w:t>
      </w:r>
    </w:p>
    <w:p>
      <w:pPr>
        <w:sectPr>
          <w:pgSz w:w="11900" w:h="16838" w:orient="portrait"/>
          <w:cols w:equalWidth="0" w:num="1">
            <w:col w:w="11000"/>
          </w:cols>
          <w:pgMar w:left="440" w:top="266" w:right="45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 Smelter List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520" w:type="dxa"/>
            <w:vAlign w:val="bottom"/>
          </w:tcPr>
          <w:p>
            <w:pPr>
              <w:spacing w:after="0"/>
              <w:rPr>
                <w:sz w:val="16"/>
                <w:szCs w:val="16"/>
                <w:color w:val="auto"/>
              </w:rPr>
            </w:pPr>
          </w:p>
        </w:tc>
        <w:tc>
          <w:tcPr>
            <w:tcW w:w="450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120" w:type="dxa"/>
            <w:vAlign w:val="bottom"/>
          </w:tcPr>
          <w:p>
            <w:pPr>
              <w:spacing w:after="0"/>
              <w:rPr>
                <w:sz w:val="16"/>
                <w:szCs w:val="16"/>
                <w:color w:val="auto"/>
              </w:rPr>
            </w:pPr>
          </w:p>
        </w:tc>
        <w:tc>
          <w:tcPr>
            <w:tcW w:w="2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Smelter Facility Location</w:t>
            </w:r>
          </w:p>
        </w:tc>
        <w:tc>
          <w:tcPr>
            <w:tcW w:w="10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Smelter ID</w:t>
            </w:r>
          </w:p>
        </w:tc>
        <w:tc>
          <w:tcPr>
            <w:tcW w:w="100" w:type="dxa"/>
            <w:vAlign w:val="bottom"/>
          </w:tcPr>
          <w:p>
            <w:pPr>
              <w:spacing w:after="0"/>
              <w:rPr>
                <w:sz w:val="16"/>
                <w:szCs w:val="16"/>
                <w:color w:val="auto"/>
              </w:rPr>
            </w:pPr>
          </w:p>
        </w:tc>
        <w:tc>
          <w:tcPr>
            <w:tcW w:w="21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RMAP Audit Status</w:t>
            </w: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4"/>
              </w:rPr>
              <w:t>Gold</w:t>
            </w:r>
          </w:p>
        </w:tc>
        <w:tc>
          <w:tcPr>
            <w:tcW w:w="520" w:type="dxa"/>
            <w:vAlign w:val="bottom"/>
          </w:tcPr>
          <w:p>
            <w:pPr>
              <w:spacing w:after="0"/>
              <w:rPr>
                <w:sz w:val="16"/>
                <w:szCs w:val="16"/>
                <w:color w:val="auto"/>
              </w:rPr>
            </w:pPr>
          </w:p>
        </w:tc>
        <w:tc>
          <w:tcPr>
            <w:tcW w:w="4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Advanced Chemical Company</w:t>
            </w:r>
          </w:p>
        </w:tc>
        <w:tc>
          <w:tcPr>
            <w:tcW w:w="120" w:type="dxa"/>
            <w:vAlign w:val="bottom"/>
          </w:tcPr>
          <w:p>
            <w:pPr>
              <w:spacing w:after="0"/>
              <w:rPr>
                <w:sz w:val="16"/>
                <w:szCs w:val="16"/>
                <w:color w:val="auto"/>
              </w:rPr>
            </w:pPr>
          </w:p>
        </w:tc>
        <w:tc>
          <w:tcPr>
            <w:tcW w:w="22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United States of America</w:t>
            </w: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CID000015</w:t>
            </w: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CID000019</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Agosi AG</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CID000035</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CID000041</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CID000058</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Argor-Heraeus S.A.</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CID000077</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Asahi Pretec Corp.</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CID000082</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Asaka Riken Co., Ltd.</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CID000090</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Turkey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CID000103</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Aurubis AG</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CID000113</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CID000128</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Boliden Ronnskar</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Sweden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CID000157</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 Hafner GmbH + Co. KG</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CID000176</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Caridad</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CID000180</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CID000185</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Cendres + Metaux S.A.</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CID000189</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CID000197</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Chimet S.p.A.</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CID000233</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Chugai Mining</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CID000264</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0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2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CID000343</w:t>
            </w:r>
          </w:p>
        </w:tc>
        <w:tc>
          <w:tcPr>
            <w:tcW w:w="2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Outreach Required</w:t>
            </w:r>
          </w:p>
        </w:tc>
      </w:tr>
    </w:tbl>
    <w:p>
      <w:pPr>
        <w:sectPr>
          <w:pgSz w:w="11900" w:h="16838" w:orient="portrait"/>
          <w:cols w:equalWidth="0" w:num="1">
            <w:col w:w="11020"/>
          </w:cols>
          <w:pgMar w:left="440" w:top="266"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DSC (Do Sung Corporation)</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CID000359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Dowa</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CID000401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CID000425</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JSC Novosibirsk Refinery</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c>
          <w:tcPr>
            <w:tcW w:w="3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CID000493   RMI Due Diligence Review</w:t>
            </w:r>
          </w:p>
        </w:tc>
      </w:tr>
      <w:tr>
        <w:trPr>
          <w:trHeight w:val="216"/>
        </w:trPr>
        <w:tc>
          <w:tcPr>
            <w:tcW w:w="6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CID000522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CID000651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CID000671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LT Metal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CID000689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Heimerle + Meule GmbH</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CID000694</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CID000707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CID000711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CID000767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CID000773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HwaSeong CJ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CID000778</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Communication Suspended -</w:t>
            </w:r>
          </w:p>
        </w:tc>
      </w:tr>
      <w:tr>
        <w:trPr>
          <w:trHeight w:val="216"/>
        </w:trPr>
        <w:tc>
          <w:tcPr>
            <w:tcW w:w="6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CID000801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18"/>
                <w:szCs w:val="18"/>
                <w:color w:val="auto"/>
              </w:rPr>
            </w:pP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Ltd.</w:t>
            </w:r>
          </w:p>
        </w:tc>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CID000807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Istanbul Gold Refinery</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Turkey</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CID000814</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Japan Mint</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c>
          <w:tcPr>
            <w:tcW w:w="1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CID000823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000"/>
          </w:cols>
          <w:pgMar w:left="440" w:top="270" w:right="45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Jiangxi Copper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CID000855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Asahi Refining USA Inc.</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CID000920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Canada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CID000924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Russian Federation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CID000927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RMI Due Diligence Review</w:t>
            </w:r>
          </w:p>
        </w:tc>
      </w:tr>
      <w:tr>
        <w:trPr>
          <w:trHeight w:val="216"/>
        </w:trPr>
        <w:tc>
          <w:tcPr>
            <w:tcW w:w="6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JSC Uralelectromed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Russian Federation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CID000929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RMI Due Diligence Review</w:t>
            </w:r>
          </w:p>
        </w:tc>
      </w:tr>
      <w:tr>
        <w:trPr>
          <w:trHeight w:val="216"/>
        </w:trPr>
        <w:tc>
          <w:tcPr>
            <w:tcW w:w="6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CID000937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Kazakhmys Smelting LLC</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Kazakhstan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CID000956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Kazzinc</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Kazakhstan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CID000957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CID000969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Kojima Chemicals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CID000981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Kyrgyzaltyn JSC</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Kyrgyzstan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CID001029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Saudi Arabia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CID001032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RMI Due Diligence Review</w:t>
            </w:r>
          </w:p>
        </w:tc>
      </w:tr>
      <w:tr>
        <w:trPr>
          <w:trHeight w:val="216"/>
        </w:trPr>
        <w:tc>
          <w:tcPr>
            <w:tcW w:w="6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Lingbao Gold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CID001056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CID001058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LS MnM Inc.</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Korea, Republic Of</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CID001078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CID001093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Materion</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CID001113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Matsuda Sangyo Co., Ltd.</w:t>
            </w:r>
          </w:p>
        </w:tc>
        <w:tc>
          <w:tcPr>
            <w:tcW w:w="2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CID001119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940"/>
          </w:cols>
          <w:pgMar w:left="440" w:top="270" w:right="519" w:bottom="1440" w:gutter="0" w:footer="0" w:header="0"/>
        </w:sectPr>
      </w:pPr>
    </w:p>
    <w:bookmarkStart w:id="15" w:name="page16"/>
    <w:bookmarkEnd w:id="1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CID001147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CID001149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CID001152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Technologies S.A.</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CID001153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CID001157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Mexico</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CID001161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CID001188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CID001193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CID001204   RMI Due Diligence Review</w:t>
            </w:r>
          </w:p>
        </w:tc>
      </w:tr>
      <w:tr>
        <w:trPr>
          <w:trHeight w:val="216"/>
        </w:trPr>
        <w:tc>
          <w:tcPr>
            <w:tcW w:w="6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Turkey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CID001220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Uzbekistan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CID001236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Nihon Material Co.,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CID001259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CID001325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OJSC “The Gulidov Krasnoyarsk Non-Ferrous Metals Plant”</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CID001326   RMI Due Diligence Review</w:t>
            </w:r>
          </w:p>
        </w:tc>
      </w:tr>
      <w:tr>
        <w:trPr>
          <w:trHeight w:val="216"/>
        </w:trPr>
        <w:tc>
          <w:tcPr>
            <w:tcW w:w="620" w:type="dxa"/>
            <w:vAlign w:val="bottom"/>
          </w:tcPr>
          <w:p>
            <w:pPr>
              <w:spacing w:after="0"/>
              <w:rPr>
                <w:sz w:val="18"/>
                <w:szCs w:val="18"/>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(OJSC Krastsvetmet)</w:t>
            </w: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MKS PAMP SA</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Switzerland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CID001352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CID001362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CID001386   RMI Due Diligence Review</w:t>
            </w:r>
          </w:p>
        </w:tc>
      </w:tr>
      <w:tr>
        <w:trPr>
          <w:trHeight w:val="234"/>
        </w:trPr>
        <w:tc>
          <w:tcPr>
            <w:tcW w:w="6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bl>
    <w:p>
      <w:pPr>
        <w:sectPr>
          <w:pgSz w:w="11900" w:h="16838" w:orient="portrait"/>
          <w:cols w:equalWidth="0" w:num="1">
            <w:col w:w="10940"/>
          </w:cols>
          <w:pgMar w:left="440" w:top="270" w:right="51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CID001397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PX Precinox S.A.</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Switzerland</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CID001498</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Rand Refinery (Pty) Ltd.</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 Africa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CID001512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Royal Canadian Mint</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CID001534</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Sabin Metal Corp.</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CID001546</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Communication Suspended -</w:t>
            </w:r>
          </w:p>
        </w:tc>
      </w:tr>
      <w:tr>
        <w:trPr>
          <w:trHeight w:val="216"/>
        </w:trPr>
        <w:tc>
          <w:tcPr>
            <w:tcW w:w="6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Samduck Precious Metals</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CID001555</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Samwon Metals Corp.</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CID001562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Communication Suspended -</w:t>
            </w:r>
          </w:p>
        </w:tc>
      </w:tr>
      <w:tr>
        <w:trPr>
          <w:trHeight w:val="216"/>
        </w:trPr>
        <w:tc>
          <w:tcPr>
            <w:tcW w:w="6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Spain</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CID001585</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CID001619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CID001622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CID001736</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Russian Federation</w:t>
            </w:r>
          </w:p>
        </w:tc>
        <w:tc>
          <w:tcPr>
            <w:tcW w:w="3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CID001756   RMI Due Diligence Review</w:t>
            </w:r>
          </w:p>
        </w:tc>
      </w:tr>
      <w:tr>
        <w:trPr>
          <w:trHeight w:val="216"/>
        </w:trPr>
        <w:tc>
          <w:tcPr>
            <w:tcW w:w="6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CID001761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CID001798</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CID001810</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CID001875</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2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CID001909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bl>
    <w:p>
      <w:pPr>
        <w:sectPr>
          <w:pgSz w:w="11900" w:h="16838" w:orient="portrait"/>
          <w:cols w:equalWidth="0" w:num="1">
            <w:col w:w="11000"/>
          </w:cols>
          <w:pgMar w:left="440" w:top="270" w:right="45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CID001916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Tokuriki Honten Co.,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CID001938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CID001947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Torecom</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 Republic Of</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CID001955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Belgium</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CID001980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CID001993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Valcambi S.A.</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Switzerland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CID002003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CID002030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Yamakin Co.,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CID002100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Yokohama Metal Co.,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CID002129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CID002224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CID002243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Morris and Watson</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New Zealand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CID002282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SAFINA A.S.</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Czechia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CID002290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Thailand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MMTC-PAMP India Pvt.,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Poland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CID002511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Zimbabwe</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CID002515   RMI Due Diligence Review</w:t>
            </w:r>
          </w:p>
        </w:tc>
      </w:tr>
      <w:tr>
        <w:trPr>
          <w:trHeight w:val="234"/>
        </w:trPr>
        <w:tc>
          <w:tcPr>
            <w:tcW w:w="6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bl>
    <w:p>
      <w:pPr>
        <w:sectPr>
          <w:pgSz w:w="11900" w:h="16838" w:orient="portrait"/>
          <w:cols w:equalWidth="0" w:num="1">
            <w:col w:w="10940"/>
          </w:cols>
          <w:pgMar w:left="440" w:top="270" w:right="51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CID002516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CID002525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CID002527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Emirates Gold DMCC</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Kaloti Precious Metals</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CID002563   RMI Due Diligence Review</w:t>
            </w:r>
          </w:p>
        </w:tc>
      </w:tr>
      <w:tr>
        <w:trPr>
          <w:trHeight w:val="216"/>
        </w:trPr>
        <w:tc>
          <w:tcPr>
            <w:tcW w:w="6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Sudan Gold Refinery</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Sudan</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T.C.A S.p. A</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Italy</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REMONDIS PMR B.V.</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Netherlands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Fujairah Gold FZC</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Arab Emirates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Belgium</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India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Korea Zinc Co., Ltd.</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CID002605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Marsam Metals</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CID002606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TOO Tau-Ken-Altyn</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Kazakhstan</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CID002615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CID002708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CID002750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Albino Mountinho Lda.</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Portugal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SAAMP</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France</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L’Orfebre S.A.</w:t>
            </w:r>
          </w:p>
        </w:tc>
        <w:tc>
          <w:tcPr>
            <w:tcW w:w="2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Andorra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bl>
    <w:p>
      <w:pPr>
        <w:sectPr>
          <w:pgSz w:w="11900" w:h="16838" w:orient="portrait"/>
          <w:cols w:equalWidth="0" w:num="1">
            <w:col w:w="10940"/>
          </w:cols>
          <w:pgMar w:left="440" w:top="270" w:right="51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8853 S.p.A.</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CID002763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Italpreziosi</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CID002765</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CID002778</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Ogussa Osterreichische Gold-und Silber-Scheideanstalt</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Austria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CID002779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62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GmbH</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 Traders and Refiners</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South Africa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CID002850</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CID002852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Sai Refinery</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CID002853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Modeltech Sdn Bhd</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Malaysia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CID002857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Bangalore Refinery</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CID002863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CID002865   RMI Due Diligence Review</w:t>
            </w:r>
          </w:p>
        </w:tc>
      </w:tr>
      <w:tr>
        <w:trPr>
          <w:trHeight w:val="216"/>
        </w:trPr>
        <w:tc>
          <w:tcPr>
            <w:tcW w:w="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CID002867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Pease &amp; Curren</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CID002872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Communication Suspended -</w:t>
            </w:r>
          </w:p>
        </w:tc>
      </w:tr>
      <w:tr>
        <w:trPr>
          <w:trHeight w:val="216"/>
        </w:trPr>
        <w:tc>
          <w:tcPr>
            <w:tcW w:w="6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JALAN &amp; Company</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CID002893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SungEel HiMetal Co., Ltd.</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Korea, Republic Of</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CID002918</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Chile</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CID002919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ABC Refinery Pty Ltd.</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CID002920</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Safimet S.p. A</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Italy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CID002973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Lithuania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CID003153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620" w:type="dxa"/>
            <w:vAlign w:val="bottom"/>
          </w:tcPr>
          <w:p>
            <w:pPr>
              <w:spacing w:after="0"/>
              <w:rPr>
                <w:sz w:val="18"/>
                <w:szCs w:val="18"/>
                <w:color w:val="auto"/>
              </w:rPr>
            </w:pP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Technology</w:t>
            </w:r>
          </w:p>
        </w:tc>
        <w:tc>
          <w:tcPr>
            <w:tcW w:w="2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African Gold Refinery</w:t>
            </w:r>
          </w:p>
        </w:tc>
        <w:tc>
          <w:tcPr>
            <w:tcW w:w="23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Uganda</w:t>
            </w:r>
          </w:p>
        </w:tc>
        <w:tc>
          <w:tcPr>
            <w:tcW w:w="3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CID003185   RMI Due Diligence Review</w:t>
            </w:r>
          </w:p>
        </w:tc>
      </w:tr>
      <w:tr>
        <w:trPr>
          <w:trHeight w:val="234"/>
        </w:trPr>
        <w:tc>
          <w:tcPr>
            <w:tcW w:w="6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bl>
    <w:p>
      <w:pPr>
        <w:sectPr>
          <w:pgSz w:w="11900" w:h="16838" w:orient="portrait"/>
          <w:cols w:equalWidth="0" w:num="1">
            <w:col w:w="11000"/>
          </w:cols>
          <w:pgMar w:left="440" w:top="270" w:right="459" w:bottom="1440" w:gutter="0" w:footer="0" w:header="0"/>
        </w:sectPr>
      </w:pPr>
    </w:p>
    <w:bookmarkStart w:id="20" w:name="page21"/>
    <w:bookmarkEnd w:id="2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Gold Coast Refinery</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Ghana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CID003186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NH Recytech Company</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CID003189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QG Refining, LLC</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CID003324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Arab Emirates</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CID003348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CGR Metalloys Pvt Ltd.</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CID003382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Sovereign Metals</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CID003383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CID003424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CID003425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CID003461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CID003463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CID003487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CID003488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CID003489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CID003490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K.A. Rasmussen</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Norway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CID003497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Alexy Metals</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CID003500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MD Overseas</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CID003548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Metallix Refining Inc.</w:t>
            </w:r>
          </w:p>
        </w:tc>
        <w:tc>
          <w:tcPr>
            <w:tcW w:w="27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CID003557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bl>
    <w:p>
      <w:pPr>
        <w:sectPr>
          <w:pgSz w:w="11900" w:h="16838" w:orient="portrait"/>
          <w:cols w:equalWidth="0" w:num="1">
            <w:col w:w="10280"/>
          </w:cols>
          <w:pgMar w:left="440" w:top="270" w:right="1179" w:bottom="1440" w:gutter="0" w:footer="0" w:header="0"/>
        </w:sectPr>
      </w:pPr>
    </w:p>
    <w:bookmarkStart w:id="21" w:name="page22"/>
    <w:bookmarkEnd w:id="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CID003575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WEEEREFINING</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France</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CID003615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Gold by Gold Colombia</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Colombia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CID003641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Dongwu Gold Group</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CID003663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Sam Precious Metals</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Arab Emirates</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CID003666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In Communication</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Coimpa Industrial LTDA</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CID004010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GG Refinery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Tanzania, United Republic Of</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CID004506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NOBLE METAL SERVICES</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CID003690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SHENZHEN JINJUNWEI RESOURCE COMPREHENSIVE</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CID004435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18"/>
                <w:szCs w:val="18"/>
                <w:color w:val="auto"/>
              </w:rPr>
            </w:pP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CO., LTD.</w:t>
            </w: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Attero Recycling Pvt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CID004697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South Africa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CID004714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Elite Industech Co.,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CID004755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CID004491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CID005014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Gasabo Gold Refinery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CID005006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CID000291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CID000460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280"/>
          </w:cols>
          <w:pgMar w:left="440" w:top="270" w:right="1179" w:bottom="1440" w:gutter="0" w:footer="0" w:header="0"/>
        </w:sectPr>
      </w:pPr>
    </w:p>
    <w:bookmarkStart w:id="22" w:name="page23"/>
    <w:bookmarkEnd w:id="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CID000616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CID000914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Jiujiang Tanbre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CID000917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AMG Brasil</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CID001076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CID001163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Mineracao Taboca S.A.</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CID001175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CID001192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NPM Silmet AS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Estonia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CID001200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CID001277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QuantumClean</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CID001508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CID001522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Russian Federation</w:t>
            </w:r>
          </w:p>
        </w:tc>
        <w:tc>
          <w:tcPr>
            <w:tcW w:w="3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CID001769   RMI Due Diligence Review</w:t>
            </w:r>
          </w:p>
        </w:tc>
      </w:tr>
      <w:tr>
        <w:trPr>
          <w:trHeight w:val="216"/>
        </w:trPr>
        <w:tc>
          <w:tcPr>
            <w:tcW w:w="7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Taki Chemical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CID001869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Telex Metals</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CID001891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Kazakhstan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CID001969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CID002492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 Block Metals, LLC</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4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940"/>
          </w:cols>
          <w:pgMar w:left="440" w:top="270" w:right="51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CID002512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KEMET de Mexico</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Mexico</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CID002539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Thailand</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GmbH</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Materion Newton Inc.</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Japan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CID002550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CID002557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CID002558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Brazil</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CID002707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CID002842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CID003583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5D Production OU</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Estonia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CID003926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PowerX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Rwanda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CID004054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CID004813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In Communication</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CID000228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Alpha</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CID000292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Indonesia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CID000309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280"/>
          </w:cols>
          <w:pgMar w:left="440" w:top="270" w:right="117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Indonesia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CID000313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Dowa</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CID000402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 Vinto</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Bolivia (Plurinational State</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CID000438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Of)</w:t>
            </w:r>
          </w:p>
        </w:tc>
        <w:tc>
          <w:tcPr>
            <w:tcW w:w="10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Estanho de Rondonia S.A.</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Brazil</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CID000448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Fenix Metals</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Poland</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CID000468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CID000538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CID000555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CID000942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China Tin Group Co., Ltd.</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CID001070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Malaysia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CID001105</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Metallic Resources, Inc.</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CID001142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Mineracao Taboca S.A.</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Brazil</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CID001173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Minsur</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Peru</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CID001182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Japan</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CID001191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CID001231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Novosibirsk Tin Combine</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c>
          <w:tcPr>
            <w:tcW w:w="3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CID001305   RMI Due Diligence Review</w:t>
            </w:r>
          </w:p>
        </w:tc>
      </w:tr>
      <w:tr>
        <w:trPr>
          <w:trHeight w:val="216"/>
        </w:trPr>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Thailand</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CID001314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CID001337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Bolivia)</w:t>
            </w:r>
          </w:p>
        </w:tc>
        <w:tc>
          <w:tcPr>
            <w:tcW w:w="10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Artha Cipta Langgeng</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Indonesia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CID001399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Babel Inti Perkasa</w:t>
            </w:r>
          </w:p>
        </w:tc>
        <w:tc>
          <w:tcPr>
            <w:tcW w:w="2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Indonesia</w:t>
            </w:r>
          </w:p>
        </w:tc>
        <w:tc>
          <w:tcPr>
            <w:tcW w:w="1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CID001402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940"/>
          </w:cols>
          <w:pgMar w:left="440" w:top="270" w:right="51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CID001406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Bangka Tin Industry</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CID001419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CID001421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Bukit Timah</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CID001428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Mitra Stania Prima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CID001453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Panca Mega Persada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CID001457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Prima Timah Utama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CID001458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68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CID001468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Timah Tbk Kundur</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CID001477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Timah Tbk Mentok</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CID001482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Timah Nusantara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CID001486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Tinindo Inter Nusa</w:t>
            </w:r>
          </w:p>
        </w:tc>
        <w:tc>
          <w:tcPr>
            <w:tcW w:w="2680" w:type="dxa"/>
            <w:vAlign w:val="bottom"/>
          </w:tcPr>
          <w:p>
            <w:pPr>
              <w:spacing w:after="0"/>
              <w:rPr>
                <w:sz w:val="18"/>
                <w:szCs w:val="18"/>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CID001490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Tommy Utama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CID001493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Rui Da Hung</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CID001539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Thaisarco</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Thailand</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CID001898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CID001908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CID002015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CID002036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CID002158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CID002180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CID002468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Tirus Putra Mandiri</w:t>
            </w:r>
          </w:p>
        </w:tc>
        <w:tc>
          <w:tcPr>
            <w:tcW w:w="2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Indonesia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CID002478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bl>
    <w:p>
      <w:pPr>
        <w:sectPr>
          <w:pgSz w:w="11900" w:h="16838" w:orient="portrait"/>
          <w:cols w:equalWidth="0" w:num="1">
            <w:col w:w="10280"/>
          </w:cols>
          <w:pgMar w:left="440" w:top="270" w:right="117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Melt Metais e Ligas S.A.</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CID002500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CID002503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Philippines</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CID002517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CV Ayi Jaya</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CID002570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CID002572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Metallurgy Joint Stock Company</w:t>
            </w:r>
          </w:p>
        </w:tc>
        <w:tc>
          <w:tcPr>
            <w:tcW w:w="1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CID002573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CID002574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Rajehan Ariq</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CID002593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Cipta Persada Mulia</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CID002696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CID002703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CID002706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Super Ligas</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Brazil</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CID002756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Aurubis Beerse</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Belgium</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CID002773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Aurubis Berango</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Spain</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CID002774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Bangka Prima Tin</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CID002776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Sukses Inti Makmur</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CID002816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Menara Cipta Mulia</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Indonesia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CID002835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CID002844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Modeltech Sdn Bhd</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Malaysia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CID002858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CID003116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1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CID003190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280"/>
          </w:cols>
          <w:pgMar w:left="440" w:top="270" w:right="1179" w:bottom="144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Bangka Serumpun</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CID003205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Myanmar</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CID003208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CID003325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CID003356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CID003379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CID003381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Luna Smelter, Ltd.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Rwanda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CID003387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CID003397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CID003409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CID003410</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CID003449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CRM Fundicao De Metais E Comercio De Equipamentos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CID003486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CRM Synergies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Spain</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CID003524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CID003582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DS Myanmar</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Myanmar</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CID003831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CID003868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Congo, Democratic Republic</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CID004065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5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Congo</w:t>
            </w: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w:t>
            </w:r>
          </w:p>
        </w:tc>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CID004403</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56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MITSUI MINING &amp; SMELTING CO., LTD.</w:t>
            </w:r>
          </w:p>
        </w:tc>
        <w:tc>
          <w:tcPr>
            <w:tcW w:w="2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ectPr>
          <w:pgSz w:w="11900" w:h="16838" w:orient="portrait"/>
          <w:cols w:equalWidth="0" w:num="1">
            <w:col w:w="10280"/>
          </w:cols>
          <w:pgMar w:left="440" w:top="270" w:right="117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Malaysia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CID004434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CID004692</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Uganda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CID004724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CID004754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Longnan Chuangyue Environmental Protection Technology</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CID004796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6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Co., Ltd</w:t>
            </w:r>
          </w:p>
        </w:tc>
        <w:tc>
          <w:tcPr>
            <w:tcW w:w="2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PT Mitra Graha Raya</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CID004685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CID000377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PT Arsed Indonesia</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Indonesia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CID005067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 Kay Metal, Inc</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CID005189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A.L.M.T. Corp.</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CID000004</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Kennametal Huntsville</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CID000105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CID000218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CID000258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CID000281</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CID000568</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CID000766</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CID000769</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 New Metals Co., Ltd.</w:t>
            </w:r>
          </w:p>
        </w:tc>
        <w:tc>
          <w:tcPr>
            <w:tcW w:w="2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CID000825</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280"/>
          </w:cols>
          <w:pgMar w:left="440" w:top="270" w:right="117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Kennametal Fallon</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CID000966</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Austria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CID002044</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Xiamen Tungsten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CID002082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Communication Suspended -</w:t>
            </w:r>
          </w:p>
        </w:tc>
      </w:tr>
      <w:tr>
        <w:trPr>
          <w:trHeight w:val="216"/>
        </w:trPr>
        <w:tc>
          <w:tcPr>
            <w:tcW w:w="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Interested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CID002315</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CID002316</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CID002317</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CID002318</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CID002319</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CID002320</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CID002321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CID002494</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Hunan Shizhuyuan Nonferrous Metals Co., Ltd. Chenzhou</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CID002513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Tungsten Products Branch</w:t>
            </w:r>
          </w:p>
        </w:tc>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H.C. Starck Tungsten GmbH</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CID002541</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CID002542</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CID002543</w:t>
            </w:r>
          </w:p>
        </w:tc>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1000"/>
          </w:cols>
          <w:pgMar w:left="440" w:top="270" w:right="45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CID002551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Niagara Refining LLC</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CID002641</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Hydrometallurg, JSC</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CID002649   RMI Due Diligence Review</w:t>
            </w:r>
          </w:p>
        </w:tc>
      </w:tr>
      <w:tr>
        <w:trPr>
          <w:trHeight w:val="216"/>
        </w:trPr>
        <w:tc>
          <w:tcPr>
            <w:tcW w:w="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CID002724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CID002827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ACL Metais Eireli</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CID002833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Moliren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CID002845   RMI Due Diligence Review</w:t>
            </w:r>
          </w:p>
        </w:tc>
      </w:tr>
      <w:tr>
        <w:trPr>
          <w:trHeight w:val="216"/>
        </w:trPr>
        <w:tc>
          <w:tcPr>
            <w:tcW w:w="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Lianyou Metals Co.,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CID003407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CID003408   RMI Due Diligence Review</w:t>
            </w:r>
          </w:p>
        </w:tc>
      </w:tr>
      <w:tr>
        <w:trPr>
          <w:trHeight w:val="216"/>
        </w:trPr>
        <w:tc>
          <w:tcPr>
            <w:tcW w:w="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NPP Tyazhmetprom LLC</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CID003416   RMI Due Diligence Review</w:t>
            </w:r>
          </w:p>
        </w:tc>
      </w:tr>
      <w:tr>
        <w:trPr>
          <w:trHeight w:val="216"/>
        </w:trPr>
        <w:tc>
          <w:tcPr>
            <w:tcW w:w="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CID003417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CID003427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Cronimet Brasil Ltda</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CID003468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Artek LLC</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CID003553   RMI Due Diligence Review</w:t>
            </w:r>
          </w:p>
        </w:tc>
      </w:tr>
      <w:tr>
        <w:trPr>
          <w:trHeight w:val="216"/>
        </w:trPr>
        <w:tc>
          <w:tcPr>
            <w:tcW w:w="76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CID003609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bl>
    <w:p>
      <w:pPr>
        <w:sectPr>
          <w:pgSz w:w="11900" w:h="16838" w:orient="portrait"/>
          <w:cols w:equalWidth="0" w:num="1">
            <w:col w:w="10940"/>
          </w:cols>
          <w:pgMar w:left="440" w:top="270" w:right="519" w:bottom="1440" w:gutter="0" w:footer="0" w:header="0"/>
        </w:sectPr>
      </w:pPr>
    </w:p>
    <w:bookmarkStart w:id="31" w:name="page32"/>
    <w:bookmarkEnd w:id="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OOO “Technolom” 2</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CID003612   RMI Due Diligence Review</w:t>
            </w:r>
          </w:p>
        </w:tc>
      </w:tr>
      <w:tr>
        <w:trPr>
          <w:trHeight w:val="216"/>
        </w:trPr>
        <w:tc>
          <w:tcPr>
            <w:tcW w:w="7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OOO “Technolom” 1</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CID003614   RMI Due Diligence Review</w:t>
            </w:r>
          </w:p>
        </w:tc>
      </w:tr>
      <w:tr>
        <w:trPr>
          <w:trHeight w:val="216"/>
        </w:trPr>
        <w:tc>
          <w:tcPr>
            <w:tcW w:w="7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LLC Vostok</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c>
          <w:tcPr>
            <w:tcW w:w="3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CID003643   RMI Due Diligence Review</w:t>
            </w:r>
          </w:p>
        </w:tc>
      </w:tr>
      <w:tr>
        <w:trPr>
          <w:trHeight w:val="216"/>
        </w:trPr>
        <w:tc>
          <w:tcPr>
            <w:tcW w:w="7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Unable to 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CID003662</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HANNAE FOR T Co., Ltd.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CID003978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CID003993</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CID004034</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CID004060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Lianyou Resources Co., Ltd.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CID004397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CID004430</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Viet Nam</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CID004619</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MALAMET SMELTING SDN. BHD.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Malaysia</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CID004056</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CID004438</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Philippines</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CID004797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LAOS SOUTHERN MINING SMELTING SOLE CO., LTD</w:t>
            </w: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Lao People’s Democratic</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CID005017</w:t>
            </w: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Active</w:t>
            </w:r>
          </w:p>
        </w:tc>
      </w:tr>
      <w:tr>
        <w:trPr>
          <w:trHeight w:val="234"/>
        </w:trPr>
        <w:tc>
          <w:tcPr>
            <w:tcW w:w="7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Republic</w:t>
            </w: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ectPr>
          <w:pgSz w:w="11900" w:h="16838" w:orient="portrait"/>
          <w:cols w:equalWidth="0" w:num="1">
            <w:col w:w="10940"/>
          </w:cols>
          <w:pgMar w:left="440" w:top="270" w:right="51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p>
        </w:tc>
        <w:tc>
          <w:tcPr>
            <w:tcW w:w="502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Appendix B: Countries of Origin</w:t>
            </w:r>
          </w:p>
        </w:tc>
        <w:tc>
          <w:tcPr>
            <w:tcW w:w="2380" w:type="dxa"/>
            <w:vAlign w:val="bottom"/>
          </w:tcPr>
          <w:p>
            <w:pPr>
              <w:spacing w:after="0"/>
              <w:rPr>
                <w:sz w:val="20"/>
                <w:szCs w:val="20"/>
                <w:color w:val="auto"/>
              </w:rPr>
            </w:pPr>
          </w:p>
        </w:tc>
      </w:tr>
      <w:tr>
        <w:trPr>
          <w:trHeight w:val="441"/>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Albania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Ecuador</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Liberia</w:t>
            </w:r>
          </w:p>
        </w:tc>
        <w:tc>
          <w:tcPr>
            <w:tcW w:w="23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Serbia</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Andorra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Egypt</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Liechtenstein</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Sierra Leone</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Angola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El Salvador</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Lithuania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Argentina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Eritrea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Luxembourg</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Armenia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Estonia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Madagascar</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Solomon Islands</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Australia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Ethiopia</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Malaysia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Austria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Fiji</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Mali</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South Sudan</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Azerbaijan</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Finland</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Mauritania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Belarus</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France</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Mexico</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7"/>
              </w:rPr>
              <w:t>Sudan</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Belgium</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Georgia</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Mongolia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Suriname</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Benin</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Germany</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Morocco</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Bermuda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Ghana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Mozambique</w:t>
            </w:r>
          </w:p>
        </w:tc>
        <w:tc>
          <w:tcPr>
            <w:tcW w:w="23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Guam</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Myanmar</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6"/>
              </w:rPr>
              <w:t>Taiwan</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Botswana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Guatemala</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Namibia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Tajikistan</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Brazil</w:t>
            </w:r>
          </w:p>
        </w:tc>
        <w:tc>
          <w:tcPr>
            <w:tcW w:w="22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Guinea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Netherlands</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6"/>
              </w:rPr>
              <w:t>Tanzania</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Bulgaria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Guyana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New Zealand</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Burkina Faso</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Honduras</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Nicaragua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4"/>
              </w:rPr>
              <w:t>Togo</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Burundi</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Hong Kong</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Niger</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Cambodia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Hungary</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Nigeria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Uganda</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Canada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India</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Norway</w:t>
            </w:r>
          </w:p>
        </w:tc>
        <w:tc>
          <w:tcPr>
            <w:tcW w:w="23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United Arab Emirates</w:t>
            </w:r>
          </w:p>
        </w:tc>
      </w:tr>
      <w:tr>
        <w:trPr>
          <w:trHeight w:val="216"/>
        </w:trPr>
        <w:tc>
          <w:tcPr>
            <w:tcW w:w="288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Central African Republic</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Indonesia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Oman</w:t>
            </w:r>
          </w:p>
        </w:tc>
        <w:tc>
          <w:tcPr>
            <w:tcW w:w="23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Chile</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Ireland</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Panama</w:t>
            </w:r>
          </w:p>
        </w:tc>
        <w:tc>
          <w:tcPr>
            <w:tcW w:w="238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United States of America</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China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4"/>
              </w:rPr>
              <w:t>Israel</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Papua New Guinea</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Uruguay</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Colombia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Italy</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6"/>
              </w:rPr>
              <w:t>Peru</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Uzbekistan</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Congo</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Ivory Coast</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Philippines</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6"/>
              </w:rPr>
              <w:t>Vietnam</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Cyprus</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Japan</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Poland</w:t>
            </w:r>
          </w:p>
        </w:tc>
        <w:tc>
          <w:tcPr>
            <w:tcW w:w="23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Zambia</w:t>
            </w: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Democratic Republic of Congo</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Jersey</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Portugal</w:t>
            </w:r>
          </w:p>
        </w:tc>
        <w:tc>
          <w:tcPr>
            <w:tcW w:w="2380" w:type="dxa"/>
            <w:vAlign w:val="bottom"/>
          </w:tcPr>
          <w:p>
            <w:pPr>
              <w:spacing w:after="0"/>
              <w:rPr>
                <w:sz w:val="18"/>
                <w:szCs w:val="18"/>
                <w:color w:val="auto"/>
              </w:rPr>
            </w:pP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Djibouti</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Kazakhstan</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Russian Federation</w:t>
            </w:r>
          </w:p>
        </w:tc>
        <w:tc>
          <w:tcPr>
            <w:tcW w:w="2380" w:type="dxa"/>
            <w:vAlign w:val="bottom"/>
          </w:tcPr>
          <w:p>
            <w:pPr>
              <w:spacing w:after="0"/>
              <w:rPr>
                <w:sz w:val="18"/>
                <w:szCs w:val="18"/>
                <w:color w:val="auto"/>
              </w:rPr>
            </w:pP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Dominica</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Kenya</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Rwanda</w:t>
            </w:r>
          </w:p>
        </w:tc>
        <w:tc>
          <w:tcPr>
            <w:tcW w:w="2380" w:type="dxa"/>
            <w:vAlign w:val="bottom"/>
          </w:tcPr>
          <w:p>
            <w:pPr>
              <w:spacing w:after="0"/>
              <w:rPr>
                <w:sz w:val="18"/>
                <w:szCs w:val="18"/>
                <w:color w:val="auto"/>
              </w:rPr>
            </w:pPr>
          </w:p>
        </w:tc>
      </w:tr>
      <w:tr>
        <w:trPr>
          <w:trHeight w:val="216"/>
        </w:trPr>
        <w:tc>
          <w:tcPr>
            <w:tcW w:w="28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8"/>
              </w:rPr>
              <w:t>Dominican Republic</w:t>
            </w: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Korea</w:t>
            </w:r>
          </w:p>
        </w:tc>
        <w:tc>
          <w:tcPr>
            <w:tcW w:w="27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Saudi Arabia</w:t>
            </w:r>
          </w:p>
        </w:tc>
        <w:tc>
          <w:tcPr>
            <w:tcW w:w="2380" w:type="dxa"/>
            <w:vAlign w:val="bottom"/>
          </w:tcPr>
          <w:p>
            <w:pPr>
              <w:spacing w:after="0"/>
              <w:rPr>
                <w:sz w:val="18"/>
                <w:szCs w:val="18"/>
                <w:color w:val="auto"/>
              </w:rPr>
            </w:pPr>
          </w:p>
        </w:tc>
      </w:tr>
      <w:tr>
        <w:trPr>
          <w:trHeight w:val="234"/>
        </w:trPr>
        <w:tc>
          <w:tcPr>
            <w:tcW w:w="2880" w:type="dxa"/>
            <w:vAlign w:val="bottom"/>
          </w:tcPr>
          <w:p>
            <w:pPr>
              <w:spacing w:after="0"/>
              <w:rPr>
                <w:sz w:val="20"/>
                <w:szCs w:val="20"/>
                <w:color w:val="auto"/>
              </w:rPr>
            </w:pPr>
          </w:p>
        </w:tc>
        <w:tc>
          <w:tcPr>
            <w:tcW w:w="22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Kyrgyzstan</w:t>
            </w:r>
          </w:p>
        </w:tc>
        <w:tc>
          <w:tcPr>
            <w:tcW w:w="27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Senegal</w:t>
            </w:r>
          </w:p>
        </w:tc>
        <w:tc>
          <w:tcPr>
            <w:tcW w:w="238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0280"/>
      </w:cols>
      <w:pgMar w:left="86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4"/>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2025-05-30T06:02:46Z</dcterms:created>
  <dcterms:modified xsi:type="dcterms:W3CDTF">2025-05-30T06:02:46Z</dcterms:modified>
</cp:coreProperties>
</file>