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3, 2021</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1"/>
              </w:rPr>
              <w:t>Curaçao</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91"/>
              </w:rPr>
              <w:t>52-0684746</w:t>
            </w:r>
          </w:p>
        </w:tc>
      </w:tr>
      <w:tr>
        <w:trPr>
          <w:trHeight w:val="148"/>
        </w:trPr>
        <w:tc>
          <w:tcPr>
            <w:tcW w:w="4440" w:type="dxa"/>
            <w:vAlign w:val="bottom"/>
          </w:tcPr>
          <w:p>
            <w:pPr>
              <w:jc w:val="center"/>
              <w:ind w:right="175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80" w:type="dxa"/>
            <w:vAlign w:val="bottom"/>
          </w:tcPr>
          <w:p>
            <w:pPr>
              <w:jc w:val="center"/>
              <w:ind w:left="177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tcPr>
          <w:p>
            <w:pPr>
              <w:jc w:val="center"/>
              <w:ind w:right="1755"/>
              <w:spacing w:after="0"/>
              <w:rPr>
                <w:sz w:val="20"/>
                <w:szCs w:val="20"/>
                <w:color w:val="auto"/>
              </w:rPr>
            </w:pPr>
            <w:r>
              <w:rPr>
                <w:rFonts w:ascii="Arial" w:cs="Arial" w:eastAsia="Arial" w:hAnsi="Arial"/>
                <w:sz w:val="14"/>
                <w:szCs w:val="14"/>
                <w:b w:val="1"/>
                <w:bCs w:val="1"/>
                <w:color w:val="auto"/>
                <w:w w:val="94"/>
              </w:rPr>
              <w:t>incorporation or organization)</w:t>
            </w:r>
          </w:p>
        </w:tc>
        <w:tc>
          <w:tcPr>
            <w:tcW w:w="2980" w:type="dxa"/>
            <w:vAlign w:val="bottom"/>
          </w:tcPr>
          <w:p>
            <w:pPr>
              <w:jc w:val="center"/>
              <w:ind w:left="1777"/>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91"/>
              </w:rPr>
              <w:t>42 rue Saint-Dominique</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87"/>
              </w:rPr>
              <w:t>75007</w:t>
            </w:r>
          </w:p>
        </w:tc>
      </w:tr>
      <w:tr>
        <w:trPr>
          <w:trHeight w:val="234"/>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91"/>
              </w:rPr>
              <w:t>Paris, France</w:t>
            </w:r>
          </w:p>
        </w:tc>
        <w:tc>
          <w:tcPr>
            <w:tcW w:w="2980" w:type="dxa"/>
            <w:vAlign w:val="bottom"/>
          </w:tcPr>
          <w:p>
            <w:pPr>
              <w:spacing w:after="0"/>
              <w:rPr>
                <w:sz w:val="20"/>
                <w:szCs w:val="20"/>
                <w:color w:val="auto"/>
              </w:rPr>
            </w:pPr>
          </w:p>
        </w:tc>
      </w:tr>
      <w:tr>
        <w:trPr>
          <w:trHeight w:val="427"/>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88"/>
              </w:rPr>
              <w:t>5599 San Felipe</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87"/>
              </w:rPr>
              <w:t>77056</w:t>
            </w:r>
          </w:p>
        </w:tc>
      </w:tr>
      <w:tr>
        <w:trPr>
          <w:trHeight w:val="234"/>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89"/>
              </w:rPr>
              <w:t>Houston, Texas, U.S.A.</w:t>
            </w:r>
          </w:p>
        </w:tc>
        <w:tc>
          <w:tcPr>
            <w:tcW w:w="2980" w:type="dxa"/>
            <w:vAlign w:val="bottom"/>
          </w:tcPr>
          <w:p>
            <w:pPr>
              <w:spacing w:after="0"/>
              <w:rPr>
                <w:sz w:val="20"/>
                <w:szCs w:val="20"/>
                <w:color w:val="auto"/>
              </w:rPr>
            </w:pPr>
          </w:p>
        </w:tc>
      </w:tr>
      <w:tr>
        <w:trPr>
          <w:trHeight w:val="427"/>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0"/>
              </w:rPr>
              <w:t>62 Buckingham Gate</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94"/>
              </w:rPr>
              <w:t>SW1E 6AJ</w:t>
            </w:r>
          </w:p>
        </w:tc>
      </w:tr>
      <w:tr>
        <w:trPr>
          <w:trHeight w:val="234"/>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2"/>
              </w:rPr>
              <w:t>London, United Kingdom</w:t>
            </w:r>
          </w:p>
        </w:tc>
        <w:tc>
          <w:tcPr>
            <w:tcW w:w="2980" w:type="dxa"/>
            <w:vAlign w:val="bottom"/>
          </w:tcPr>
          <w:p>
            <w:pPr>
              <w:spacing w:after="0"/>
              <w:rPr>
                <w:sz w:val="20"/>
                <w:szCs w:val="20"/>
                <w:color w:val="auto"/>
              </w:rPr>
            </w:pPr>
          </w:p>
        </w:tc>
      </w:tr>
      <w:tr>
        <w:trPr>
          <w:trHeight w:val="427"/>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3"/>
              </w:rPr>
              <w:t>Parkstraat 83</w:t>
            </w:r>
          </w:p>
        </w:tc>
        <w:tc>
          <w:tcPr>
            <w:tcW w:w="2980" w:type="dxa"/>
            <w:vAlign w:val="bottom"/>
          </w:tcPr>
          <w:p>
            <w:pPr>
              <w:spacing w:after="0"/>
              <w:rPr>
                <w:sz w:val="24"/>
                <w:szCs w:val="24"/>
                <w:color w:val="auto"/>
              </w:rPr>
            </w:pPr>
          </w:p>
        </w:tc>
      </w:tr>
      <w:tr>
        <w:trPr>
          <w:trHeight w:val="225"/>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1"/>
              </w:rPr>
              <w:t>The Hague, The Netherlands</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92"/>
              </w:rPr>
              <w:t>2514 JG</w:t>
            </w:r>
          </w:p>
        </w:tc>
      </w:tr>
      <w:tr>
        <w:trPr>
          <w:trHeight w:val="186"/>
        </w:trPr>
        <w:tc>
          <w:tcPr>
            <w:tcW w:w="4440" w:type="dxa"/>
            <w:vAlign w:val="bottom"/>
          </w:tcPr>
          <w:p>
            <w:pPr>
              <w:jc w:val="center"/>
              <w:ind w:right="1775"/>
              <w:spacing w:after="0"/>
              <w:rPr>
                <w:sz w:val="20"/>
                <w:szCs w:val="20"/>
                <w:color w:val="auto"/>
              </w:rPr>
            </w:pPr>
            <w:r>
              <w:rPr>
                <w:rFonts w:ascii="Arial" w:cs="Arial" w:eastAsia="Arial" w:hAnsi="Arial"/>
                <w:sz w:val="14"/>
                <w:szCs w:val="14"/>
                <w:b w:val="1"/>
                <w:bCs w:val="1"/>
                <w:color w:val="auto"/>
                <w:w w:val="91"/>
              </w:rPr>
              <w:t>(Addresses of Principal Executive Offices)</w:t>
            </w:r>
          </w:p>
        </w:tc>
        <w:tc>
          <w:tcPr>
            <w:tcW w:w="2980" w:type="dxa"/>
            <w:vAlign w:val="bottom"/>
          </w:tcPr>
          <w:p>
            <w:pPr>
              <w:jc w:val="center"/>
              <w:ind w:left="1777"/>
              <w:spacing w:after="0"/>
              <w:rPr>
                <w:sz w:val="20"/>
                <w:szCs w:val="20"/>
                <w:color w:val="auto"/>
              </w:rPr>
            </w:pPr>
            <w:r>
              <w:rPr>
                <w:rFonts w:ascii="Arial" w:cs="Arial" w:eastAsia="Arial" w:hAnsi="Arial"/>
                <w:sz w:val="14"/>
                <w:szCs w:val="14"/>
                <w:b w:val="1"/>
                <w:bCs w:val="1"/>
                <w:color w:val="auto"/>
                <w:w w:val="93"/>
              </w:rPr>
              <w:t>(Zip Codes)</w:t>
            </w:r>
          </w:p>
        </w:tc>
      </w:tr>
    </w:tbl>
    <w:p>
      <w:pPr>
        <w:spacing w:after="0" w:line="183"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2017 SCHLUMBERGER OMNIBUS STOCK INCENTIVE PLAN</w:t>
      </w:r>
    </w:p>
    <w:p>
      <w:pPr>
        <w:spacing w:after="0" w:line="27"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SCHLUMBERGER DISCOUNTED STOCK PURCHASE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2004 STOCK AND DEFERRAL PLAN FOR NON-EMPLOYEE DIRECTORS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Dianne B. Ralston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Legal Officer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U.S.A.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7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7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2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76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9"/>
              </w:rPr>
              <w:t>Maximum</w:t>
            </w:r>
          </w:p>
        </w:tc>
        <w:tc>
          <w:tcPr>
            <w:tcW w:w="1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Offering Price</w:t>
            </w:r>
          </w:p>
        </w:tc>
        <w:tc>
          <w:tcPr>
            <w:tcW w:w="16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bl>
    <w:p>
      <w:pPr>
        <w:sectPr>
          <w:pgSz w:w="11900" w:h="16877" w:orient="portrait"/>
          <w:cols w:equalWidth="0" w:num="1">
            <w:col w:w="11020"/>
          </w:cols>
          <w:pgMar w:left="440" w:top="229" w:right="439" w:bottom="0" w:gutter="0" w:footer="0" w:header="0"/>
        </w:sectPr>
      </w:pPr>
    </w:p>
    <w:bookmarkStart w:id="1" w:name="page2"/>
    <w:bookmarkEnd w:id="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476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top w:val="single" w:sz="8" w:color="auto"/>
              <w:bottom w:val="single" w:sz="8" w:color="auto"/>
              <w:right w:val="single" w:sz="8" w:color="auto"/>
            </w:tcBorders>
          </w:tcPr>
          <w:p>
            <w:pPr>
              <w:spacing w:after="0"/>
              <w:rPr>
                <w:sz w:val="19"/>
                <w:szCs w:val="19"/>
                <w:color w:val="auto"/>
              </w:rPr>
            </w:pPr>
          </w:p>
        </w:tc>
        <w:tc>
          <w:tcPr>
            <w:tcW w:w="1520" w:type="dxa"/>
            <w:vAlign w:val="bottom"/>
            <w:tcBorders>
              <w:top w:val="single" w:sz="8" w:color="auto"/>
              <w:bottom w:val="single" w:sz="8" w:color="auto"/>
              <w:right w:val="single" w:sz="8" w:color="auto"/>
            </w:tcBorders>
          </w:tcPr>
          <w:p>
            <w:pPr>
              <w:spacing w:after="0"/>
              <w:rPr>
                <w:sz w:val="19"/>
                <w:szCs w:val="19"/>
                <w:color w:val="auto"/>
              </w:rPr>
            </w:pPr>
          </w:p>
        </w:tc>
        <w:tc>
          <w:tcPr>
            <w:tcW w:w="1680" w:type="dxa"/>
            <w:vAlign w:val="bottom"/>
            <w:tcBorders>
              <w:top w:val="single" w:sz="8" w:color="auto"/>
              <w:bottom w:val="single" w:sz="8" w:color="auto"/>
              <w:right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spacing w:after="0"/>
              <w:rPr>
                <w:sz w:val="19"/>
                <w:szCs w:val="19"/>
                <w:color w:val="auto"/>
              </w:rPr>
            </w:pPr>
          </w:p>
        </w:tc>
      </w:tr>
      <w:tr>
        <w:trPr>
          <w:trHeight w:val="209"/>
        </w:trPr>
        <w:tc>
          <w:tcPr>
            <w:tcW w:w="7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9"/>
              </w:rPr>
              <w:t>2017</w:t>
            </w:r>
          </w:p>
        </w:tc>
        <w:tc>
          <w:tcPr>
            <w:tcW w:w="4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Schlumberger Omnibus Stock 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36,806,947(2)</w:t>
            </w:r>
          </w:p>
        </w:tc>
        <w:tc>
          <w:tcPr>
            <w:tcW w:w="15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$28.78(3)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$1,059,303,934.66(3)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$98,197.48</w:t>
            </w:r>
          </w:p>
        </w:tc>
      </w:tr>
      <w:tr>
        <w:trPr>
          <w:trHeight w:val="210"/>
        </w:trPr>
        <w:tc>
          <w:tcPr>
            <w:tcW w:w="4760" w:type="dxa"/>
            <w:vAlign w:val="bottom"/>
            <w:tcBorders>
              <w:bottom w:val="single" w:sz="8" w:color="auto"/>
              <w:right w:val="single" w:sz="8" w:color="auto"/>
            </w:tcBorders>
            <w:gridSpan w:val="2"/>
          </w:tcPr>
          <w:p>
            <w:pPr>
              <w:ind w:left="360"/>
              <w:spacing w:after="0"/>
              <w:rPr>
                <w:sz w:val="20"/>
                <w:szCs w:val="20"/>
                <w:color w:val="auto"/>
              </w:rPr>
            </w:pPr>
            <w:r>
              <w:rPr>
                <w:rFonts w:ascii="Arial" w:cs="Arial" w:eastAsia="Arial" w:hAnsi="Arial"/>
                <w:sz w:val="18"/>
                <w:szCs w:val="18"/>
                <w:color w:val="auto"/>
              </w:rPr>
              <w:t>Schlumberger Discounted Stock Purchase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20,000,000</w:t>
            </w:r>
          </w:p>
        </w:tc>
        <w:tc>
          <w:tcPr>
            <w:tcW w:w="15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$26.62(4)</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$532,400,000.00(4)</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$49,353.48</w:t>
            </w:r>
          </w:p>
        </w:tc>
      </w:tr>
      <w:tr>
        <w:trPr>
          <w:trHeight w:val="209"/>
        </w:trPr>
        <w:tc>
          <w:tcPr>
            <w:tcW w:w="7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9"/>
              </w:rPr>
              <w:t>2004</w:t>
            </w:r>
          </w:p>
        </w:tc>
        <w:tc>
          <w:tcPr>
            <w:tcW w:w="4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Stock and Deferral Plan for Non-Employee Directors</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600,000</w:t>
            </w:r>
          </w:p>
        </w:tc>
        <w:tc>
          <w:tcPr>
            <w:tcW w:w="15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$28.78(3)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$17,268,000.00(3)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$1,600.74</w:t>
            </w:r>
          </w:p>
        </w:tc>
      </w:tr>
      <w:tr>
        <w:trPr>
          <w:trHeight w:val="209"/>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0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57,406,947</w:t>
            </w:r>
          </w:p>
        </w:tc>
        <w:tc>
          <w:tcPr>
            <w:tcW w:w="15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$1,608,971,934.66</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$149,151.70</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60" w:hanging="424"/>
        <w:spacing w:after="0" w:line="254"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this Registration Statement shall also include such additional indeterminate number of shares of common stock that may become issuable under the 2017 Schlumberger Omnibus Stock Incentive Plan, the Schlumberger Discounted Stock Purchase Plan and the 2004 Stock and Deferral Plan for Non-Employee Directors as a result of stock splits, stock dividends or similar transactions.</w:t>
      </w:r>
    </w:p>
    <w:p>
      <w:pPr>
        <w:spacing w:after="0" w:line="2" w:lineRule="exact"/>
        <w:rPr>
          <w:rFonts w:ascii="Arial" w:cs="Arial" w:eastAsia="Arial" w:hAnsi="Arial"/>
          <w:sz w:val="18"/>
          <w:szCs w:val="18"/>
          <w:color w:val="auto"/>
        </w:rPr>
      </w:pPr>
    </w:p>
    <w:p>
      <w:pPr>
        <w:ind w:left="424" w:right="4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1,806,947 shares of common stock that were subject to awards that expired, were cancelled, forfeited or otherwise terminated without shares being issued as of November 15, 2021, and that are available for future grants under the 2017 Schlumberger Omnibus Stock Incentive Plan.</w:t>
      </w:r>
    </w:p>
    <w:p>
      <w:pPr>
        <w:spacing w:after="0" w:line="1" w:lineRule="exact"/>
        <w:rPr>
          <w:rFonts w:ascii="Arial" w:cs="Arial" w:eastAsia="Arial" w:hAnsi="Arial"/>
          <w:sz w:val="16"/>
          <w:szCs w:val="16"/>
          <w:color w:val="auto"/>
        </w:rPr>
      </w:pPr>
    </w:p>
    <w:p>
      <w:pPr>
        <w:ind w:left="424" w:right="40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457(c) and 457(h)(1), based on the average of the high and low prices for the common stock of Schlumberger Limited reported on the New York Stock Exchange on December 2, 2021.</w:t>
      </w:r>
    </w:p>
    <w:p>
      <w:pPr>
        <w:ind w:left="424" w:right="6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457(c) and 457(h)(1), based on a 7.5% discount from the average of the high and low prices for the common stock of Schlumberger Limited reported on the New York Stock Exchange on December 2, 2021, such discount representing the maximum permissible discount offered pursuant to such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33"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Registration Statement on Form S-8 is being filed by Schlumberger Limited (Schlumberger N.V.), a Curaçao corporation (“Schlumberger” or the “Registrant”) to register:</w:t>
      </w:r>
    </w:p>
    <w:p>
      <w:pPr>
        <w:spacing w:after="0" w:line="76" w:lineRule="exact"/>
        <w:rPr>
          <w:sz w:val="20"/>
          <w:szCs w:val="20"/>
          <w:color w:val="auto"/>
        </w:rPr>
      </w:pPr>
    </w:p>
    <w:p>
      <w:pPr>
        <w:ind w:left="960" w:right="80" w:hanging="424"/>
        <w:spacing w:after="0" w:line="296"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up to 36,806,947 shares of common stock, par value $0.01 per share, of Schlumberger (“Common Stock”) issuable under the 2017 Schlumberger Omnibus Stock Incentive Plan, as amended and restated effective January 21, 2021. This amount includes 1,806,947 shares of Common Stock that were subject to awards that expired, were cancelled, forfeited or otherwise terminated without shares being issued and are available for future grants under the 2017 Schlumberger Omnibus Stock Incentive Plan. In addition, 2,392,276 shares authorized for issuance under the 2017 Schlumberger Omnibus Stock Incentive Plan remain registered on Form S-8 file number 333-218181;</w:t>
      </w:r>
    </w:p>
    <w:p>
      <w:pPr>
        <w:spacing w:after="0" w:line="66" w:lineRule="exact"/>
        <w:rPr>
          <w:rFonts w:ascii="Arial" w:cs="Arial" w:eastAsia="Arial" w:hAnsi="Arial"/>
          <w:sz w:val="16"/>
          <w:szCs w:val="16"/>
          <w:color w:val="auto"/>
        </w:rPr>
      </w:pPr>
    </w:p>
    <w:p>
      <w:pPr>
        <w:ind w:left="960" w:right="32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20,000,000 shares of Common Stock issuable under the Schlumberger Discounted Stock Purchase Plan, as amended and restated effective January 1, 2021; and</w:t>
      </w:r>
    </w:p>
    <w:p>
      <w:pPr>
        <w:spacing w:after="0" w:line="75" w:lineRule="exact"/>
        <w:rPr>
          <w:rFonts w:ascii="Arial" w:cs="Arial" w:eastAsia="Arial" w:hAnsi="Arial"/>
          <w:sz w:val="18"/>
          <w:szCs w:val="18"/>
          <w:color w:val="auto"/>
        </w:rPr>
      </w:pPr>
    </w:p>
    <w:p>
      <w:pPr>
        <w:ind w:left="960" w:right="28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600,000 shares of Common Stock issuable under the 2004 Stock and Deferral Plan for Non-Employee Directors, as amended and restated effective January 21, 2021.</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Plan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Registrant Information and Employee Plan Annual Information.</w:t>
      </w:r>
    </w:p>
    <w:p>
      <w:pPr>
        <w:spacing w:after="0" w:line="12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document(s) containing the information required by Item 1 of Form S-8 and the statement of availability of Registrant information and other information required by Item 2 of Form S-8 will be sent or given to employees, officers, directors or others as specified by Rule 428 under the Securities Act of 1933, as amended (the “Securities Act”). In accordance with Rule 428 and the requirements of Part I of Form S-8, such documents are not being filed with the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0980"/>
          </w:cols>
          <w:pgMar w:left="440" w:top="270" w:right="4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Incorporation of Documents by Reference.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Registration Statement incorporates herein by reference the following documents, which have been filed with the Commission by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Registrant (SEC File No. 001-04601) pursuant to the Securities Act and the Securities Exchange Act of 1934, as amended (the “Exchange Act”):</w:t>
      </w:r>
    </w:p>
    <w:p>
      <w:pPr>
        <w:spacing w:after="0" w:line="128" w:lineRule="exact"/>
        <w:rPr>
          <w:sz w:val="20"/>
          <w:szCs w:val="20"/>
          <w:color w:val="auto"/>
        </w:rPr>
      </w:pPr>
    </w:p>
    <w:p>
      <w:pPr>
        <w:jc w:val="both"/>
        <w:ind w:left="960" w:right="320" w:hanging="532"/>
        <w:spacing w:after="0" w:line="342"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Registrant’s </w:t>
      </w:r>
      <w:hyperlink r:id="rId20">
        <w:r>
          <w:rPr>
            <w:rFonts w:ascii="Arial" w:cs="Arial" w:eastAsia="Arial" w:hAnsi="Arial"/>
            <w:sz w:val="16"/>
            <w:szCs w:val="16"/>
            <w:u w:val="single" w:color="auto"/>
            <w:color w:val="0000EE"/>
          </w:rPr>
          <w:t>Annual Report on Form 10-K for the fiscal year ended December 31, 2020</w:t>
        </w:r>
      </w:hyperlink>
      <w:r>
        <w:rPr>
          <w:rFonts w:ascii="Arial" w:cs="Arial" w:eastAsia="Arial" w:hAnsi="Arial"/>
          <w:sz w:val="16"/>
          <w:szCs w:val="16"/>
          <w:color w:val="auto"/>
        </w:rPr>
        <w:t xml:space="preserve">, as filed with the SEC on January 27, 2021 (including the portions of our </w:t>
      </w:r>
      <w:hyperlink r:id="rId21">
        <w:r>
          <w:rPr>
            <w:rFonts w:ascii="Arial" w:cs="Arial" w:eastAsia="Arial" w:hAnsi="Arial"/>
            <w:sz w:val="16"/>
            <w:szCs w:val="16"/>
            <w:u w:val="single" w:color="auto"/>
            <w:color w:val="0000EE"/>
          </w:rPr>
          <w:t>proxy statement for our 2021 annual general meeting of stockholders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incorporated by reference therein);</w:t>
      </w:r>
    </w:p>
    <w:p>
      <w:pPr>
        <w:spacing w:after="0" w:line="29" w:lineRule="exact"/>
        <w:rPr>
          <w:rFonts w:ascii="Arial" w:cs="Arial" w:eastAsia="Arial" w:hAnsi="Arial"/>
          <w:sz w:val="16"/>
          <w:szCs w:val="16"/>
          <w:color w:val="auto"/>
        </w:rPr>
      </w:pPr>
    </w:p>
    <w:p>
      <w:pPr>
        <w:ind w:left="960" w:right="160" w:hanging="53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Registrant’s Quarterly Reports on Form 10-Q for the quarter ended </w:t>
      </w:r>
      <w:hyperlink r:id="rId22">
        <w:r>
          <w:rPr>
            <w:rFonts w:ascii="Arial" w:cs="Arial" w:eastAsia="Arial" w:hAnsi="Arial"/>
            <w:sz w:val="18"/>
            <w:szCs w:val="18"/>
            <w:u w:val="single" w:color="auto"/>
            <w:color w:val="0000EE"/>
          </w:rPr>
          <w:t>March 31, 2021</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June 30,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4">
        <w:r>
          <w:rPr>
            <w:rFonts w:ascii="Arial" w:cs="Arial" w:eastAsia="Arial" w:hAnsi="Arial"/>
            <w:sz w:val="18"/>
            <w:szCs w:val="18"/>
            <w:u w:val="single" w:color="auto"/>
            <w:color w:val="0000EE"/>
          </w:rPr>
          <w:t>September 30, 2021</w:t>
        </w:r>
      </w:hyperlink>
      <w:r>
        <w:rPr>
          <w:rFonts w:ascii="Arial" w:cs="Arial" w:eastAsia="Arial" w:hAnsi="Arial"/>
          <w:sz w:val="18"/>
          <w:szCs w:val="18"/>
          <w:color w:val="auto"/>
        </w:rPr>
        <w:t>, as filed with the SEC on April 28, 2021, July 27, 2021 and October 27, 2021, respectively;</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3"/>
        </w:numPr>
        <w:rPr>
          <w:rFonts w:ascii="Arial" w:cs="Arial" w:eastAsia="Arial" w:hAnsi="Arial"/>
          <w:sz w:val="18"/>
          <w:szCs w:val="18"/>
          <w:color w:val="0000EE"/>
        </w:rPr>
      </w:pPr>
      <w:r>
        <w:rPr>
          <w:rFonts w:ascii="Arial" w:cs="Arial" w:eastAsia="Arial" w:hAnsi="Arial"/>
          <w:sz w:val="18"/>
          <w:szCs w:val="18"/>
          <w:color w:val="auto"/>
        </w:rPr>
        <w:t xml:space="preserve">the Registrant’s Current Reports on Form 8-K filed with the SEC on </w:t>
      </w:r>
      <w:hyperlink r:id="rId25">
        <w:r>
          <w:rPr>
            <w:rFonts w:ascii="Arial" w:cs="Arial" w:eastAsia="Arial" w:hAnsi="Arial"/>
            <w:sz w:val="18"/>
            <w:szCs w:val="18"/>
            <w:u w:val="single" w:color="auto"/>
            <w:color w:val="0000EE"/>
          </w:rPr>
          <w:t>January 25, 2021</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February 12, 2021</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April 7, 2021</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April 26, 2021</w:t>
        </w:r>
      </w:hyperlink>
      <w:r>
        <w:rPr>
          <w:rFonts w:ascii="Arial" w:cs="Arial" w:eastAsia="Arial" w:hAnsi="Arial"/>
          <w:sz w:val="18"/>
          <w:szCs w:val="18"/>
          <w:color w:val="auto"/>
        </w:rPr>
        <w:t xml:space="preserve">, </w:t>
      </w:r>
      <w:hyperlink r:id="rId29">
        <w:r>
          <w:rPr>
            <w:rFonts w:ascii="Arial" w:cs="Arial" w:eastAsia="Arial" w:hAnsi="Arial"/>
            <w:sz w:val="18"/>
            <w:szCs w:val="18"/>
            <w:u w:val="single" w:color="auto"/>
            <w:color w:val="0000EE"/>
          </w:rPr>
          <w:t>July 13, 2021</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0">
        <w:r>
          <w:rPr>
            <w:rFonts w:ascii="Arial" w:cs="Arial" w:eastAsia="Arial" w:hAnsi="Arial"/>
            <w:sz w:val="18"/>
            <w:szCs w:val="18"/>
            <w:u w:val="single" w:color="auto"/>
            <w:color w:val="0000EE"/>
          </w:rPr>
          <w:t>October 27,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ind w:left="960" w:right="240" w:hanging="53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the Common Stock contained in </w:t>
      </w:r>
      <w:hyperlink r:id="rId31">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Registrant’s Annual Report on Form 10-K for the fiscal year ended December 31, 2020, as filed with the SEC on January 27, 2021, and as subsequently amended or updated.</w:t>
      </w:r>
    </w:p>
    <w:p>
      <w:pPr>
        <w:spacing w:after="0" w:line="170" w:lineRule="exact"/>
        <w:rPr>
          <w:rFonts w:ascii="Arial" w:cs="Arial" w:eastAsia="Arial" w:hAnsi="Arial"/>
          <w:sz w:val="18"/>
          <w:szCs w:val="18"/>
          <w:color w:val="0000EE"/>
        </w:rPr>
      </w:pPr>
    </w:p>
    <w:p>
      <w:pPr>
        <w:ind w:right="40" w:firstLine="440"/>
        <w:spacing w:after="0" w:line="259" w:lineRule="auto"/>
        <w:rPr>
          <w:sz w:val="20"/>
          <w:szCs w:val="20"/>
          <w:color w:val="auto"/>
        </w:rPr>
      </w:pPr>
      <w:r>
        <w:rPr>
          <w:rFonts w:ascii="Arial" w:cs="Arial" w:eastAsia="Arial" w:hAnsi="Arial"/>
          <w:sz w:val="18"/>
          <w:szCs w:val="18"/>
          <w:color w:val="auto"/>
        </w:rPr>
        <w:t>Each document filed by the Registrant pursuant to Sections 13(a), 13(c), 14 or 15(d) of the Exchange Act, subsequent to the date of this Registration Statement and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such documents.</w:t>
      </w:r>
    </w:p>
    <w:p>
      <w:pPr>
        <w:spacing w:after="0" w:line="187" w:lineRule="exact"/>
        <w:rPr>
          <w:rFonts w:ascii="Arial" w:cs="Arial" w:eastAsia="Arial" w:hAnsi="Arial"/>
          <w:sz w:val="18"/>
          <w:szCs w:val="18"/>
          <w:color w:val="0000EE"/>
        </w:rPr>
      </w:pPr>
    </w:p>
    <w:p>
      <w:pPr>
        <w:ind w:right="120" w:firstLine="440"/>
        <w:spacing w:after="0" w:line="301" w:lineRule="auto"/>
        <w:rPr>
          <w:sz w:val="20"/>
          <w:szCs w:val="20"/>
          <w:color w:val="auto"/>
        </w:rPr>
      </w:pPr>
      <w:r>
        <w:rPr>
          <w:rFonts w:ascii="Arial" w:cs="Arial" w:eastAsia="Arial" w:hAnsi="Arial"/>
          <w:sz w:val="16"/>
          <w:szCs w:val="16"/>
          <w:color w:val="auto"/>
        </w:rPr>
        <w:t>Any statement contained in this Registration Statement, in an amendment hereto or in a document incorporated by reference herein shall be deemed to be modified or superseded for purposes of this Registration Statement to the extent that a statement contained herein or in any subsequently 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26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Description of Securities.</w:t>
      </w:r>
    </w:p>
    <w:p>
      <w:pPr>
        <w:spacing w:after="0" w:line="121" w:lineRule="exact"/>
        <w:rPr>
          <w:rFonts w:ascii="Arial" w:cs="Arial" w:eastAsia="Arial" w:hAnsi="Arial"/>
          <w:sz w:val="18"/>
          <w:szCs w:val="18"/>
          <w:color w:val="0000EE"/>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Interests of Named Experts and Counsel.</w:t>
      </w:r>
    </w:p>
    <w:p>
      <w:pPr>
        <w:spacing w:after="0" w:line="121" w:lineRule="exact"/>
        <w:rPr>
          <w:rFonts w:ascii="Arial" w:cs="Arial" w:eastAsia="Arial" w:hAnsi="Arial"/>
          <w:sz w:val="18"/>
          <w:szCs w:val="18"/>
          <w:color w:val="0000EE"/>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Indemnification of Directors and Officers.</w:t>
      </w:r>
    </w:p>
    <w:p>
      <w:pPr>
        <w:spacing w:after="0" w:line="121" w:lineRule="exact"/>
        <w:rPr>
          <w:rFonts w:ascii="Arial" w:cs="Arial" w:eastAsia="Arial" w:hAnsi="Arial"/>
          <w:sz w:val="18"/>
          <w:szCs w:val="18"/>
          <w:color w:val="0000EE"/>
        </w:rPr>
      </w:pPr>
    </w:p>
    <w:p>
      <w:pPr>
        <w:ind w:right="60" w:firstLine="440"/>
        <w:spacing w:after="0" w:line="273" w:lineRule="auto"/>
        <w:rPr>
          <w:sz w:val="20"/>
          <w:szCs w:val="20"/>
          <w:color w:val="auto"/>
        </w:rPr>
      </w:pPr>
      <w:r>
        <w:rPr>
          <w:rFonts w:ascii="Arial" w:cs="Arial" w:eastAsia="Arial" w:hAnsi="Arial"/>
          <w:sz w:val="17"/>
          <w:szCs w:val="17"/>
          <w:color w:val="auto"/>
        </w:rPr>
        <w:t>Article 10 of Schlumberger’s Articles of Incorporation and Article V of Schlumberger’s Amended and Restated By-laws contain provisions providing for indemnification of Schlumberger’s directors, officers, employees and agents. Article 10 of the Articles of Incorporation permits (but does not require) Schlumberger to indemnify directors, officers, employees and agents, except that indemnification is mandatory with respect to a current or former officer or director in the event of a “Change of Control” (as defined below) or if such current or former officer or director has been successful on the merits or otherwise in the defense of any action, suit or proceeding. Article V of Schlumberger’s Amended and Restated By-laws contains mandatory indemnification for current and former directors and officers as described below.</w:t>
      </w:r>
    </w:p>
    <w:p>
      <w:pPr>
        <w:spacing w:after="0" w:line="110"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70" w:right="459" w:bottom="1440" w:gutter="0" w:footer="0" w:header="0"/>
        </w:sectPr>
      </w:pPr>
    </w:p>
    <w:bookmarkStart w:id="4" w:name="page5"/>
    <w:bookmarkEnd w:id="4"/>
    <w:p>
      <w:pPr>
        <w:ind w:right="2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fullest extent permitted by applicable law, Schlumberger will indemnify any person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Schlumberger, and, with respect to any criminal action or proceeding, had reasonable cause to believe that such person’s conduct was unlawful.</w:t>
      </w:r>
    </w:p>
    <w:p>
      <w:pPr>
        <w:spacing w:after="0" w:line="182"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Schlumberger is required to indemnify any current or former officer or director of Schlumberger to the fullest extent allowed by the preceding paragraphs in the event of a “Change of Control.” “Change of Control” means a change in control of Schlumberger, which will be deemed to have occurred if at any time:</w:t>
      </w:r>
    </w:p>
    <w:p>
      <w:pPr>
        <w:spacing w:after="0" w:line="89" w:lineRule="exact"/>
        <w:rPr>
          <w:sz w:val="20"/>
          <w:szCs w:val="20"/>
          <w:color w:val="auto"/>
        </w:rPr>
      </w:pPr>
    </w:p>
    <w:p>
      <w:pPr>
        <w:ind w:left="960" w:right="120" w:hanging="424"/>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our board of directors in office immediately prior to such entity, person or organization attaining such percentage interest;</w:t>
      </w:r>
    </w:p>
    <w:p>
      <w:pPr>
        <w:spacing w:after="0" w:line="92" w:lineRule="exact"/>
        <w:rPr>
          <w:rFonts w:ascii="Arial" w:cs="Arial" w:eastAsia="Arial" w:hAnsi="Arial"/>
          <w:sz w:val="18"/>
          <w:szCs w:val="18"/>
          <w:color w:val="auto"/>
        </w:rPr>
      </w:pPr>
    </w:p>
    <w:p>
      <w:pPr>
        <w:ind w:left="960" w:right="34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 is a party to a merger, consolidation, share exchange, sale of assets or other reorganization, or a proxy contest, as a consequence of which members of our board of directors in office immediately prior to such transaction or event constitute less than a majority of our board of directors thereafter; or</w:t>
      </w:r>
    </w:p>
    <w:p>
      <w:pPr>
        <w:spacing w:after="0" w:line="89" w:lineRule="exact"/>
        <w:rPr>
          <w:rFonts w:ascii="Arial" w:cs="Arial" w:eastAsia="Arial" w:hAnsi="Arial"/>
          <w:sz w:val="18"/>
          <w:szCs w:val="18"/>
          <w:color w:val="auto"/>
        </w:rPr>
      </w:pPr>
    </w:p>
    <w:p>
      <w:pPr>
        <w:ind w:left="960" w:right="40" w:hanging="424"/>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any 15-month period, individuals who at the beginning of such period constituted our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our board of directors.</w:t>
      </w:r>
    </w:p>
    <w:p>
      <w:pPr>
        <w:spacing w:after="0" w:line="18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To the fullest extent permitted by applicable law, Schlumberger will indemnify any current or former director or officer who was or is a party or is threatened to be made a party to any threatened, pending or completed action or suit by or in the right of Schlumberger to procure a judgment in Schlumberger’s favor by reason of the fact that such person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Schlumberger and except that no indemnification may be made with respect to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 (as defined above).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60"/>
          </w:cols>
          <w:pgMar w:left="440" w:top="274" w:right="499" w:bottom="1440" w:gutter="0" w:footer="0" w:header="0"/>
        </w:sectPr>
      </w:pPr>
    </w:p>
    <w:bookmarkStart w:id="5" w:name="page6"/>
    <w:bookmarkEnd w:id="5"/>
    <w:p>
      <w:pPr>
        <w:jc w:val="both"/>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indemnification under the preceding three paragraphs (unless ordered by a court) may be extended to current or former employees or agents of Schlumberger only as authorized by the Chief Executive Officer or by contract approved, or by-laws, resolution or other action adopted or taken, by Schlumberger’s board of directors or by Schlumberger’s stockholders.</w:t>
      </w:r>
    </w:p>
    <w:p>
      <w:pPr>
        <w:spacing w:after="0" w:line="18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Expenses (including attorneys’ fees) incurred by a current or former director or a current officer in defending any civil or criminal, administrative or investigative action, suit or proceeding will be paid by Schlumberger in advance of the final disposition of such action, suit or proceeding upon receipt of an undertaking by or on behalf of such person to repay such amount if it is ultimately determined that such person is not entitled to be indemnified by Schlumberger.</w:t>
      </w:r>
    </w:p>
    <w:p>
      <w:pPr>
        <w:spacing w:after="0" w:line="18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Schlumberger may pay such expenses (including attorneys’ fees) incurred by former officers or other employees and agents upon such terms and conditions, if any, it deems appropriate.</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88"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or entity against any liability asserted against that person and incurred by that person in any of those capacities or arising out of such person’s status as such, whether or not Schlumberger would have the power to indemnify such person against such liability.</w:t>
      </w:r>
    </w:p>
    <w:p>
      <w:pPr>
        <w:spacing w:after="0" w:line="17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References in this item 6 to Schlumberger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78"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References in this item 6 to “other enterprises” includes employee benefit plans; references to “fines” includes any excise taxes assessed on a person with respect to any employee benefit plan; and references to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will be deemed to have acted in a manner “not opposed to the best interests of Schlumberger.”</w:t>
      </w:r>
    </w:p>
    <w:p>
      <w:pPr>
        <w:spacing w:after="0" w:line="192"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A member of our board of directors, or a member of any committee designated by our board of directors, will, in the performance of such member’s duties, be fully protected in relying in good faith upon the records of Schlumberger and upon such information, opinions, reports or statements presented to Schlumberger by any of Schlumberger’s officers or employees, or committees of our board of directors, or by any other person as to matters the member reasonably believes are within such other person’s professional or expert competence and who has been selected with reasonable care by or on behalf of Schlumberger.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4" w:right="459" w:bottom="1440" w:gutter="0" w:footer="0" w:header="0"/>
        </w:sectPr>
      </w:pPr>
    </w:p>
    <w:bookmarkStart w:id="6" w:name="page7"/>
    <w:bookmarkEnd w:id="6"/>
    <w:p>
      <w:pPr>
        <w:ind w:left="4"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Schlumberger maintains directors’ and officers’ liability insurance that insures against certain liabilities that the officers and directors of Schlumberger may incur in such capacities.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Exemption from Registration Claimed.</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420" w:type="dxa"/>
            <w:vAlign w:val="bottom"/>
            <w:gridSpan w:val="9"/>
            <w:vMerge w:val="restart"/>
          </w:tcPr>
          <w:p>
            <w:pPr>
              <w:ind w:left="10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3560" w:type="dxa"/>
            <w:vAlign w:val="bottom"/>
            <w:tcBorders>
              <w:bottom w:val="single" w:sz="8" w:color="auto"/>
            </w:tcBorders>
          </w:tcPr>
          <w:p>
            <w:pPr>
              <w:spacing w:after="0"/>
              <w:rPr>
                <w:sz w:val="14"/>
                <w:szCs w:val="14"/>
                <w:color w:val="auto"/>
              </w:rPr>
            </w:pPr>
          </w:p>
        </w:tc>
        <w:tc>
          <w:tcPr>
            <w:tcW w:w="6420" w:type="dxa"/>
            <w:vAlign w:val="bottom"/>
            <w:tcBorders>
              <w:bottom w:val="single" w:sz="8" w:color="auto"/>
            </w:tcBorders>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2"/>
                <w:szCs w:val="22"/>
                <w:color w:val="auto"/>
              </w:rPr>
            </w:pPr>
          </w:p>
        </w:tc>
        <w:tc>
          <w:tcPr>
            <w:tcW w:w="9840" w:type="dxa"/>
            <w:vAlign w:val="bottom"/>
            <w:tcBorders>
              <w:bottom w:val="single" w:sz="8" w:color="0000EE"/>
            </w:tcBorders>
            <w:gridSpan w:val="8"/>
          </w:tcPr>
          <w:p>
            <w:pPr>
              <w:spacing w:after="0"/>
              <w:rPr>
                <w:rFonts w:ascii="Arial" w:cs="Arial" w:eastAsia="Arial" w:hAnsi="Arial"/>
                <w:sz w:val="18"/>
                <w:szCs w:val="18"/>
                <w:color w:val="0000EE"/>
                <w:w w:val="91"/>
              </w:rPr>
            </w:pPr>
            <w:hyperlink r:id="rId35">
              <w:r>
                <w:rPr>
                  <w:rFonts w:ascii="Arial" w:cs="Arial" w:eastAsia="Arial" w:hAnsi="Arial"/>
                  <w:sz w:val="18"/>
                  <w:szCs w:val="18"/>
                  <w:color w:val="0000EE"/>
                  <w:w w:val="91"/>
                </w:rPr>
                <w:t>Articles of Incorporation of Schlumberger Limited (Schlumberger N.V.), as last amended on April 6, 2016 (incorporated by reference to</w:t>
              </w:r>
            </w:hyperlink>
          </w:p>
        </w:tc>
        <w:tc>
          <w:tcPr>
            <w:tcW w:w="1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Exhibit 3.1 to Schlumberger’s Current Report on Form 8-K filed on April 6, 2016).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980" w:type="dxa"/>
            <w:vAlign w:val="bottom"/>
            <w:gridSpan w:val="10"/>
          </w:tcPr>
          <w:p>
            <w:pPr>
              <w:spacing w:after="0"/>
              <w:rPr>
                <w:rFonts w:ascii="Arial" w:cs="Arial" w:eastAsia="Arial" w:hAnsi="Arial"/>
                <w:sz w:val="18"/>
                <w:szCs w:val="18"/>
                <w:color w:val="0000EE"/>
                <w:w w:val="92"/>
              </w:rPr>
            </w:pPr>
            <w:hyperlink r:id="rId36">
              <w:r>
                <w:rPr>
                  <w:rFonts w:ascii="Arial" w:cs="Arial" w:eastAsia="Arial" w:hAnsi="Arial"/>
                  <w:sz w:val="18"/>
                  <w:szCs w:val="18"/>
                  <w:color w:val="0000EE"/>
                  <w:w w:val="92"/>
                </w:rPr>
                <w:t>Amended and Restated Bylaws of Schlumberger Limited (Schlumberger N.V.) (incorporated by reference to Exhibit 3 to Schlumberger’s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Current Report on Form 8-K filed July 22, 2019).</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980" w:type="dxa"/>
            <w:vAlign w:val="bottom"/>
            <w:gridSpan w:val="10"/>
          </w:tcPr>
          <w:p>
            <w:pPr>
              <w:spacing w:after="0"/>
              <w:rPr>
                <w:rFonts w:ascii="Arial" w:cs="Arial" w:eastAsia="Arial" w:hAnsi="Arial"/>
                <w:sz w:val="18"/>
                <w:szCs w:val="18"/>
                <w:color w:val="0000EE"/>
                <w:w w:val="93"/>
              </w:rPr>
            </w:pPr>
            <w:hyperlink r:id="rId37">
              <w:r>
                <w:rPr>
                  <w:rFonts w:ascii="Arial" w:cs="Arial" w:eastAsia="Arial" w:hAnsi="Arial"/>
                  <w:sz w:val="18"/>
                  <w:szCs w:val="18"/>
                  <w:color w:val="0000EE"/>
                  <w:w w:val="93"/>
                </w:rPr>
                <w:t>Schlumberger 2017 Omnibus Stock Incentive Plan, as amended and restated effective January 21, 2021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37">
              <w:r>
                <w:rPr>
                  <w:rFonts w:ascii="Arial" w:cs="Arial" w:eastAsia="Arial" w:hAnsi="Arial"/>
                  <w:sz w:val="18"/>
                  <w:szCs w:val="18"/>
                  <w:color w:val="0000EE"/>
                  <w:w w:val="92"/>
                </w:rPr>
                <w:t>Exhibit 10.1 to Schlumberger’s Current Report on Form 8-K filed on April 7, 2021).</w:t>
              </w:r>
            </w:hyperlink>
          </w:p>
        </w:tc>
        <w:tc>
          <w:tcPr>
            <w:tcW w:w="3540" w:type="dxa"/>
            <w:vAlign w:val="bottom"/>
            <w:tcBorders>
              <w:top w:val="single" w:sz="8" w:color="0000EE"/>
            </w:tcBorders>
            <w:gridSpan w:val="2"/>
          </w:tcPr>
          <w:p>
            <w:pPr>
              <w:spacing w:after="0"/>
              <w:rPr>
                <w:sz w:val="17"/>
                <w:szCs w:val="17"/>
                <w:color w:val="auto"/>
              </w:rPr>
            </w:pPr>
          </w:p>
        </w:tc>
        <w:tc>
          <w:tcPr>
            <w:tcW w:w="3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9980" w:type="dxa"/>
            <w:vAlign w:val="bottom"/>
            <w:gridSpan w:val="10"/>
          </w:tcPr>
          <w:p>
            <w:pPr>
              <w:spacing w:after="0"/>
              <w:rPr>
                <w:rFonts w:ascii="Arial" w:cs="Arial" w:eastAsia="Arial" w:hAnsi="Arial"/>
                <w:sz w:val="18"/>
                <w:szCs w:val="18"/>
                <w:color w:val="0000EE"/>
                <w:w w:val="90"/>
              </w:rPr>
            </w:pPr>
            <w:hyperlink r:id="rId38">
              <w:r>
                <w:rPr>
                  <w:rFonts w:ascii="Arial" w:cs="Arial" w:eastAsia="Arial" w:hAnsi="Arial"/>
                  <w:sz w:val="18"/>
                  <w:szCs w:val="18"/>
                  <w:color w:val="0000EE"/>
                  <w:w w:val="90"/>
                </w:rPr>
                <w:t>Schlumberger Discounted Stock Purchase Plan, as amended and restated effective January 1, 2021 (incorporated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10.</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Schlumberger’s Current Report on Form 8-K filed on April 7, 2021).</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500" w:type="dxa"/>
            <w:vAlign w:val="bottom"/>
            <w:gridSpan w:val="2"/>
            <w:shd w:val="clear" w:color="auto" w:fill="0000EE"/>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24"/>
                <w:szCs w:val="24"/>
                <w:color w:val="auto"/>
              </w:rPr>
            </w:pPr>
          </w:p>
        </w:tc>
        <w:tc>
          <w:tcPr>
            <w:tcW w:w="9700" w:type="dxa"/>
            <w:vAlign w:val="bottom"/>
            <w:tcBorders>
              <w:bottom w:val="single" w:sz="8" w:color="0000EE"/>
            </w:tcBorders>
            <w:gridSpan w:val="7"/>
          </w:tcPr>
          <w:p>
            <w:pPr>
              <w:spacing w:after="0"/>
              <w:rPr>
                <w:rFonts w:ascii="Arial" w:cs="Arial" w:eastAsia="Arial" w:hAnsi="Arial"/>
                <w:sz w:val="18"/>
                <w:szCs w:val="18"/>
                <w:color w:val="0000EE"/>
                <w:w w:val="90"/>
              </w:rPr>
            </w:pPr>
            <w:hyperlink r:id="rId39">
              <w:r>
                <w:rPr>
                  <w:rFonts w:ascii="Arial" w:cs="Arial" w:eastAsia="Arial" w:hAnsi="Arial"/>
                  <w:sz w:val="18"/>
                  <w:szCs w:val="18"/>
                  <w:color w:val="0000EE"/>
                  <w:w w:val="90"/>
                </w:rPr>
                <w:t>Schlumberger Limited 2004 Stock and Deferral Plan for Non-Employee Directors, as amended and restated effective January 21, 2021</w:t>
              </w:r>
            </w:hyperlink>
          </w:p>
        </w:tc>
        <w:tc>
          <w:tcPr>
            <w:tcW w:w="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(incorporated by reference to Exhibit 10.3 to Schlumberger’s Current Report on Form 8-K filed on April 7, 2021).</w:t>
              </w:r>
            </w:hyperlink>
          </w:p>
        </w:tc>
        <w:tc>
          <w:tcPr>
            <w:tcW w:w="17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044" w:hanging="1044"/>
        <w:spacing w:after="0"/>
        <w:tabs>
          <w:tab w:leader="none" w:pos="1044" w:val="left"/>
        </w:tabs>
        <w:numPr>
          <w:ilvl w:val="0"/>
          <w:numId w:val="5"/>
        </w:numPr>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Opinion of STvB Advocaten (Europe), N.V.</w:t>
        </w:r>
      </w:hyperlink>
    </w:p>
    <w:p>
      <w:pPr>
        <w:spacing w:after="0" w:line="10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23.1</w:t>
            </w:r>
          </w:p>
        </w:tc>
        <w:tc>
          <w:tcPr>
            <w:tcW w:w="4900" w:type="dxa"/>
            <w:vAlign w:val="bottom"/>
            <w:gridSpan w:val="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Consent of PricewaterhouseCoopers LLP.</w:t>
              </w:r>
            </w:hyperlink>
          </w:p>
        </w:tc>
      </w:tr>
      <w:tr>
        <w:trPr>
          <w:trHeight w:val="20"/>
        </w:trPr>
        <w:tc>
          <w:tcPr>
            <w:tcW w:w="104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04"/>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23.2</w:t>
            </w:r>
          </w:p>
        </w:tc>
        <w:tc>
          <w:tcPr>
            <w:tcW w:w="49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Consent of STvB Advocaten (Europe), N.V. (included in Exhibit 5).</w:t>
              </w:r>
            </w:hyperlink>
          </w:p>
        </w:tc>
      </w:tr>
    </w:tbl>
    <w:p>
      <w:pPr>
        <w:spacing w:after="0" w:line="121" w:lineRule="exact"/>
        <w:rPr>
          <w:sz w:val="20"/>
          <w:szCs w:val="20"/>
          <w:color w:val="auto"/>
        </w:rPr>
      </w:pPr>
    </w:p>
    <w:p>
      <w:pPr>
        <w:ind w:left="1044" w:hanging="1044"/>
        <w:spacing w:after="0"/>
        <w:tabs>
          <w:tab w:leader="none" w:pos="1044" w:val="left"/>
        </w:tabs>
        <w:numPr>
          <w:ilvl w:val="0"/>
          <w:numId w:val="6"/>
        </w:numPr>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Power of Attorney.</w:t>
        </w:r>
      </w:hyperlink>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Undertakings.</w:t>
      </w:r>
    </w:p>
    <w:p>
      <w:pPr>
        <w:spacing w:after="0" w:line="121" w:lineRule="exact"/>
        <w:rPr>
          <w:sz w:val="20"/>
          <w:szCs w:val="20"/>
          <w:color w:val="auto"/>
        </w:rPr>
      </w:pPr>
    </w:p>
    <w:p>
      <w:pPr>
        <w:ind w:left="684" w:hanging="244"/>
        <w:spacing w:after="0"/>
        <w:tabs>
          <w:tab w:leader="none" w:pos="68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1"/>
          <w:numId w:val="7"/>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604" w:hanging="212"/>
        <w:spacing w:after="0"/>
        <w:tabs>
          <w:tab w:leader="none" w:pos="1604"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984" w:right="80" w:firstLine="408"/>
        <w:spacing w:after="0" w:line="259" w:lineRule="auto"/>
        <w:tabs>
          <w:tab w:leader="none" w:pos="1650"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w:t>
      </w:r>
    </w:p>
    <w:p>
      <w:pPr>
        <w:spacing w:after="0" w:line="119" w:lineRule="exact"/>
        <w:rPr>
          <w:rFonts w:ascii="Arial" w:cs="Arial" w:eastAsia="Arial" w:hAnsi="Arial"/>
          <w:sz w:val="18"/>
          <w:szCs w:val="18"/>
          <w:color w:val="auto"/>
        </w:rPr>
      </w:pPr>
    </w:p>
    <w:p>
      <w:pPr>
        <w:ind w:left="5464" w:hanging="106"/>
        <w:spacing w:after="0"/>
        <w:tabs>
          <w:tab w:leader="none" w:pos="5464" w:val="left"/>
        </w:tabs>
        <w:numPr>
          <w:ilvl w:val="3"/>
          <w:numId w:val="7"/>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24"/>
          </w:cols>
          <w:pgMar w:left="436" w:top="274" w:right="439" w:bottom="1440" w:gutter="0" w:footer="0" w:header="0"/>
        </w:sectPr>
      </w:pPr>
    </w:p>
    <w:bookmarkStart w:id="7" w:name="page8"/>
    <w:bookmarkEnd w:id="7"/>
    <w:p>
      <w:pPr>
        <w:ind w:left="54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offered would not exceed that which was registered) and any deviation from the low or high end of the estimated maximum offering range may be reflected in the form of prospectus filed with the Commission pursuant to Rule 424(b) of the Securities Act of 1933 if, in the aggregate, the changes in volume and price represent no more than a 20% change in the maximum aggregate offering price set forth in the “Calculation of Registration Fee” table in the effective registration statement; and</w:t>
      </w:r>
    </w:p>
    <w:p>
      <w:pPr>
        <w:spacing w:after="0" w:line="79" w:lineRule="exact"/>
        <w:rPr>
          <w:sz w:val="20"/>
          <w:szCs w:val="20"/>
          <w:color w:val="auto"/>
        </w:rPr>
      </w:pPr>
    </w:p>
    <w:p>
      <w:pPr>
        <w:ind w:left="544" w:right="60" w:firstLine="408"/>
        <w:spacing w:after="0" w:line="277" w:lineRule="auto"/>
        <w:tabs>
          <w:tab w:leader="none" w:pos="1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 w:right="260"/>
        <w:spacing w:after="0" w:line="31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undertakings set forth in paragraphs (a)(1)(i) and (a)(1)(ii) above do not apply if the information required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41" w:lineRule="exact"/>
        <w:rPr>
          <w:sz w:val="20"/>
          <w:szCs w:val="20"/>
          <w:color w:val="auto"/>
        </w:rPr>
      </w:pPr>
    </w:p>
    <w:p>
      <w:pPr>
        <w:jc w:val="both"/>
        <w:ind w:left="4" w:right="20" w:firstLine="419"/>
        <w:spacing w:after="0" w:line="263" w:lineRule="auto"/>
        <w:tabs>
          <w:tab w:leader="none" w:pos="681" w:val="left"/>
        </w:tabs>
        <w:numPr>
          <w:ilvl w:val="1"/>
          <w:numId w:val="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4" w:right="200" w:firstLine="419"/>
        <w:spacing w:after="0" w:line="277" w:lineRule="auto"/>
        <w:tabs>
          <w:tab w:leader="none" w:pos="681"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36" w:firstLine="436"/>
        <w:spacing w:after="0" w:line="257" w:lineRule="auto"/>
        <w:tabs>
          <w:tab w:leader="none" w:pos="2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436" w:right="20" w:firstLine="436"/>
        <w:spacing w:after="0" w:line="271" w:lineRule="auto"/>
        <w:tabs>
          <w:tab w:leader="none" w:pos="249"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0" w:lineRule="exact"/>
        <w:rPr>
          <w:rFonts w:ascii="Arial" w:cs="Arial" w:eastAsia="Arial" w:hAnsi="Arial"/>
          <w:sz w:val="17"/>
          <w:szCs w:val="17"/>
          <w:color w:val="auto"/>
        </w:rPr>
      </w:pPr>
    </w:p>
    <w:p>
      <w:pPr>
        <w:ind w:left="5024" w:hanging="106"/>
        <w:spacing w:after="0"/>
        <w:tabs>
          <w:tab w:leader="none" w:pos="5024" w:val="left"/>
        </w:tabs>
        <w:numPr>
          <w:ilvl w:val="2"/>
          <w:numId w:val="10"/>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564"/>
          </w:cols>
          <w:pgMar w:left="876" w:top="274" w:right="45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December 3,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N.V.</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Limited)</w:t>
      </w:r>
    </w:p>
    <w:p>
      <w:pPr>
        <w:spacing w:after="0" w:line="211" w:lineRule="exact"/>
        <w:rPr>
          <w:sz w:val="20"/>
          <w:szCs w:val="20"/>
          <w:color w:val="auto"/>
        </w:rPr>
      </w:pPr>
    </w:p>
    <w:p>
      <w:pPr>
        <w:jc w:val="center"/>
        <w:ind w:left="4000"/>
        <w:spacing w:after="0"/>
        <w:rPr>
          <w:sz w:val="20"/>
          <w:szCs w:val="20"/>
          <w:color w:val="auto"/>
        </w:rPr>
      </w:pPr>
      <w:r>
        <w:rPr>
          <w:rFonts w:ascii="Arial" w:cs="Arial" w:eastAsia="Arial" w:hAnsi="Arial"/>
          <w:sz w:val="18"/>
          <w:szCs w:val="18"/>
          <w:color w:val="auto"/>
        </w:rPr>
        <w:t>By: /s/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December 3, 2021 in the capacities indicated.</w:t>
      </w:r>
    </w:p>
    <w:p>
      <w:pPr>
        <w:sectPr>
          <w:pgSz w:w="11900" w:h="16838" w:orient="portrait"/>
          <w:cols w:equalWidth="0" w:num="1">
            <w:col w:w="10880"/>
          </w:cols>
          <w:pgMar w:left="440" w:top="270" w:right="57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744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Olivier Le Peuch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TEPHANE</w:t>
      </w:r>
      <w:r>
        <w:rPr>
          <w:rFonts w:ascii="Arial" w:cs="Arial" w:eastAsia="Arial" w:hAnsi="Arial"/>
          <w:sz w:val="18"/>
          <w:szCs w:val="18"/>
          <w:color w:val="auto"/>
        </w:rPr>
        <w:t xml:space="preserve"> B</w:t>
      </w:r>
      <w:r>
        <w:rPr>
          <w:rFonts w:ascii="Arial" w:cs="Arial" w:eastAsia="Arial" w:hAnsi="Arial"/>
          <w:sz w:val="14"/>
          <w:szCs w:val="14"/>
          <w:color w:val="auto"/>
        </w:rPr>
        <w:t>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744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Stephane Biguet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744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744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Coleman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744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Patrick de La Chevardière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744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Miguel M. Galuccio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744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Samuel Leupold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Tatiana A. Mitrova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3515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Maria Moræus Hanssen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Vanitha Narayanan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G. Papa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Henri Seydoux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3515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 W.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Ulrich Spiesshofer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020" w:space="720"/>
            <w:col w:w="5140"/>
          </w:cols>
          <w:pgMar w:left="440" w:top="270" w:right="57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/s/ D</w:t>
      </w:r>
      <w:r>
        <w:rPr>
          <w:rFonts w:ascii="Arial" w:cs="Arial" w:eastAsia="Arial" w:hAnsi="Arial"/>
          <w:sz w:val="14"/>
          <w:szCs w:val="14"/>
          <w:color w:val="auto"/>
        </w:rPr>
        <w:t>IANNE</w:t>
      </w:r>
      <w:r>
        <w:rPr>
          <w:rFonts w:ascii="Arial" w:cs="Arial" w:eastAsia="Arial" w:hAnsi="Arial"/>
          <w:sz w:val="18"/>
          <w:szCs w:val="18"/>
          <w:color w:val="auto"/>
        </w:rPr>
        <w:t xml:space="preserve"> B. R</w:t>
      </w:r>
      <w:r>
        <w:rPr>
          <w:rFonts w:ascii="Arial" w:cs="Arial" w:eastAsia="Arial" w:hAnsi="Arial"/>
          <w:sz w:val="14"/>
          <w:szCs w:val="14"/>
          <w:color w:val="auto"/>
        </w:rPr>
        <w:t>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-10160</wp:posOffset>
            </wp:positionV>
            <wp:extent cx="32029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320294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Dianne B. Ralston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Attorney-in-Fact</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- 7 -</w:t>
      </w:r>
    </w:p>
    <w:p>
      <w:pPr>
        <w:sectPr>
          <w:pgSz w:w="11900" w:h="16838" w:orient="portrait"/>
          <w:cols w:equalWidth="0" w:num="1">
            <w:col w:w="10880"/>
          </w:cols>
          <w:pgMar w:left="440" w:top="270" w:right="579" w:bottom="1440" w:gutter="0" w:footer="0" w:header="0"/>
          <w:type w:val="continuous"/>
        </w:sectPr>
      </w:pPr>
    </w:p>
    <w:bookmarkStart w:id="9" w:name="page10"/>
    <w:bookmarkEnd w:id="9"/>
    <w:p>
      <w:pPr>
        <w:ind w:left="10304"/>
        <w:spacing w:after="0"/>
        <w:rPr>
          <w:sz w:val="20"/>
          <w:szCs w:val="20"/>
          <w:color w:val="auto"/>
        </w:rPr>
      </w:pPr>
      <w:r>
        <w:rPr>
          <w:rFonts w:ascii="Arial" w:cs="Arial" w:eastAsia="Arial" w:hAnsi="Arial"/>
          <w:sz w:val="17"/>
          <w:szCs w:val="17"/>
          <w:b w:val="1"/>
          <w:bCs w:val="1"/>
          <w:color w:val="auto"/>
        </w:rPr>
        <w:t>Exhibit 5</w:t>
      </w:r>
    </w:p>
    <w:p>
      <w:pPr>
        <w:spacing w:after="0" w:line="241" w:lineRule="exact"/>
        <w:rPr>
          <w:sz w:val="20"/>
          <w:szCs w:val="20"/>
          <w:color w:val="auto"/>
        </w:rPr>
      </w:pPr>
    </w:p>
    <w:p>
      <w:pPr>
        <w:ind w:left="4"/>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(Schlumberger Limited)</w:t>
      </w:r>
    </w:p>
    <w:p>
      <w:pPr>
        <w:spacing w:after="0" w:line="8" w:lineRule="exact"/>
        <w:rPr>
          <w:sz w:val="20"/>
          <w:szCs w:val="20"/>
          <w:color w:val="auto"/>
        </w:rPr>
      </w:pPr>
    </w:p>
    <w:p>
      <w:pPr>
        <w:ind w:left="4"/>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Amsterdam, 3 December 2021</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 Schlumberger N.V.</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40"/>
        <w:spacing w:after="0" w:line="269" w:lineRule="auto"/>
        <w:rPr>
          <w:sz w:val="20"/>
          <w:szCs w:val="20"/>
          <w:color w:val="auto"/>
        </w:rPr>
      </w:pPr>
      <w:r>
        <w:rPr>
          <w:rFonts w:ascii="Arial" w:cs="Arial" w:eastAsia="Arial" w:hAnsi="Arial"/>
          <w:sz w:val="17"/>
          <w:szCs w:val="17"/>
          <w:color w:val="auto"/>
        </w:rPr>
        <w:t>We have acted as Curaçao legal counsel for Schlumberger N.V. (also referred to as Schlumberger Limited), a corporation with limited liability organized and existing under the laws of Curaçao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registration of (i) 36,806,947 shares of the Company’s common stock, par value $0.01 per share (the “</w:t>
      </w:r>
      <w:r>
        <w:rPr>
          <w:rFonts w:ascii="Arial" w:cs="Arial" w:eastAsia="Arial" w:hAnsi="Arial"/>
          <w:sz w:val="17"/>
          <w:szCs w:val="17"/>
          <w:b w:val="1"/>
          <w:bCs w:val="1"/>
          <w:color w:val="auto"/>
        </w:rPr>
        <w:t>2017 Plan Shares</w:t>
      </w:r>
      <w:r>
        <w:rPr>
          <w:rFonts w:ascii="Arial" w:cs="Arial" w:eastAsia="Arial" w:hAnsi="Arial"/>
          <w:sz w:val="17"/>
          <w:szCs w:val="17"/>
          <w:color w:val="auto"/>
        </w:rPr>
        <w:t>”), issuable pursuant to the Schlumberger 2017 Omnibus Stock Incentive Plan, as amended and restated effective 21 January 2021 (the “</w:t>
      </w:r>
      <w:r>
        <w:rPr>
          <w:rFonts w:ascii="Arial" w:cs="Arial" w:eastAsia="Arial" w:hAnsi="Arial"/>
          <w:sz w:val="17"/>
          <w:szCs w:val="17"/>
          <w:b w:val="1"/>
          <w:bCs w:val="1"/>
          <w:color w:val="auto"/>
        </w:rPr>
        <w:t>2017 Plan</w:t>
      </w:r>
      <w:r>
        <w:rPr>
          <w:rFonts w:ascii="Arial" w:cs="Arial" w:eastAsia="Arial" w:hAnsi="Arial"/>
          <w:sz w:val="17"/>
          <w:szCs w:val="17"/>
          <w:color w:val="auto"/>
        </w:rPr>
        <w:t>”); (ii) 20,000,000 shares of the Company’s common stock, par value $0.01 per share (the “</w:t>
      </w:r>
      <w:r>
        <w:rPr>
          <w:rFonts w:ascii="Arial" w:cs="Arial" w:eastAsia="Arial" w:hAnsi="Arial"/>
          <w:sz w:val="17"/>
          <w:szCs w:val="17"/>
          <w:b w:val="1"/>
          <w:bCs w:val="1"/>
          <w:color w:val="auto"/>
        </w:rPr>
        <w:t>DSP</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issuable pursuant to the Schlumberger Discounted Stock Purchase Plan, as amended and restated effective 1 January 2021 (the “</w:t>
      </w:r>
      <w:r>
        <w:rPr>
          <w:rFonts w:ascii="Arial" w:cs="Arial" w:eastAsia="Arial" w:hAnsi="Arial"/>
          <w:sz w:val="17"/>
          <w:szCs w:val="17"/>
          <w:b w:val="1"/>
          <w:bCs w:val="1"/>
          <w:color w:val="auto"/>
        </w:rPr>
        <w:t>DSP Plan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(iii) 600,000 shares of the Company’s common stock, par value $0.01 per share (the “</w:t>
      </w:r>
      <w:r>
        <w:rPr>
          <w:rFonts w:ascii="Arial" w:cs="Arial" w:eastAsia="Arial" w:hAnsi="Arial"/>
          <w:sz w:val="17"/>
          <w:szCs w:val="17"/>
          <w:b w:val="1"/>
          <w:bCs w:val="1"/>
          <w:color w:val="auto"/>
        </w:rPr>
        <w:t>2004 Plan Shares</w:t>
      </w:r>
      <w:r>
        <w:rPr>
          <w:rFonts w:ascii="Arial" w:cs="Arial" w:eastAsia="Arial" w:hAnsi="Arial"/>
          <w:sz w:val="17"/>
          <w:szCs w:val="17"/>
          <w:color w:val="auto"/>
        </w:rPr>
        <w:t>” and, together with the 2017 Plan Shares and the DSP Shares, the “</w:t>
      </w:r>
      <w:r>
        <w:rPr>
          <w:rFonts w:ascii="Arial" w:cs="Arial" w:eastAsia="Arial" w:hAnsi="Arial"/>
          <w:sz w:val="17"/>
          <w:szCs w:val="17"/>
          <w:b w:val="1"/>
          <w:bCs w:val="1"/>
          <w:color w:val="auto"/>
        </w:rPr>
        <w:t>Shares</w:t>
      </w:r>
      <w:r>
        <w:rPr>
          <w:rFonts w:ascii="Arial" w:cs="Arial" w:eastAsia="Arial" w:hAnsi="Arial"/>
          <w:sz w:val="17"/>
          <w:szCs w:val="17"/>
          <w:color w:val="auto"/>
        </w:rPr>
        <w:t>”), issuable pursuant to the Schlumberger 2004 Stock and Deferral Plan for Non-Employee Directors, as amended and restated effective 21 January 2021 (the “</w:t>
      </w:r>
      <w:r>
        <w:rPr>
          <w:rFonts w:ascii="Arial" w:cs="Arial" w:eastAsia="Arial" w:hAnsi="Arial"/>
          <w:sz w:val="17"/>
          <w:szCs w:val="17"/>
          <w:b w:val="1"/>
          <w:bCs w:val="1"/>
          <w:color w:val="auto"/>
        </w:rPr>
        <w:t>2004 Plan</w:t>
      </w:r>
      <w:r>
        <w:rPr>
          <w:rFonts w:ascii="Arial" w:cs="Arial" w:eastAsia="Arial" w:hAnsi="Arial"/>
          <w:sz w:val="17"/>
          <w:szCs w:val="17"/>
          <w:color w:val="auto"/>
        </w:rPr>
        <w:t>” and, together with the 2017 Plan and the DSP Plan, the “</w:t>
      </w:r>
      <w:r>
        <w:rPr>
          <w:rFonts w:ascii="Arial" w:cs="Arial" w:eastAsia="Arial" w:hAnsi="Arial"/>
          <w:sz w:val="17"/>
          <w:szCs w:val="17"/>
          <w:b w:val="1"/>
          <w:bCs w:val="1"/>
          <w:color w:val="auto"/>
        </w:rPr>
        <w:t>Plans</w:t>
      </w:r>
      <w:r>
        <w:rPr>
          <w:rFonts w:ascii="Arial" w:cs="Arial" w:eastAsia="Arial" w:hAnsi="Arial"/>
          <w:sz w:val="17"/>
          <w:szCs w:val="17"/>
          <w:color w:val="auto"/>
        </w:rPr>
        <w:t>”). We understand that a registration statement on Form S-8 relating to the Plans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is being filed by the Company with the Securities and Exchange Commission under the Securities Act of 1933, as amended, on 3 December 2021.</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7"/>
          <w:szCs w:val="17"/>
          <w:color w:val="auto"/>
        </w:rPr>
        <w:t>As Curaçao legal counsel for the Company we have examined and relied upon the following documents in original, photo static or facsimile form:</w:t>
      </w:r>
    </w:p>
    <w:p>
      <w:pPr>
        <w:spacing w:after="0" w:line="237" w:lineRule="exact"/>
        <w:rPr>
          <w:sz w:val="20"/>
          <w:szCs w:val="20"/>
          <w:color w:val="auto"/>
        </w:rPr>
      </w:pPr>
    </w:p>
    <w:p>
      <w:pPr>
        <w:ind w:left="244" w:hanging="244"/>
        <w:spacing w:after="0"/>
        <w:tabs>
          <w:tab w:leader="none" w:pos="2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copy of the Registration Statement;</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copy of the 2017 Plan;</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copy of the DSP Plan;</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copy of the 2004 Plan;</w:t>
      </w:r>
    </w:p>
    <w:p>
      <w:pPr>
        <w:sectPr>
          <w:pgSz w:w="11900" w:h="16838" w:orient="portrait"/>
          <w:cols w:equalWidth="0" w:num="1">
            <w:col w:w="11024"/>
          </w:cols>
          <w:pgMar w:left="436" w:top="121" w:right="43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 December 2021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left="244" w:hanging="244"/>
        <w:spacing w:after="0"/>
        <w:tabs>
          <w:tab w:leader="none" w:pos="2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certified copy of the articles of incorporation of the Company (the “</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as presently in effect;</w:t>
      </w:r>
    </w:p>
    <w:p>
      <w:pPr>
        <w:spacing w:after="0" w:line="229" w:lineRule="exact"/>
        <w:rPr>
          <w:rFonts w:ascii="Arial" w:cs="Arial" w:eastAsia="Arial" w:hAnsi="Arial"/>
          <w:sz w:val="18"/>
          <w:szCs w:val="18"/>
          <w:color w:val="auto"/>
        </w:rPr>
      </w:pPr>
    </w:p>
    <w:p>
      <w:pPr>
        <w:ind w:left="224" w:hanging="224"/>
        <w:spacing w:after="0"/>
        <w:tabs>
          <w:tab w:leader="none" w:pos="2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extract obtained online on 2 December 2021 from the Curaçao Commercial Register, relating to the registration of the Company; and</w:t>
      </w:r>
    </w:p>
    <w:p>
      <w:pPr>
        <w:spacing w:after="0" w:line="232" w:lineRule="exact"/>
        <w:rPr>
          <w:rFonts w:ascii="Arial" w:cs="Arial" w:eastAsia="Arial" w:hAnsi="Arial"/>
          <w:sz w:val="17"/>
          <w:szCs w:val="17"/>
          <w:color w:val="auto"/>
        </w:rPr>
      </w:pPr>
    </w:p>
    <w:p>
      <w:pPr>
        <w:ind w:left="4" w:right="660" w:hanging="4"/>
        <w:spacing w:after="0" w:line="282" w:lineRule="auto"/>
        <w:tabs>
          <w:tab w:leader="none" w:pos="2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certified copy of the resolutions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providing for the issuance of the Shares under the respective Plans (the “</w:t>
      </w:r>
      <w:r>
        <w:rPr>
          <w:rFonts w:ascii="Arial" w:cs="Arial" w:eastAsia="Arial" w:hAnsi="Arial"/>
          <w:sz w:val="18"/>
          <w:szCs w:val="18"/>
          <w:b w:val="1"/>
          <w:bCs w:val="1"/>
          <w:color w:val="auto"/>
        </w:rPr>
        <w:t>Board Resolutions</w:t>
      </w:r>
      <w:r>
        <w:rPr>
          <w:rFonts w:ascii="Arial" w:cs="Arial" w:eastAsia="Arial" w:hAnsi="Arial"/>
          <w:sz w:val="18"/>
          <w:szCs w:val="18"/>
          <w:color w:val="auto"/>
        </w:rPr>
        <w: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our examination of the documents referred to above and in expressing our opinion, we have assumed without independent verification of any kind:</w:t>
      </w:r>
    </w:p>
    <w:p>
      <w:pPr>
        <w:spacing w:after="0" w:line="248" w:lineRule="exact"/>
        <w:rPr>
          <w:sz w:val="20"/>
          <w:szCs w:val="20"/>
          <w:color w:val="auto"/>
        </w:rPr>
      </w:pPr>
    </w:p>
    <w:p>
      <w:pPr>
        <w:ind w:left="224" w:hanging="224"/>
        <w:spacing w:after="0"/>
        <w:tabs>
          <w:tab w:leader="none" w:pos="2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genuineness of all signatures on all documents we have reviewed;</w:t>
      </w:r>
    </w:p>
    <w:p>
      <w:pPr>
        <w:spacing w:after="0" w:line="225" w:lineRule="exact"/>
        <w:rPr>
          <w:rFonts w:ascii="Arial" w:cs="Arial" w:eastAsia="Arial" w:hAnsi="Arial"/>
          <w:sz w:val="18"/>
          <w:szCs w:val="18"/>
          <w:color w:val="auto"/>
        </w:rPr>
      </w:pPr>
    </w:p>
    <w:p>
      <w:pPr>
        <w:ind w:left="4" w:right="860" w:hanging="4"/>
        <w:spacing w:after="0" w:line="277" w:lineRule="auto"/>
        <w:tabs>
          <w:tab w:leader="none" w:pos="2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authenticity of all such documents submitted to us as originals, and that each of the documents has been duly executed in the form, or substantially in the form submitted to us as execution copies; and</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conformity with originals of all documents submitted to us as copies.</w:t>
      </w:r>
    </w:p>
    <w:p>
      <w:pPr>
        <w:spacing w:after="0" w:line="225"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In rendering the following, we are opining on the matters hereinafter referred to, only insofar as they are governed by the laws of Curaçao as currently in effect and as they are interpreted under presently published case law of Curaçao, including the Supreme Court of the Netherlands (</w:t>
      </w:r>
      <w:r>
        <w:rPr>
          <w:rFonts w:ascii="Arial" w:cs="Arial" w:eastAsia="Arial" w:hAnsi="Arial"/>
          <w:sz w:val="18"/>
          <w:szCs w:val="18"/>
          <w:i w:val="1"/>
          <w:iCs w:val="1"/>
          <w:u w:val="single" w:color="auto"/>
          <w:color w:val="auto"/>
        </w:rPr>
        <w:t>Hoge Raad der</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Nederlanden</w:t>
      </w:r>
      <w:r>
        <w:rPr>
          <w:rFonts w:ascii="Arial" w:cs="Arial" w:eastAsia="Arial" w:hAnsi="Arial"/>
          <w:sz w:val="18"/>
          <w:szCs w:val="18"/>
          <w:color w:val="auto"/>
        </w:rPr>
        <w:t>).</w:t>
      </w:r>
    </w:p>
    <w:p>
      <w:pPr>
        <w:spacing w:after="0" w:line="184"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Based upon and subject to the foregoing and subject to the qualifications set forth below and having due regard for such legal considerations as we deem relevant, we are of the opinion that:</w:t>
      </w:r>
    </w:p>
    <w:p>
      <w:pPr>
        <w:spacing w:after="0" w:line="170" w:lineRule="exact"/>
        <w:rPr>
          <w:sz w:val="20"/>
          <w:szCs w:val="20"/>
          <w:color w:val="auto"/>
        </w:rPr>
      </w:pPr>
    </w:p>
    <w:p>
      <w:pPr>
        <w:jc w:val="both"/>
        <w:ind w:left="4" w:right="140" w:hanging="4"/>
        <w:spacing w:after="0" w:line="311"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has been duly incorporated under the laws of the former Netherlands Antilles, is currently validly existing under the laws of Curaçao and has all requisite corporate power and authority to own its properties and to conduct its business within the limits of its objects clause as set forth in article 2 of the Articles of Incorporation. The Company has been duly registered with the Curaçao Commercial Register under number 1674.</w:t>
      </w:r>
    </w:p>
    <w:p>
      <w:pPr>
        <w:spacing w:after="0" w:line="148" w:lineRule="exact"/>
        <w:rPr>
          <w:rFonts w:ascii="Arial" w:cs="Arial" w:eastAsia="Arial" w:hAnsi="Arial"/>
          <w:sz w:val="16"/>
          <w:szCs w:val="16"/>
          <w:color w:val="auto"/>
        </w:rPr>
      </w:pPr>
    </w:p>
    <w:p>
      <w:pPr>
        <w:jc w:val="both"/>
        <w:ind w:left="4" w:right="100" w:hanging="4"/>
        <w:spacing w:after="0" w:line="293" w:lineRule="auto"/>
        <w:tabs>
          <w:tab w:leader="none" w:pos="259"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Following due authorization of a particular award as provided in and in accordance with the 2017 Plan, the Shares issuable pursuant to such award will have been duly authorized by all necessary corporate action on the part of the Company. Upon issuance and delivery of such Shares from time to time pursuant to and in accordance with the terms of the 2017 Plan and the applicable award, including, without limitation, the lapse of any restrictions relating thereto, the satisfaction of any performance conditions associated therewith and any requisite determinations by or pursuant to the authority of the Board or a duly constituted authorized committee thereof as provided therein, and, in the case of stock option awards, payment of the exercise price fixed in such option at least equal to the par value of such Shares, such Shares will be validly issued, fully paid and non-assessable.</w:t>
      </w:r>
    </w:p>
    <w:p>
      <w:pPr>
        <w:spacing w:after="0" w:line="164" w:lineRule="exact"/>
        <w:rPr>
          <w:rFonts w:ascii="Arial" w:cs="Arial" w:eastAsia="Arial" w:hAnsi="Arial"/>
          <w:sz w:val="16"/>
          <w:szCs w:val="16"/>
          <w:color w:val="auto"/>
        </w:rPr>
      </w:pPr>
    </w:p>
    <w:p>
      <w:pPr>
        <w:ind w:left="4" w:right="780" w:hanging="4"/>
        <w:spacing w:after="0" w:line="342"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Upon issuance and delivery of the Shares from time to time pursuant to and in accordance with the terms of the DSP Plan or the 2004 Plan respectively, for consideration at least equal to the par value thereof, such Shares will be validly issued, fully paid and non-assessable.</w:t>
      </w:r>
    </w:p>
    <w:p>
      <w:pPr>
        <w:spacing w:after="0" w:line="123" w:lineRule="exact"/>
        <w:rPr>
          <w:rFonts w:ascii="Arial" w:cs="Arial" w:eastAsia="Arial" w:hAnsi="Arial"/>
          <w:sz w:val="16"/>
          <w:szCs w:val="16"/>
          <w:color w:val="auto"/>
        </w:rPr>
      </w:pPr>
    </w:p>
    <w:p>
      <w:pPr>
        <w:ind w:left="264" w:hanging="264"/>
        <w:spacing w:after="0"/>
        <w:tabs>
          <w:tab w:leader="none" w:pos="264"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personal liability will attach to the holders of the Shares under the laws of Curaçao by reason of their being stockholders of the Company.</w:t>
      </w:r>
    </w:p>
    <w:p>
      <w:pPr>
        <w:spacing w:after="0" w:line="236" w:lineRule="exact"/>
        <w:rPr>
          <w:rFonts w:ascii="Arial" w:cs="Arial" w:eastAsia="Arial" w:hAnsi="Arial"/>
          <w:sz w:val="17"/>
          <w:szCs w:val="17"/>
          <w:color w:val="auto"/>
        </w:rPr>
      </w:pPr>
    </w:p>
    <w:p>
      <w:pPr>
        <w:ind w:left="4" w:right="100" w:hanging="4"/>
        <w:spacing w:after="0" w:line="277" w:lineRule="auto"/>
        <w:tabs>
          <w:tab w:leader="none" w:pos="2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consents, approvals, authorizations or other orders of Curaçao governmental authorities are legally required for the issuance of the Shares by the Company.</w:t>
      </w:r>
    </w:p>
    <w:p>
      <w:pPr>
        <w:spacing w:after="0" w:line="170"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This opinion is strictly limited to the matters stated herein and may not read as extending by implication to any matters not specifically referred to herein, including tax matters.</w:t>
      </w:r>
    </w:p>
    <w:p>
      <w:pPr>
        <w:sectPr>
          <w:pgSz w:w="11900" w:h="16838" w:orient="portrait"/>
          <w:cols w:equalWidth="0" w:num="1">
            <w:col w:w="11004"/>
          </w:cols>
          <w:pgMar w:left="436" w:top="274"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 December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concede that we are within the category of persons whose consent is required under Section 7 of the Securities Act or the rules and regulations of the Securities and Exchange Commission promulgated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STvB Advocaten (Europe) N.V.</w:t>
      </w:r>
    </w:p>
    <w:p>
      <w:pPr>
        <w:sectPr>
          <w:pgSz w:w="11900" w:h="16838" w:orient="portrait"/>
          <w:cols w:equalWidth="0" w:num="1">
            <w:col w:w="10960"/>
          </w:cols>
          <w:pgMar w:left="440" w:top="274" w:right="4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Schlumberger Limited of our report dated January 27, 2021 relating to the financial statements and the effectiveness of internal control over financial reporting, which appears in Schlumberger Limited’s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 2021</w:t>
      </w:r>
    </w:p>
    <w:p>
      <w:pPr>
        <w:sectPr>
          <w:pgSz w:w="11900" w:h="16838" w:orient="portrait"/>
          <w:cols w:equalWidth="0" w:num="1">
            <w:col w:w="11020"/>
          </w:cols>
          <w:pgMar w:left="440" w:top="121" w:right="4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0"/>
        <w:spacing w:after="0" w:line="285" w:lineRule="auto"/>
        <w:rPr>
          <w:sz w:val="20"/>
          <w:szCs w:val="20"/>
          <w:color w:val="auto"/>
        </w:rPr>
      </w:pPr>
      <w:r>
        <w:rPr>
          <w:rFonts w:ascii="Arial" w:cs="Arial" w:eastAsia="Arial" w:hAnsi="Arial"/>
          <w:sz w:val="16"/>
          <w:szCs w:val="16"/>
          <w:color w:val="auto"/>
        </w:rPr>
        <w:t>Each of the undersigned, being a director or officer, or both, of Schlumberger Limited, a Curaçao corporation (the “Company”), hereby constitutes and appoints Howard Guild or Dianne B. Ralston, and each of them, his or her true and lawful attorney-in-fact and agent, with full and several power of substitution, resubstitution and revocation and to act with or without the others, for him or her and in his or her name, place and stead in any and all capacities: (i) to sign this Registration Statement under the Securities Act of 1933, as amended (the “Securities Act”), with respect to the registration of (x) 36,806,947 shares of common stock, par value $0.01 per share, of the Company (“Common Stock”) to be offered and issued under the</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2017 Schlumberger Omnibus Stock Incentive Plan, as amended and restated effective January 21, 2021, (y) 20,000,000 shares of Common Stock to be offered and issued under the Schlumberger Discounted Stock Purchase Plan, as amended and restated effective January 1, 2021, and (z) 600,000 shares of Common Stock to be offered and issued under the 2004 Stock and Deferral Plan for Non-Employee Directors, as amended and restated effective January 21, 2021, on Form S-8, any amendments thereto, and all post-effective amendments and supplements to this Registration Statement for the registration of the Common Stock;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86"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This Power of Attorney may be signed in any number of counterparts, each of which will constitute an original and all of which, taken together, will constitute one Power of Attorney.</w:t>
      </w:r>
    </w:p>
    <w:p>
      <w:pPr>
        <w:sectPr>
          <w:pgSz w:w="11900" w:h="16838" w:orient="portrait"/>
          <w:cols w:equalWidth="0" w:num="1">
            <w:col w:w="11020"/>
          </w:cols>
          <w:pgMar w:left="440" w:top="121" w:right="4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30, 2021</w:t>
      </w:r>
    </w:p>
    <w:p>
      <w:pPr>
        <w:spacing w:after="0" w:line="25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 Peter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829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Peter Coleman</w:t>
      </w:r>
    </w:p>
    <w:p>
      <w:pPr>
        <w:spacing w:after="0" w:line="23"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 Patrick de La Chevardière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829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Patrick de La Chevardière</w:t>
      </w:r>
    </w:p>
    <w:p>
      <w:pPr>
        <w:spacing w:after="0" w:line="23"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 Miguel M.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829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Miguel M. Galuccio</w:t>
      </w:r>
    </w:p>
    <w:p>
      <w:pPr>
        <w:spacing w:after="0" w:line="23"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829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Olivier Le Peuch</w:t>
      </w:r>
    </w:p>
    <w:p>
      <w:pPr>
        <w:spacing w:after="0" w:line="23" w:lineRule="exact"/>
        <w:rPr>
          <w:sz w:val="20"/>
          <w:szCs w:val="20"/>
          <w:color w:val="auto"/>
        </w:rPr>
      </w:pPr>
    </w:p>
    <w:p>
      <w:pPr>
        <w:jc w:val="center"/>
        <w:ind w:right="1640"/>
        <w:spacing w:after="0"/>
        <w:rPr>
          <w:sz w:val="20"/>
          <w:szCs w:val="20"/>
          <w:color w:val="auto"/>
        </w:rPr>
      </w:pPr>
      <w:r>
        <w:rPr>
          <w:rFonts w:ascii="Arial" w:cs="Arial" w:eastAsia="Arial" w:hAnsi="Arial"/>
          <w:sz w:val="16"/>
          <w:szCs w:val="16"/>
          <w:color w:val="auto"/>
        </w:rPr>
        <w:t>Chief Executive Officer and Director</w:t>
      </w:r>
    </w:p>
    <w:p>
      <w:pPr>
        <w:spacing w:after="0" w:line="24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Samuel Leupold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829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Samuel Leupold</w:t>
      </w:r>
    </w:p>
    <w:p>
      <w:pPr>
        <w:spacing w:after="0" w:line="23"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Tatiana A. Mitrova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829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Tatiana A. Mitrova</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/s/ Maria Moræus Hanssen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36830</wp:posOffset>
            </wp:positionV>
            <wp:extent cx="32143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Maria Moræus Hanssen</w:t>
      </w:r>
    </w:p>
    <w:p>
      <w:pPr>
        <w:spacing w:after="0" w:line="35" w:lineRule="exact"/>
        <w:rPr>
          <w:sz w:val="20"/>
          <w:szCs w:val="20"/>
          <w:color w:val="auto"/>
        </w:rPr>
      </w:pPr>
    </w:p>
    <w:p>
      <w:pPr>
        <w:jc w:val="center"/>
        <w:ind w:right="158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 Vanitha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22225</wp:posOffset>
            </wp:positionV>
            <wp:extent cx="32143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Vanitha Narayanan</w:t>
      </w:r>
    </w:p>
    <w:p>
      <w:pPr>
        <w:spacing w:after="0" w:line="23" w:lineRule="exact"/>
        <w:rPr>
          <w:sz w:val="20"/>
          <w:szCs w:val="20"/>
          <w:color w:val="auto"/>
        </w:rPr>
      </w:pPr>
    </w:p>
    <w:p>
      <w:pPr>
        <w:jc w:val="center"/>
        <w:ind w:right="158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Mark G. Papa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14605</wp:posOffset>
            </wp:positionV>
            <wp:extent cx="32143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G. Papa</w:t>
      </w:r>
    </w:p>
    <w:p>
      <w:pPr>
        <w:spacing w:after="0" w:line="23" w:lineRule="exact"/>
        <w:rPr>
          <w:sz w:val="20"/>
          <w:szCs w:val="20"/>
          <w:color w:val="auto"/>
        </w:rPr>
      </w:pPr>
    </w:p>
    <w:p>
      <w:pPr>
        <w:jc w:val="center"/>
        <w:ind w:right="1580"/>
        <w:spacing w:after="0"/>
        <w:rPr>
          <w:sz w:val="20"/>
          <w:szCs w:val="20"/>
          <w:color w:val="auto"/>
        </w:rPr>
      </w:pPr>
      <w:r>
        <w:rPr>
          <w:rFonts w:ascii="Arial" w:cs="Arial" w:eastAsia="Arial" w:hAnsi="Arial"/>
          <w:sz w:val="18"/>
          <w:szCs w:val="18"/>
          <w:color w:val="auto"/>
        </w:rPr>
        <w:t>Chairman of the Board</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 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14605</wp:posOffset>
            </wp:positionV>
            <wp:extent cx="32143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Henri Seydoux</w:t>
      </w:r>
    </w:p>
    <w:p>
      <w:pPr>
        <w:spacing w:after="0" w:line="23" w:lineRule="exact"/>
        <w:rPr>
          <w:sz w:val="20"/>
          <w:szCs w:val="20"/>
          <w:color w:val="auto"/>
        </w:rPr>
      </w:pPr>
    </w:p>
    <w:p>
      <w:pPr>
        <w:jc w:val="center"/>
        <w:ind w:right="158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Jeff W.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14605</wp:posOffset>
            </wp:positionV>
            <wp:extent cx="32143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 W. Sheets</w:t>
      </w:r>
    </w:p>
    <w:p>
      <w:pPr>
        <w:spacing w:after="0" w:line="23" w:lineRule="exact"/>
        <w:rPr>
          <w:sz w:val="20"/>
          <w:szCs w:val="20"/>
          <w:color w:val="auto"/>
        </w:rPr>
      </w:pPr>
    </w:p>
    <w:p>
      <w:pPr>
        <w:jc w:val="center"/>
        <w:ind w:right="158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Ulrich Spiesshofer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14605</wp:posOffset>
            </wp:positionV>
            <wp:extent cx="32143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Ulrich Spiesshofer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w:t>
      </w:r>
    </w:p>
    <w:sectPr>
      <w:pgSz w:w="11900" w:h="16838" w:orient="portrait"/>
      <w:cols w:equalWidth="0" w:num="2">
        <w:col w:w="6800" w:space="720"/>
        <w:col w:w="350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5"/>
      <w:numFmt w:val="bullet"/>
      <w:start w:val="1"/>
    </w:lvl>
  </w:abstractNum>
  <w:abstractNum w:abstractNumId="5">
    <w:nsid w:val="4DB127F8"/>
    <w:multiLevelType w:val="hybridMultilevel"/>
    <w:lvl w:ilvl="0">
      <w:lvlJc w:val="left"/>
      <w:lvlText w:val="%1"/>
      <w:numFmt w:val="decimal"/>
      <w:start w:val="24"/>
    </w:lvl>
  </w:abstractNum>
  <w:abstractNum w:abstractNumId="6">
    <w:nsid w:val="216231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
      <w:numFmt w:val="bullet"/>
      <w:start w:val="1"/>
    </w:lvl>
  </w:abstractNum>
  <w:abstractNum w:abstractNumId="7">
    <w:nsid w:val="1F16E9E8"/>
    <w:multiLevelType w:val="hybridMultilevel"/>
    <w:lvl w:ilvl="0">
      <w:lvlJc w:val="left"/>
      <w:lvlText w:val="(%1)"/>
      <w:numFmt w:val="lowerRoman"/>
      <w:start w:val="3"/>
    </w:lvl>
  </w:abstractNum>
  <w:abstractNum w:abstractNumId="8">
    <w:nsid w:val="1190CDE7"/>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9">
    <w:nsid w:val="66EF438D"/>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5"/>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20" Type="http://schemas.openxmlformats.org/officeDocument/2006/relationships/hyperlink" Target="http://www.sec.gov/ix?doc=/Archives/edgar/data/87347/000156459021002477/slb-10k_20201231.htm" TargetMode="External"/><Relationship Id="rId21" Type="http://schemas.openxmlformats.org/officeDocument/2006/relationships/hyperlink" Target="http://www.sec.gov/Archives/edgar/data/87347/000130817921000014/lslb2021_def14a.htm" TargetMode="External"/><Relationship Id="rId22" Type="http://schemas.openxmlformats.org/officeDocument/2006/relationships/hyperlink" Target="http://www.sec.gov/ix?doc=/Archives/edgar/data/87347/000156459021021157/slb-10q_20210331.htm" TargetMode="External"/><Relationship Id="rId23" Type="http://schemas.openxmlformats.org/officeDocument/2006/relationships/hyperlink" Target="http://www.sec.gov/ix?doc=/Archives/edgar/data/87347/000156459021038547/slb-10q_20210630.htm" TargetMode="External"/><Relationship Id="rId24" Type="http://schemas.openxmlformats.org/officeDocument/2006/relationships/hyperlink" Target="http://www.sec.gov/ix?doc=/Archives/edgar/data/87347/000156459021052182/slb-10q_20210930.htm" TargetMode="External"/><Relationship Id="rId25" Type="http://schemas.openxmlformats.org/officeDocument/2006/relationships/hyperlink" Target="http://www.sec.gov/ix?doc=/Archives/edgar/data/87347/000119312521016253/d100679d8ka.htm" TargetMode="External"/><Relationship Id="rId26" Type="http://schemas.openxmlformats.org/officeDocument/2006/relationships/hyperlink" Target="http://www.sec.gov/ix?doc=/Archives/edgar/data/87347/000119312521038853/d100941d8k.htm" TargetMode="External"/><Relationship Id="rId27" Type="http://schemas.openxmlformats.org/officeDocument/2006/relationships/hyperlink" Target="http://www.sec.gov/ix?doc=/Archives/edgar/data/0000087347/000119312521109039/d128317d8k.htm" TargetMode="External"/><Relationship Id="rId28" Type="http://schemas.openxmlformats.org/officeDocument/2006/relationships/hyperlink" Target="http://www.sec.gov/ix?doc=/Archives/edgar/data/87347/000119312521130759/d175656d8k.htm" TargetMode="External"/><Relationship Id="rId29" Type="http://schemas.openxmlformats.org/officeDocument/2006/relationships/hyperlink" Target="http://www.sec.gov/ix?doc=/Archives/edgar/data/87347/000119312521213672/d186734d8k.htm" TargetMode="External"/><Relationship Id="rId30" Type="http://schemas.openxmlformats.org/officeDocument/2006/relationships/hyperlink" Target="http://www.sec.gov/ix?doc=/Archives/edgar/data/87347/000119312521309314/d195724d8k.htm" TargetMode="External"/><Relationship Id="rId31" Type="http://schemas.openxmlformats.org/officeDocument/2006/relationships/hyperlink" Target="http://www.sec.gov/Archives/edgar/data/87347/000156459021002477/slb-ex41_56.htm" TargetMode="External"/><Relationship Id="rId35" Type="http://schemas.openxmlformats.org/officeDocument/2006/relationships/hyperlink" Target="http://www.sec.gov/Archives/edgar/data/87347/000119312516532046/d176097dex31.htm" TargetMode="External"/><Relationship Id="rId36" Type="http://schemas.openxmlformats.org/officeDocument/2006/relationships/hyperlink" Target="http://www.sec.gov/Archives/edgar/data/87347/000119312519198989/d763655dex3.htm" TargetMode="External"/><Relationship Id="rId37" Type="http://schemas.openxmlformats.org/officeDocument/2006/relationships/hyperlink" Target="http://www.sec.gov/Archives/edgar/data/0000087347/000119312521109039/d128317dex101.htm" TargetMode="External"/><Relationship Id="rId38" Type="http://schemas.openxmlformats.org/officeDocument/2006/relationships/hyperlink" Target="http://www.sec.gov/Archives/edgar/data/0000087347/000119312521109039/d128317dex102.htm" TargetMode="External"/><Relationship Id="rId39" Type="http://schemas.openxmlformats.org/officeDocument/2006/relationships/hyperlink" Target="http://www.sec.gov/Archives/edgar/data/0000087347/000119312521109039/d128317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2021-12-03T14:30:21Z</dcterms:created>
  <dcterms:modified xsi:type="dcterms:W3CDTF">2021-12-03T14:30:21Z</dcterms:modified>
</cp:coreProperties>
</file>